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보안등급의 분류 및 해당 사유</w:t>
      </w:r>
    </w:p>
    <w:p>
      <w:pPr>
        <w:pStyle w:val="Normal"/>
      </w:pPr>
      <w:r>
        <w:t>보안등급: 비밀</w:t>
        <w:br/>
        <w:t>결정 사유: 해당 연구개발과제는 의료 영상 분석 기술을 활용하여 개인 건강 정보를 처리하므로, 국가 연구개발혁신법 시행령 제45조 및 산업기술혁신사업 보안관리요령 제9조에 따라 비밀 등급으로 분류됨. 이는 개인 정보 보호 및 국가 안보와 직결되는 사항임.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