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1  30分钟内药材的温度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时间/s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28.0001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28.0003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28.0040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28.0327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28.1801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28.0408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28.0635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28.1514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28.3681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28.8488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28.4533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28.5360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28.8039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29.3159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30.1652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29.3243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29.4582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29.8755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30.6161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31.7304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30.5427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30.7098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31.2223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32.1126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33.4276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31.9957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32.1867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32.7660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33.7463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35.1203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33.5753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33.7720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34.3642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35.3621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36.7856</w:t>
            </w:r>
          </w:p>
        </w:tc>
      </w:tr>
    </w:tbl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2  30分钟内药材的水分浓度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时间/s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2.2471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2.0509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2.5353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1.8770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2.5045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1.7547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2.5482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2.4646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1.6586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2.5445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2.4206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1.5787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2.5383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2.3755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1.5102</w:t>
            </w:r>
          </w:p>
        </w:tc>
      </w:tr>
    </w:tbl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3  3小时内药材的温度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时间/h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32.1892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32.3821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32.9659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33.9608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35.4130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40.3816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40.5536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41.0605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41.8782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42.9976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45.8468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45.9348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46.1930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46.6051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47.1401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48.4502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48.4881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48.5984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48.7736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49.0033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49.4670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49.4792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49.5137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49.5653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49.6609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49.8495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49.8553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49.8746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49.9101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49.9664</w:t>
            </w:r>
          </w:p>
        </w:tc>
      </w:tr>
    </w:tbl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4  3小时内药材的水分浓度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时间/h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2.5489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2.5256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2.3257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1.6486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2.5257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2.4948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2.3578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2.0230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1.4711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2.3861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2.3256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2.1344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1.8020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1.3476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2.1709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2.1084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1.9236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1.6259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1.2311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1.9566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1.9006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1.7360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1.4720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1.1166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1.7662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1.7165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1.5702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1.3333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1.0081</w:t>
            </w:r>
          </w:p>
        </w:tc>
      </w:tr>
    </w:tbl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5  药材烘干过程的水分浓度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时间/h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1.0170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0.9882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0.9015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0.7550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0.5328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0.4562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0.4432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0.4031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0.3298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0.1642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0.2989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0.2916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0.2687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0.2253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0.0845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0.2378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0.2328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0.2167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0.1856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0.0665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0.2058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0.2019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0.1641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0.0598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0.1859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0.1825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0.0566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0.1721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0.1691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0.1597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0.1407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0.0548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0.1334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0.0537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0.1539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0.1515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0.1277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0.0530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烘干结束时间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0.1477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0.1402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0.1249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0.0526</w:t>
            </w:r>
          </w:p>
        </w:tc>
      </w:tr>
    </w:tbl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6  药材烘干过程的水分浓度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时间/h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药材表面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1.9518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1.7824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1.2570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0.5669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0.8735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0.7764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0.4860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0.2145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0.4594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0.4131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0.2652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0.1020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0.3073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0.2806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0.1903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0.0713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0.2381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0.2198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0.1555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0.0610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0.1861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0.1356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0.0567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0.1761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0.1647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0.1227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0.0545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0.1596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0.1135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0.0532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烘干结束时间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0.1413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0.1081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0.0526</w:t>
            </w:r>
          </w:p>
        </w:tc>
      </w:tr>
    </w:tbl>
    <w:p>
      <w:pPr>
        <w:spacing w:before="60" w:after="0"/>
      </w:pPr>
      <w:r>
        <w:rPr>
          <w:rFonts w:ascii="Times New Roman" w:hAnsi="Times New Roman" w:eastAsia="宋体"/>
          <w:b w:val="0"/>
          <w:sz w:val="17"/>
        </w:rPr>
        <w:t>注：超出当前药材半径的位置不定义。</w:t>
      </w:r>
    </w:p>
    <w:sectPr w:rsidR="00FC693F" w:rsidRPr="0006063C" w:rsidSect="00034616">
      <w:pgSz w:w="11906" w:h="16838"/>
      <w:pgMar w:top="765" w:right="850" w:bottom="765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