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/>
        <w:jc w:val="center"/>
      </w:pPr>
      <w:r>
        <w:rPr>
          <w:rFonts w:ascii="Times New Roman" w:hAnsi="Times New Roman" w:eastAsia="宋体"/>
          <w:b/>
          <w:sz w:val="24"/>
        </w:rPr>
        <w:t>表 4  3小时内药材的水分浓度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238" w:hRule="atLeast"/>
          <w:tblHeader w:val="true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vMerge w:val="restart"/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时间/h</w:t>
            </w:r>
          </w:p>
        </w:tc>
        <w:tc>
          <w:tcPr>
            <w:tcW w:type="dxa" w:w="8505"/>
            <w:tcMar>
              <w:top w:w="40" w:type="dxa"/>
              <w:start w:w="55" w:type="dxa"/>
              <w:bottom w:w="40" w:type="dxa"/>
              <w:end w:w="55" w:type="dxa"/>
            </w:tcMar>
            <w:gridSpan w:val="5"/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到药材中心的距离/cm</w:t>
            </w:r>
          </w:p>
        </w:tc>
      </w:tr>
      <w:tr>
        <w:trPr>
          <w:trHeight w:val="238" w:hRule="atLeast"/>
          <w:tblHeader w:val="true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vMerge/>
            <w:shd w:fill="FFFFFF" w:val="clear"/>
          </w:tcPr>
          <w:p/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2.5499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2.5489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2.5256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2.3257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1.6486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2.5257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2.4948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2.3578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2.0230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1.4711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2.3861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2.3256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2.1344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1.8020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1.3476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2.1709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2.1084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1.9236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1.6259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1.2311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1.9566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1.9006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1.7360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1.4720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1.1166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3.0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1.7662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1.7165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1.5702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1.3333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1.0081</w:t>
            </w:r>
          </w:p>
        </w:tc>
      </w:tr>
    </w:tbl>
    <w:sectPr w:rsidR="00FC693F" w:rsidRPr="0006063C" w:rsidSect="00034616">
      <w:pgSz w:w="11906" w:h="16838"/>
      <w:pgMar w:top="765" w:right="850" w:bottom="765" w:left="85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