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atrimonionariño"/>
    <w:p>
      <w:pPr>
        <w:pStyle w:val="Heading1"/>
      </w:pPr>
      <w:r>
        <w:t xml:space="preserve">PatrimonioNariño</w:t>
      </w:r>
    </w:p>
    <w:bookmarkStart w:id="20" w:name="Xf038d01924ffb4aa5526cd82ac6a94d3358807f"/>
    <w:p>
      <w:pPr>
        <w:pStyle w:val="Heading2"/>
      </w:pPr>
      <w:r>
        <w:t xml:space="preserve">Sistema de Inventario del Patrimonio Cultural Inmaterial de Nariño</w:t>
      </w:r>
    </w:p>
    <w:p>
      <w:pPr>
        <w:pStyle w:val="FirstParagraph"/>
      </w:pPr>
      <w:r>
        <w:rPr>
          <w:b/>
          <w:bCs/>
        </w:rPr>
        <w:t xml:space="preserve">Universidad Cooperativa de Colombia</w:t>
      </w:r>
      <w:r>
        <w:br/>
      </w:r>
      <w:r>
        <w:t xml:space="preserve">Programa de Ingeniería de Software</w:t>
      </w:r>
      <w:r>
        <w:br/>
      </w:r>
      <w:r>
        <w:t xml:space="preserve">Asignatura: Arquitectura de Software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ntroducción-y-contexto"/>
    <w:p>
      <w:pPr>
        <w:pStyle w:val="Heading1"/>
      </w:pPr>
      <w:r>
        <w:t xml:space="preserve">1. Introducción y Contexto</w:t>
      </w:r>
    </w:p>
    <w:bookmarkStart w:id="22" w:name="descripción-del-sistema"/>
    <w:p>
      <w:pPr>
        <w:pStyle w:val="Heading2"/>
      </w:pPr>
      <w:r>
        <w:t xml:space="preserve">1.1 Descripción del sistema</w:t>
      </w:r>
    </w:p>
    <w:p>
      <w:pPr>
        <w:pStyle w:val="FirstParagraph"/>
      </w:pPr>
      <w:r>
        <w:t xml:space="preserve">PatrimonioNariño es un sistema de información diseñado para registrar, administrar y hacer seguimiento al patrimonio cultural inmaterial de los 64 municipios del departamento de Nariño, de acuerdo con la Ley 1185 de 2008.</w:t>
      </w:r>
    </w:p>
    <w:p>
      <w:pPr>
        <w:pStyle w:val="BodyText"/>
      </w:pPr>
      <w:r>
        <w:t xml:space="preserve">El sistema permite que gestores culturales municipales registren manifestaciones culturales como fiestas tradicionales, músicas, saberes ancestrales y artesanías desde dispositivos móviles, incluso en zonas con conectividad limitada o inexistente.</w:t>
      </w:r>
    </w:p>
    <w:p>
      <w:pPr>
        <w:pStyle w:val="BodyText"/>
      </w:pPr>
      <w:r>
        <w:t xml:space="preserve">La información recopilada debe ser posteriormente sincronizada y transformada al formato exigido por el sistema nacional LRPCI del Ministerio de Cultura.</w:t>
      </w:r>
    </w:p>
    <w:p>
      <w:pPr>
        <w:pStyle w:val="BodyText"/>
      </w:pPr>
      <w:r>
        <w:t xml:space="preserve">Uno de los principales retos del sistema es mantener flexibilidad en el registro local mientras se garantiza compatibilidad estricta con la estructura oficial del Ministerio, la cual cambia periódicamente.</w:t>
      </w:r>
    </w:p>
    <w:p>
      <w:r>
        <w:pict>
          <v:rect style="width:0;height:1.5pt" o:hralign="center" o:hrstd="t" o:hr="t"/>
        </w:pict>
      </w:r>
    </w:p>
    <w:bookmarkEnd w:id="22"/>
    <w:bookmarkStart w:id="23" w:name="problema-que-resuelve"/>
    <w:p>
      <w:pPr>
        <w:pStyle w:val="Heading2"/>
      </w:pPr>
      <w:r>
        <w:t xml:space="preserve">1.2 Problema que resuelve</w:t>
      </w:r>
    </w:p>
    <w:p>
      <w:pPr>
        <w:pStyle w:val="FirstParagraph"/>
      </w:pPr>
      <w:r>
        <w:t xml:space="preserve">Actualmente muchos municipios realizan el registro patrimonial de manera manual o mediante documentos aislados, lo que genera:</w:t>
      </w:r>
    </w:p>
    <w:p>
      <w:pPr>
        <w:pStyle w:val="Compact"/>
        <w:numPr>
          <w:ilvl w:val="0"/>
          <w:numId w:val="1001"/>
        </w:numPr>
      </w:pPr>
      <w:r>
        <w:t xml:space="preserve">Pérdida de información cultural.</w:t>
      </w:r>
    </w:p>
    <w:p>
      <w:pPr>
        <w:pStyle w:val="Compact"/>
        <w:numPr>
          <w:ilvl w:val="0"/>
          <w:numId w:val="1001"/>
        </w:numPr>
      </w:pPr>
      <w:r>
        <w:t xml:space="preserve">Dificultad para consolidar datos departamentales.</w:t>
      </w:r>
    </w:p>
    <w:p>
      <w:pPr>
        <w:pStyle w:val="Compact"/>
        <w:numPr>
          <w:ilvl w:val="0"/>
          <w:numId w:val="1001"/>
        </w:numPr>
      </w:pPr>
      <w:r>
        <w:t xml:space="preserve">Retrasos en el reporte al Ministerio.</w:t>
      </w:r>
    </w:p>
    <w:p>
      <w:pPr>
        <w:pStyle w:val="Compact"/>
        <w:numPr>
          <w:ilvl w:val="0"/>
          <w:numId w:val="1001"/>
        </w:numPr>
      </w:pPr>
      <w:r>
        <w:t xml:space="preserve">Inconsistencias entre municipios.</w:t>
      </w:r>
    </w:p>
    <w:p>
      <w:pPr>
        <w:pStyle w:val="Compact"/>
        <w:numPr>
          <w:ilvl w:val="0"/>
          <w:numId w:val="1001"/>
        </w:numPr>
      </w:pPr>
      <w:r>
        <w:t xml:space="preserve">Dependencia de conectividad permanente.</w:t>
      </w:r>
    </w:p>
    <w:p>
      <w:pPr>
        <w:pStyle w:val="FirstParagraph"/>
      </w:pPr>
      <w:r>
        <w:t xml:space="preserve">El sistema busca centralizar y digitalizar el proceso de inventario cultural manteniendo autonomía operativa en campo.</w:t>
      </w:r>
    </w:p>
    <w:p>
      <w:r>
        <w:pict>
          <v:rect style="width:0;height:1.5pt" o:hralign="center" o:hrstd="t" o:hr="t"/>
        </w:pict>
      </w:r>
    </w:p>
    <w:bookmarkEnd w:id="23"/>
    <w:bookmarkStart w:id="24" w:name="stakeholders-identificados"/>
    <w:p>
      <w:pPr>
        <w:pStyle w:val="Heading2"/>
      </w:pPr>
      <w:r>
        <w:t xml:space="preserve">1.3 Stakeholders identificados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Gobernación de Nariño</w:t>
            </w:r>
          </w:p>
        </w:tc>
        <w:tc>
          <w:tcPr/>
          <w:p>
            <w:pPr>
              <w:pStyle w:val="Compact"/>
            </w:pPr>
            <w:r>
              <w:t xml:space="preserve">Consolidar y supervisar el inventario cultural departamental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Gestores culturales municipales</w:t>
            </w:r>
          </w:p>
        </w:tc>
        <w:tc>
          <w:tcPr/>
          <w:p>
            <w:pPr>
              <w:pStyle w:val="Compact"/>
            </w:pPr>
            <w:r>
              <w:t xml:space="preserve">Registrar información cultural desde territorio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Ministerio de Cultura</w:t>
            </w:r>
          </w:p>
        </w:tc>
        <w:tc>
          <w:tcPr/>
          <w:p>
            <w:pPr>
              <w:pStyle w:val="Compact"/>
            </w:pPr>
            <w:r>
              <w:t xml:space="preserve">Recibir información bajo el estándar LRPCI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Administradores del sistema</w:t>
            </w:r>
          </w:p>
        </w:tc>
        <w:tc>
          <w:tcPr/>
          <w:p>
            <w:pPr>
              <w:pStyle w:val="Compact"/>
            </w:pPr>
            <w:r>
              <w:t xml:space="preserve">Gestionar usuarios y sincronización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Comunidades culturales</w:t>
            </w:r>
          </w:p>
        </w:tc>
        <w:tc>
          <w:tcPr/>
          <w:p>
            <w:pPr>
              <w:pStyle w:val="Compact"/>
            </w:pPr>
            <w:r>
              <w:t xml:space="preserve">Preservar y documentar manifestaciones culturales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8" w:name="drivers-arquitectónicos"/>
    <w:p>
      <w:pPr>
        <w:pStyle w:val="Heading1"/>
      </w:pPr>
      <w:r>
        <w:t xml:space="preserve">2. Drivers Arquitectónicos</w:t>
      </w:r>
    </w:p>
    <w:bookmarkStart w:id="32" w:name="requerimientos-funcionales-clave"/>
    <w:p>
      <w:pPr>
        <w:pStyle w:val="Heading2"/>
      </w:pPr>
      <w:r>
        <w:t xml:space="preserve">2.1 Requerimientos funcionales clave</w:t>
      </w:r>
    </w:p>
    <w:bookmarkStart w:id="26" w:name="rf1"/>
    <w:p>
      <w:pPr>
        <w:pStyle w:val="Heading3"/>
      </w:pPr>
      <w:r>
        <w:t xml:space="preserve">RF1</w:t>
      </w:r>
    </w:p>
    <w:p>
      <w:pPr>
        <w:pStyle w:val="FirstParagraph"/>
      </w:pPr>
      <w:r>
        <w:t xml:space="preserve">El sistema debe permitir registrar manifestaciones culturales desde dispositivos móviles.</w:t>
      </w:r>
    </w:p>
    <w:bookmarkEnd w:id="26"/>
    <w:bookmarkStart w:id="27" w:name="rf2"/>
    <w:p>
      <w:pPr>
        <w:pStyle w:val="Heading3"/>
      </w:pPr>
      <w:r>
        <w:t xml:space="preserve">RF2</w:t>
      </w:r>
    </w:p>
    <w:p>
      <w:pPr>
        <w:pStyle w:val="FirstParagraph"/>
      </w:pPr>
      <w:r>
        <w:t xml:space="preserve">El sistema debe funcionar sin conexión a internet.</w:t>
      </w:r>
    </w:p>
    <w:bookmarkEnd w:id="27"/>
    <w:bookmarkStart w:id="28" w:name="rf3"/>
    <w:p>
      <w:pPr>
        <w:pStyle w:val="Heading3"/>
      </w:pPr>
      <w:r>
        <w:t xml:space="preserve">RF3</w:t>
      </w:r>
    </w:p>
    <w:p>
      <w:pPr>
        <w:pStyle w:val="FirstParagraph"/>
      </w:pPr>
      <w:r>
        <w:t xml:space="preserve">El sistema debe sincronizar automáticamente los registros cuando exista conectividad.</w:t>
      </w:r>
    </w:p>
    <w:bookmarkEnd w:id="28"/>
    <w:bookmarkStart w:id="29" w:name="rf4"/>
    <w:p>
      <w:pPr>
        <w:pStyle w:val="Heading3"/>
      </w:pPr>
      <w:r>
        <w:t xml:space="preserve">RF4</w:t>
      </w:r>
    </w:p>
    <w:p>
      <w:pPr>
        <w:pStyle w:val="FirstParagraph"/>
      </w:pPr>
      <w:r>
        <w:t xml:space="preserve">El sistema debe transformar los registros locales al formato LRPCI exigido por el Ministerio.</w:t>
      </w:r>
    </w:p>
    <w:bookmarkEnd w:id="29"/>
    <w:bookmarkStart w:id="30" w:name="rf5"/>
    <w:p>
      <w:pPr>
        <w:pStyle w:val="Heading3"/>
      </w:pPr>
      <w:r>
        <w:t xml:space="preserve">RF5</w:t>
      </w:r>
    </w:p>
    <w:p>
      <w:pPr>
        <w:pStyle w:val="FirstParagraph"/>
      </w:pPr>
      <w:r>
        <w:t xml:space="preserve">El sistema debe permitir actualizar estructuras de fichas culturales sin rediseñar el sistema completo.</w:t>
      </w:r>
    </w:p>
    <w:bookmarkEnd w:id="30"/>
    <w:bookmarkStart w:id="31" w:name="rf6"/>
    <w:p>
      <w:pPr>
        <w:pStyle w:val="Heading3"/>
      </w:pPr>
      <w:r>
        <w:t xml:space="preserve">RF6</w:t>
      </w:r>
    </w:p>
    <w:p>
      <w:pPr>
        <w:pStyle w:val="FirstParagraph"/>
      </w:pPr>
      <w:r>
        <w:t xml:space="preserve">El sistema debe generar reportes consolidados por municipio y departamento.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scenarios-de-atributos-de-calidad"/>
    <w:p>
      <w:pPr>
        <w:pStyle w:val="Heading2"/>
      </w:pPr>
      <w:r>
        <w:t xml:space="preserve">2.2 Escenarios de atributos de calidad</w:t>
      </w:r>
    </w:p>
    <w:bookmarkStart w:id="33" w:name="escenario-1-disponibilidad-offline"/>
    <w:p>
      <w:pPr>
        <w:pStyle w:val="Heading3"/>
      </w:pPr>
      <w:r>
        <w:t xml:space="preserve">Escenario 1 — Disponibilidad Offline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Gestor cultural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Estímulo</w:t>
            </w:r>
          </w:p>
        </w:tc>
        <w:tc>
          <w:tcPr/>
          <w:p>
            <w:pPr>
              <w:pStyle w:val="Compact"/>
            </w:pPr>
            <w:r>
              <w:t xml:space="preserve">Registrar una ficha en zona sin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Aplicación móvil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Operación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</w:t>
            </w:r>
          </w:p>
        </w:tc>
        <w:tc>
          <w:tcPr/>
          <w:p>
            <w:pPr>
              <w:pStyle w:val="Compact"/>
            </w:pPr>
            <w:r>
              <w:t xml:space="preserve">El sistema almacena localmente la 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Registro exitoso sin pérdida de datos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scenario-2-interoperabilidad"/>
    <w:p>
      <w:pPr>
        <w:pStyle w:val="Heading3"/>
      </w:pPr>
      <w:r>
        <w:t xml:space="preserve">Escenario 2 — Interoperabilidad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Ministerio de Cultura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Estímulo</w:t>
            </w:r>
          </w:p>
        </w:tc>
        <w:tc>
          <w:tcPr/>
          <w:p>
            <w:pPr>
              <w:pStyle w:val="Compact"/>
            </w:pPr>
            <w:r>
              <w:t xml:space="preserve">Solicitud de carga de información LRPCI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Módulo de exportación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Operación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</w:t>
            </w:r>
          </w:p>
        </w:tc>
        <w:tc>
          <w:tcPr/>
          <w:p>
            <w:pPr>
              <w:pStyle w:val="Compact"/>
            </w:pPr>
            <w:r>
              <w:t xml:space="preserve">El sistema genera el formato válido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Archivo aceptado por el Ministerio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scenario-3-modificabilidad"/>
    <w:p>
      <w:pPr>
        <w:pStyle w:val="Heading3"/>
      </w:pPr>
      <w:r>
        <w:t xml:space="preserve">Escenario 3 — Modificabilidad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Ministerio de Cultura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Estímulo</w:t>
            </w:r>
          </w:p>
        </w:tc>
        <w:tc>
          <w:tcPr/>
          <w:p>
            <w:pPr>
              <w:pStyle w:val="Compact"/>
            </w:pPr>
            <w:r>
              <w:t xml:space="preserve">Cambio en la estructura LRPCI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Adaptador de exportación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Sistema en operación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</w:t>
            </w:r>
          </w:p>
        </w:tc>
        <w:tc>
          <w:tcPr/>
          <w:p>
            <w:pPr>
              <w:pStyle w:val="Compact"/>
            </w:pPr>
            <w:r>
              <w:t xml:space="preserve">Se actualiza únicamente el adaptador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El núcleo del sistema no requiere modificaciones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restricciones-técnicas"/>
    <w:p>
      <w:pPr>
        <w:pStyle w:val="Heading2"/>
      </w:pPr>
      <w:r>
        <w:t xml:space="preserve">2.3 Restricciones técnicas</w:t>
      </w:r>
    </w:p>
    <w:p>
      <w:pPr>
        <w:pStyle w:val="Compact"/>
        <w:numPr>
          <w:ilvl w:val="0"/>
          <w:numId w:val="1002"/>
        </w:numPr>
      </w:pPr>
      <w:r>
        <w:t xml:space="preserve">El Ministerio de Cultura actualiza periódicamente la estructura LRPCI.</w:t>
      </w:r>
    </w:p>
    <w:p>
      <w:pPr>
        <w:pStyle w:val="Compact"/>
        <w:numPr>
          <w:ilvl w:val="0"/>
          <w:numId w:val="1002"/>
        </w:numPr>
      </w:pPr>
      <w:r>
        <w:t xml:space="preserve">El sistema debe funcionar en zonas con conectividad limitada.</w:t>
      </w:r>
    </w:p>
    <w:p>
      <w:pPr>
        <w:pStyle w:val="Compact"/>
        <w:numPr>
          <w:ilvl w:val="0"/>
          <w:numId w:val="1002"/>
        </w:numPr>
      </w:pPr>
      <w:r>
        <w:t xml:space="preserve">Los registros deben sincronizarse posteriormente.</w:t>
      </w:r>
    </w:p>
    <w:p>
      <w:pPr>
        <w:pStyle w:val="Compact"/>
        <w:numPr>
          <w:ilvl w:val="0"/>
          <w:numId w:val="1002"/>
        </w:numPr>
      </w:pPr>
      <w:r>
        <w:t xml:space="preserve">El formato nacional debe cumplirse estrictamente.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elección-y-justificación-del-patrón"/>
    <w:p>
      <w:pPr>
        <w:pStyle w:val="Heading1"/>
      </w:pPr>
      <w:r>
        <w:t xml:space="preserve">3. Elección y Justificación del Patrón</w:t>
      </w:r>
    </w:p>
    <w:bookmarkStart w:id="39" w:name="patrón-seleccionado"/>
    <w:p>
      <w:pPr>
        <w:pStyle w:val="Heading2"/>
      </w:pPr>
      <w:r>
        <w:t xml:space="preserve">3.1 Patrón seleccionado</w:t>
      </w:r>
    </w:p>
    <w:p>
      <w:pPr>
        <w:pStyle w:val="FirstParagraph"/>
      </w:pPr>
      <w:r>
        <w:t xml:space="preserve">Se seleccionó la arquitectura hexagonal (Ports and Adapters).</w:t>
      </w:r>
    </w:p>
    <w:p>
      <w:r>
        <w:pict>
          <v:rect style="width:0;height:1.5pt" o:hralign="center" o:hrstd="t" o:hr="t"/>
        </w:pict>
      </w:r>
    </w:p>
    <w:bookmarkEnd w:id="39"/>
    <w:bookmarkStart w:id="43" w:name="justificación"/>
    <w:p>
      <w:pPr>
        <w:pStyle w:val="Heading2"/>
      </w:pPr>
      <w:r>
        <w:t xml:space="preserve">3.2 Justificación</w:t>
      </w:r>
    </w:p>
    <w:p>
      <w:pPr>
        <w:pStyle w:val="FirstParagraph"/>
      </w:pPr>
      <w:r>
        <w:t xml:space="preserve">La arquitectura hexagonal permite aislar el núcleo del negocio de las dependencias externas.</w:t>
      </w:r>
    </w:p>
    <w:p>
      <w:pPr>
        <w:pStyle w:val="BodyText"/>
      </w:pPr>
      <w:r>
        <w:t xml:space="preserve">En PatrimonioNariño esto es fundamental porque:</w:t>
      </w:r>
    </w:p>
    <w:p>
      <w:pPr>
        <w:pStyle w:val="Compact"/>
        <w:numPr>
          <w:ilvl w:val="0"/>
          <w:numId w:val="1003"/>
        </w:numPr>
      </w:pPr>
      <w:r>
        <w:t xml:space="preserve">El dominio cultural debe mantenerse estable.</w:t>
      </w:r>
    </w:p>
    <w:p>
      <w:pPr>
        <w:pStyle w:val="Compact"/>
        <w:numPr>
          <w:ilvl w:val="0"/>
          <w:numId w:val="1003"/>
        </w:numPr>
      </w:pPr>
      <w:r>
        <w:t xml:space="preserve">El formato LRPCI cambia constantemente.</w:t>
      </w:r>
    </w:p>
    <w:p>
      <w:pPr>
        <w:pStyle w:val="Compact"/>
        <w:numPr>
          <w:ilvl w:val="0"/>
          <w:numId w:val="1003"/>
        </w:numPr>
      </w:pPr>
      <w:r>
        <w:t xml:space="preserve">El sistema debe soportar múltiples mecanismos de entrada y salida.</w:t>
      </w:r>
    </w:p>
    <w:p>
      <w:pPr>
        <w:pStyle w:val="Compact"/>
        <w:numPr>
          <w:ilvl w:val="0"/>
          <w:numId w:val="1003"/>
        </w:numPr>
      </w:pPr>
      <w:r>
        <w:t xml:space="preserve">La lógica cultural no debe depender del Ministerio.</w:t>
      </w:r>
    </w:p>
    <w:p>
      <w:pPr>
        <w:pStyle w:val="FirstParagraph"/>
      </w:pPr>
      <w:r>
        <w:t xml:space="preserve">La arquitectura se organiza de la siguiente manera:</w:t>
      </w:r>
    </w:p>
    <w:bookmarkStart w:id="40" w:name="núcleo-del-dominio"/>
    <w:p>
      <w:pPr>
        <w:pStyle w:val="Heading3"/>
      </w:pPr>
      <w:r>
        <w:t xml:space="preserve">Núcleo del dominio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4"/>
        </w:numPr>
      </w:pPr>
      <w:r>
        <w:t xml:space="preserve">Manifestaciones culturales</w:t>
      </w:r>
    </w:p>
    <w:p>
      <w:pPr>
        <w:pStyle w:val="Compact"/>
        <w:numPr>
          <w:ilvl w:val="0"/>
          <w:numId w:val="1004"/>
        </w:numPr>
      </w:pPr>
      <w:r>
        <w:t xml:space="preserve">Municipios</w:t>
      </w:r>
    </w:p>
    <w:p>
      <w:pPr>
        <w:pStyle w:val="Compact"/>
        <w:numPr>
          <w:ilvl w:val="0"/>
          <w:numId w:val="1004"/>
        </w:numPr>
      </w:pPr>
      <w:r>
        <w:t xml:space="preserve">Reglas de validación</w:t>
      </w:r>
    </w:p>
    <w:p>
      <w:pPr>
        <w:pStyle w:val="Compact"/>
        <w:numPr>
          <w:ilvl w:val="0"/>
          <w:numId w:val="1004"/>
        </w:numPr>
      </w:pPr>
      <w:r>
        <w:t xml:space="preserve">Gestión de fichas</w:t>
      </w:r>
    </w:p>
    <w:p>
      <w:pPr>
        <w:pStyle w:val="Compact"/>
        <w:numPr>
          <w:ilvl w:val="0"/>
          <w:numId w:val="1004"/>
        </w:numPr>
      </w:pPr>
      <w:r>
        <w:t xml:space="preserve">Sincronización lógica</w:t>
      </w:r>
    </w:p>
    <w:bookmarkEnd w:id="40"/>
    <w:bookmarkStart w:id="41" w:name="puertos"/>
    <w:p>
      <w:pPr>
        <w:pStyle w:val="Heading3"/>
      </w:pPr>
      <w:r>
        <w:t xml:space="preserve">Puertos</w:t>
      </w:r>
    </w:p>
    <w:p>
      <w:pPr>
        <w:pStyle w:val="FirstParagraph"/>
      </w:pPr>
      <w:r>
        <w:t xml:space="preserve">Definen contratos para:</w:t>
      </w:r>
    </w:p>
    <w:p>
      <w:pPr>
        <w:pStyle w:val="Compact"/>
        <w:numPr>
          <w:ilvl w:val="0"/>
          <w:numId w:val="1005"/>
        </w:numPr>
      </w:pPr>
      <w:r>
        <w:t xml:space="preserve">Exportación al Ministerio</w:t>
      </w:r>
    </w:p>
    <w:p>
      <w:pPr>
        <w:pStyle w:val="Compact"/>
        <w:numPr>
          <w:ilvl w:val="0"/>
          <w:numId w:val="1005"/>
        </w:numPr>
      </w:pPr>
      <w:r>
        <w:t xml:space="preserve">Persistencia</w:t>
      </w:r>
    </w:p>
    <w:p>
      <w:pPr>
        <w:pStyle w:val="Compact"/>
        <w:numPr>
          <w:ilvl w:val="0"/>
          <w:numId w:val="1005"/>
        </w:numPr>
      </w:pPr>
      <w:r>
        <w:t xml:space="preserve">Sincronización</w:t>
      </w:r>
    </w:p>
    <w:p>
      <w:pPr>
        <w:pStyle w:val="Compact"/>
        <w:numPr>
          <w:ilvl w:val="0"/>
          <w:numId w:val="1005"/>
        </w:numPr>
      </w:pPr>
      <w:r>
        <w:t xml:space="preserve">Aplicaciones móviles</w:t>
      </w:r>
    </w:p>
    <w:bookmarkEnd w:id="41"/>
    <w:bookmarkStart w:id="42" w:name="adaptadores"/>
    <w:p>
      <w:pPr>
        <w:pStyle w:val="Heading3"/>
      </w:pPr>
      <w:r>
        <w:t xml:space="preserve">Adaptadores</w:t>
      </w:r>
    </w:p>
    <w:p>
      <w:pPr>
        <w:pStyle w:val="FirstParagraph"/>
      </w:pPr>
      <w:r>
        <w:t xml:space="preserve">Implementan:</w:t>
      </w:r>
    </w:p>
    <w:p>
      <w:pPr>
        <w:pStyle w:val="Compact"/>
        <w:numPr>
          <w:ilvl w:val="0"/>
          <w:numId w:val="1006"/>
        </w:numPr>
      </w:pPr>
      <w:r>
        <w:t xml:space="preserve">Exportador LRPCI</w:t>
      </w:r>
    </w:p>
    <w:p>
      <w:pPr>
        <w:pStyle w:val="Compact"/>
        <w:numPr>
          <w:ilvl w:val="0"/>
          <w:numId w:val="1006"/>
        </w:numPr>
      </w:pPr>
      <w:r>
        <w:t xml:space="preserve">Base de datos</w:t>
      </w:r>
    </w:p>
    <w:p>
      <w:pPr>
        <w:pStyle w:val="Compact"/>
        <w:numPr>
          <w:ilvl w:val="0"/>
          <w:numId w:val="1006"/>
        </w:numPr>
      </w:pPr>
      <w:r>
        <w:t xml:space="preserve">App móvil</w:t>
      </w:r>
    </w:p>
    <w:p>
      <w:pPr>
        <w:pStyle w:val="Compact"/>
        <w:numPr>
          <w:ilvl w:val="0"/>
          <w:numId w:val="1006"/>
        </w:numPr>
      </w:pPr>
      <w:r>
        <w:t xml:space="preserve">API web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alternativas-evaluadas"/>
    <w:p>
      <w:pPr>
        <w:pStyle w:val="Heading2"/>
      </w:pPr>
      <w:r>
        <w:t xml:space="preserve">3.3 Alternativas evaluadas</w:t>
      </w:r>
    </w:p>
    <w:bookmarkStart w:id="44" w:name="arquitectura-en-capas"/>
    <w:p>
      <w:pPr>
        <w:pStyle w:val="Heading3"/>
      </w:pPr>
      <w:r>
        <w:t xml:space="preserve">Arquitectura en capas</w:t>
      </w:r>
    </w:p>
    <w:p>
      <w:pPr>
        <w:pStyle w:val="FirstParagraph"/>
      </w:pPr>
      <w:r>
        <w:t xml:space="preserve">Fue descartada porque el sistema podría acoplar la lógica del negocio directamente con el formato LRPCI.</w:t>
      </w:r>
    </w:p>
    <w:p>
      <w:pPr>
        <w:pStyle w:val="BodyText"/>
      </w:pPr>
      <w:r>
        <w:t xml:space="preserve">Un cambio del Ministerio podría afectar múltiples capas del sistema.</w:t>
      </w:r>
    </w:p>
    <w:p>
      <w:r>
        <w:pict>
          <v:rect style="width:0;height:1.5pt" o:hralign="center" o:hrstd="t" o:hr="t"/>
        </w:pict>
      </w:r>
    </w:p>
    <w:bookmarkEnd w:id="44"/>
    <w:bookmarkStart w:id="45" w:name="mvc"/>
    <w:p>
      <w:pPr>
        <w:pStyle w:val="Heading3"/>
      </w:pPr>
      <w:r>
        <w:t xml:space="preserve">MVC</w:t>
      </w:r>
    </w:p>
    <w:p>
      <w:pPr>
        <w:pStyle w:val="FirstParagraph"/>
      </w:pPr>
      <w:r>
        <w:t xml:space="preserve">Fue descartado porque se enfoca principalmente en la separación de interfaz y presentación.</w:t>
      </w:r>
    </w:p>
    <w:p>
      <w:pPr>
        <w:pStyle w:val="BodyText"/>
      </w:pPr>
      <w:r>
        <w:t xml:space="preserve">No resuelve adecuadamente la independencia del dominio frente a integraciones externas.</w:t>
      </w:r>
    </w:p>
    <w:p>
      <w:r>
        <w:pict>
          <v:rect style="width:0;height:1.5pt" o:hralign="center" o:hrstd="t" o:hr="t"/>
        </w:pict>
      </w:r>
    </w:p>
    <w:bookmarkEnd w:id="45"/>
    <w:bookmarkStart w:id="46" w:name="microkernel"/>
    <w:p>
      <w:pPr>
        <w:pStyle w:val="Heading3"/>
      </w:pPr>
      <w:r>
        <w:t xml:space="preserve">Microkernel</w:t>
      </w:r>
    </w:p>
    <w:p>
      <w:pPr>
        <w:pStyle w:val="FirstParagraph"/>
      </w:pPr>
      <w:r>
        <w:t xml:space="preserve">Fue considerado para soportar extensiones por municipio, pero se descartó debido a la complejidad adicional y porque la tensión principal del sistema no es la extensibilidad por plugins.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1" w:name="vistas-arquitectónicas-41"/>
    <w:p>
      <w:pPr>
        <w:pStyle w:val="Heading1"/>
      </w:pPr>
      <w:r>
        <w:t xml:space="preserve">4. Vistas Arquitectónicas (4+1)</w:t>
      </w:r>
    </w:p>
    <w:bookmarkStart w:id="51" w:name="vista-lógica"/>
    <w:p>
      <w:pPr>
        <w:pStyle w:val="Heading2"/>
      </w:pPr>
      <w:r>
        <w:t xml:space="preserve">4.1 Vista lógica</w:t>
      </w:r>
    </w:p>
    <w:bookmarkStart w:id="49" w:name="componentes-principales"/>
    <w:p>
      <w:pPr>
        <w:pStyle w:val="Heading3"/>
      </w:pPr>
      <w:r>
        <w:t xml:space="preserve">Componentes principales</w:t>
      </w:r>
    </w:p>
    <w:p>
      <w:pPr>
        <w:pStyle w:val="Compact"/>
        <w:numPr>
          <w:ilvl w:val="0"/>
          <w:numId w:val="1007"/>
        </w:numPr>
      </w:pPr>
      <w:r>
        <w:t xml:space="preserve">Gestión de manifestaciones culturales</w:t>
      </w:r>
    </w:p>
    <w:p>
      <w:pPr>
        <w:pStyle w:val="Compact"/>
        <w:numPr>
          <w:ilvl w:val="0"/>
          <w:numId w:val="1007"/>
        </w:numPr>
      </w:pPr>
      <w:r>
        <w:t xml:space="preserve">Gestión de municipios</w:t>
      </w:r>
    </w:p>
    <w:p>
      <w:pPr>
        <w:pStyle w:val="Compact"/>
        <w:numPr>
          <w:ilvl w:val="0"/>
          <w:numId w:val="1007"/>
        </w:numPr>
      </w:pPr>
      <w:r>
        <w:t xml:space="preserve">Servicio de sincronización</w:t>
      </w:r>
    </w:p>
    <w:p>
      <w:pPr>
        <w:pStyle w:val="Compact"/>
        <w:numPr>
          <w:ilvl w:val="0"/>
          <w:numId w:val="1007"/>
        </w:numPr>
      </w:pPr>
      <w:r>
        <w:t xml:space="preserve">Servicio de exportación LRPCI</w:t>
      </w:r>
    </w:p>
    <w:p>
      <w:pPr>
        <w:pStyle w:val="Compact"/>
        <w:numPr>
          <w:ilvl w:val="0"/>
          <w:numId w:val="1007"/>
        </w:numPr>
      </w:pPr>
      <w:r>
        <w:t xml:space="preserve">Adaptadores externos</w:t>
      </w:r>
    </w:p>
    <w:bookmarkEnd w:id="49"/>
    <w:bookmarkStart w:id="50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La vista lógica muestra la separación entre el dominio central y los servicios externos.</w:t>
      </w:r>
    </w:p>
    <w:p>
      <w:pPr>
        <w:pStyle w:val="BodyText"/>
      </w:pPr>
      <w:r>
        <w:t xml:space="preserve">El núcleo contiene las reglas de negocio relacionadas con patrimonio cultural.</w:t>
      </w:r>
    </w:p>
    <w:p>
      <w:pPr>
        <w:pStyle w:val="BodyText"/>
      </w:pPr>
      <w:r>
        <w:t xml:space="preserve">Los adaptadores permiten transformar información hacia sistemas externos sin afectar el dominio.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vista-de-procesos"/>
    <w:p>
      <w:pPr>
        <w:pStyle w:val="Heading2"/>
      </w:pPr>
      <w:r>
        <w:t xml:space="preserve">4.2 Vista de procesos</w:t>
      </w:r>
    </w:p>
    <w:bookmarkStart w:id="52" w:name="flujo-principal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8"/>
        </w:numPr>
      </w:pPr>
      <w:r>
        <w:t xml:space="preserve">El gestor cultural registra información desde el celular.</w:t>
      </w:r>
    </w:p>
    <w:p>
      <w:pPr>
        <w:pStyle w:val="Compact"/>
        <w:numPr>
          <w:ilvl w:val="0"/>
          <w:numId w:val="1008"/>
        </w:numPr>
      </w:pPr>
      <w:r>
        <w:t xml:space="preserve">La información se almacena localmente.</w:t>
      </w:r>
    </w:p>
    <w:p>
      <w:pPr>
        <w:pStyle w:val="Compact"/>
        <w:numPr>
          <w:ilvl w:val="0"/>
          <w:numId w:val="1008"/>
        </w:numPr>
      </w:pPr>
      <w:r>
        <w:t xml:space="preserve">Cuando existe conectividad, el sistema sincroniza los datos.</w:t>
      </w:r>
    </w:p>
    <w:p>
      <w:pPr>
        <w:pStyle w:val="Compact"/>
        <w:numPr>
          <w:ilvl w:val="0"/>
          <w:numId w:val="1008"/>
        </w:numPr>
      </w:pPr>
      <w:r>
        <w:t xml:space="preserve">El adaptador LRPCI transforma la información.</w:t>
      </w:r>
    </w:p>
    <w:p>
      <w:pPr>
        <w:pStyle w:val="Compact"/>
        <w:numPr>
          <w:ilvl w:val="0"/>
          <w:numId w:val="1008"/>
        </w:numPr>
      </w:pPr>
      <w:r>
        <w:t xml:space="preserve">Se genera el archivo compatible con el Ministerio.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vista-de-desarrollo"/>
    <w:p>
      <w:pPr>
        <w:pStyle w:val="Heading2"/>
      </w:pPr>
      <w:r>
        <w:t xml:space="preserve">4.3 Vista de desarrollo</w:t>
      </w:r>
    </w:p>
    <w:bookmarkStart w:id="54" w:name="módulos-principales"/>
    <w:p>
      <w:pPr>
        <w:pStyle w:val="Heading3"/>
      </w:pPr>
      <w:r>
        <w:t xml:space="preserve">Módulos principales</w:t>
      </w:r>
    </w:p>
    <w:p>
      <w:pPr>
        <w:pStyle w:val="Compact"/>
        <w:numPr>
          <w:ilvl w:val="0"/>
          <w:numId w:val="1009"/>
        </w:numPr>
      </w:pPr>
      <w:r>
        <w:t xml:space="preserve">Dominio</w:t>
      </w:r>
    </w:p>
    <w:p>
      <w:pPr>
        <w:pStyle w:val="Compact"/>
        <w:numPr>
          <w:ilvl w:val="0"/>
          <w:numId w:val="1009"/>
        </w:numPr>
      </w:pPr>
      <w:r>
        <w:t xml:space="preserve">Aplicación</w:t>
      </w:r>
    </w:p>
    <w:p>
      <w:pPr>
        <w:pStyle w:val="Compact"/>
        <w:numPr>
          <w:ilvl w:val="0"/>
          <w:numId w:val="1009"/>
        </w:numPr>
      </w:pPr>
      <w:r>
        <w:t xml:space="preserve">Infraestructura</w:t>
      </w:r>
    </w:p>
    <w:p>
      <w:pPr>
        <w:pStyle w:val="Compact"/>
        <w:numPr>
          <w:ilvl w:val="0"/>
          <w:numId w:val="1009"/>
        </w:numPr>
      </w:pPr>
      <w:r>
        <w:t xml:space="preserve">Adaptadores</w:t>
      </w:r>
    </w:p>
    <w:p>
      <w:pPr>
        <w:pStyle w:val="Compact"/>
        <w:numPr>
          <w:ilvl w:val="0"/>
          <w:numId w:val="1009"/>
        </w:numPr>
      </w:pPr>
      <w:r>
        <w:t xml:space="preserve">API</w:t>
      </w:r>
    </w:p>
    <w:p>
      <w:pPr>
        <w:pStyle w:val="Compact"/>
        <w:numPr>
          <w:ilvl w:val="0"/>
          <w:numId w:val="1009"/>
        </w:numPr>
      </w:pPr>
      <w:r>
        <w:t xml:space="preserve">Persistencia</w:t>
      </w:r>
    </w:p>
    <w:bookmarkEnd w:id="54"/>
    <w:bookmarkStart w:id="55" w:name="tecnologías-sugeridas"/>
    <w:p>
      <w:pPr>
        <w:pStyle w:val="Heading3"/>
      </w:pPr>
      <w:r>
        <w:t xml:space="preserve">Tecnologías sugeridas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 sugerida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móvil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Sincronización</w:t>
            </w:r>
          </w:p>
        </w:tc>
        <w:tc>
          <w:tcPr/>
          <w:p>
            <w:pPr>
              <w:pStyle w:val="Compact"/>
            </w:pPr>
            <w:r>
              <w:t xml:space="preserve">JSON/HTTP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vista-física"/>
    <w:p>
      <w:pPr>
        <w:pStyle w:val="Heading2"/>
      </w:pPr>
      <w:r>
        <w:t xml:space="preserve">4.4 Vista física</w:t>
      </w:r>
    </w:p>
    <w:bookmarkStart w:id="57" w:name="infraestructura"/>
    <w:p>
      <w:pPr>
        <w:pStyle w:val="Heading3"/>
      </w:pPr>
      <w:r>
        <w:t xml:space="preserve">Infraestructura</w:t>
      </w:r>
    </w:p>
    <w:p>
      <w:pPr>
        <w:pStyle w:val="Compact"/>
        <w:numPr>
          <w:ilvl w:val="0"/>
          <w:numId w:val="1010"/>
        </w:numPr>
      </w:pPr>
      <w:r>
        <w:t xml:space="preserve">Dispositivos móviles de gestores culturales</w:t>
      </w:r>
    </w:p>
    <w:p>
      <w:pPr>
        <w:pStyle w:val="Compact"/>
        <w:numPr>
          <w:ilvl w:val="0"/>
          <w:numId w:val="1010"/>
        </w:numPr>
      </w:pPr>
      <w:r>
        <w:t xml:space="preserve">Servidor central departamental</w:t>
      </w:r>
    </w:p>
    <w:p>
      <w:pPr>
        <w:pStyle w:val="Compact"/>
        <w:numPr>
          <w:ilvl w:val="0"/>
          <w:numId w:val="1010"/>
        </w:numPr>
      </w:pPr>
      <w:r>
        <w:t xml:space="preserve">Base de datos central</w:t>
      </w:r>
    </w:p>
    <w:p>
      <w:pPr>
        <w:pStyle w:val="Compact"/>
        <w:numPr>
          <w:ilvl w:val="0"/>
          <w:numId w:val="1010"/>
        </w:numPr>
      </w:pPr>
      <w:r>
        <w:t xml:space="preserve">Servicio de exportación LRPCI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escenario-de-caso-de-uso"/>
    <w:p>
      <w:pPr>
        <w:pStyle w:val="Heading2"/>
      </w:pPr>
      <w:r>
        <w:t xml:space="preserve">4.5 Escenario de caso de uso</w:t>
      </w:r>
    </w:p>
    <w:bookmarkStart w:id="59" w:name="Xe5dec6958edf0276147b934dd1babad5b010139"/>
    <w:p>
      <w:pPr>
        <w:pStyle w:val="Heading3"/>
      </w:pPr>
      <w:r>
        <w:t xml:space="preserve">Caso de uso: Registro de patrimonio offline</w:t>
      </w:r>
    </w:p>
    <w:p>
      <w:pPr>
        <w:pStyle w:val="Compact"/>
        <w:numPr>
          <w:ilvl w:val="0"/>
          <w:numId w:val="1011"/>
        </w:numPr>
      </w:pPr>
      <w:r>
        <w:t xml:space="preserve">El gestor cultural inicia sesión.</w:t>
      </w:r>
    </w:p>
    <w:p>
      <w:pPr>
        <w:pStyle w:val="Compact"/>
        <w:numPr>
          <w:ilvl w:val="0"/>
          <w:numId w:val="1011"/>
        </w:numPr>
      </w:pPr>
      <w:r>
        <w:t xml:space="preserve">Registra una manifestación cultural.</w:t>
      </w:r>
    </w:p>
    <w:p>
      <w:pPr>
        <w:pStyle w:val="Compact"/>
        <w:numPr>
          <w:ilvl w:val="0"/>
          <w:numId w:val="1011"/>
        </w:numPr>
      </w:pPr>
      <w:r>
        <w:t xml:space="preserve">La información se almacena localmente.</w:t>
      </w:r>
    </w:p>
    <w:p>
      <w:pPr>
        <w:pStyle w:val="Compact"/>
        <w:numPr>
          <w:ilvl w:val="0"/>
          <w:numId w:val="1011"/>
        </w:numPr>
      </w:pPr>
      <w:r>
        <w:t xml:space="preserve">Posteriormente el sistema sincroniza.</w:t>
      </w:r>
    </w:p>
    <w:p>
      <w:pPr>
        <w:pStyle w:val="Compact"/>
        <w:numPr>
          <w:ilvl w:val="0"/>
          <w:numId w:val="1011"/>
        </w:numPr>
      </w:pPr>
      <w:r>
        <w:t xml:space="preserve">El servidor central procesa la información.</w:t>
      </w:r>
    </w:p>
    <w:p>
      <w:pPr>
        <w:pStyle w:val="Compact"/>
        <w:numPr>
          <w:ilvl w:val="0"/>
          <w:numId w:val="1011"/>
        </w:numPr>
      </w:pPr>
      <w:r>
        <w:t xml:space="preserve">El adaptador genera el formato oficial.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1" w:name="patrones-de-diseño-aplicados"/>
    <w:p>
      <w:pPr>
        <w:pStyle w:val="Heading1"/>
      </w:pPr>
      <w:r>
        <w:t xml:space="preserve">5. Patrones de Diseño Aplicados</w:t>
      </w:r>
    </w:p>
    <w:bookmarkStart w:id="64" w:name="adapter"/>
    <w:p>
      <w:pPr>
        <w:pStyle w:val="Heading2"/>
      </w:pPr>
      <w:r>
        <w:t xml:space="preserve">5.1 Adapter</w:t>
      </w:r>
    </w:p>
    <w:bookmarkStart w:id="62" w:name="uso"/>
    <w:p>
      <w:pPr>
        <w:pStyle w:val="Heading3"/>
      </w:pPr>
      <w:r>
        <w:t xml:space="preserve">Uso</w:t>
      </w:r>
    </w:p>
    <w:p>
      <w:pPr>
        <w:pStyle w:val="FirstParagraph"/>
      </w:pPr>
      <w:r>
        <w:t xml:space="preserve">Permite transformar las estructuras internas del sistema al formato LRPCI.</w:t>
      </w:r>
    </w:p>
    <w:bookmarkEnd w:id="62"/>
    <w:bookmarkStart w:id="63" w:name="beneficio"/>
    <w:p>
      <w:pPr>
        <w:pStyle w:val="Heading3"/>
      </w:pPr>
      <w:r>
        <w:t xml:space="preserve">Beneficio</w:t>
      </w:r>
    </w:p>
    <w:p>
      <w:pPr>
        <w:pStyle w:val="FirstParagraph"/>
      </w:pPr>
      <w:r>
        <w:t xml:space="preserve">Los cambios del Ministerio afectan únicamente el adaptador.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trategy"/>
    <w:p>
      <w:pPr>
        <w:pStyle w:val="Heading2"/>
      </w:pPr>
      <w:r>
        <w:t xml:space="preserve">5.2 Strategy</w:t>
      </w:r>
    </w:p>
    <w:bookmarkStart w:id="65" w:name="uso-1"/>
    <w:p>
      <w:pPr>
        <w:pStyle w:val="Heading3"/>
      </w:pPr>
      <w:r>
        <w:t xml:space="preserve">Uso</w:t>
      </w:r>
    </w:p>
    <w:p>
      <w:pPr>
        <w:pStyle w:val="FirstParagraph"/>
      </w:pPr>
      <w:r>
        <w:t xml:space="preserve">Permite manejar diferentes versiones del formato LRPCI.</w:t>
      </w:r>
    </w:p>
    <w:bookmarkEnd w:id="65"/>
    <w:bookmarkStart w:id="66" w:name="beneficio-1"/>
    <w:p>
      <w:pPr>
        <w:pStyle w:val="Heading3"/>
      </w:pPr>
      <w:r>
        <w:t xml:space="preserve">Beneficio</w:t>
      </w:r>
    </w:p>
    <w:p>
      <w:pPr>
        <w:pStyle w:val="FirstParagraph"/>
      </w:pPr>
      <w:r>
        <w:t xml:space="preserve">Se pueden cambiar estrategias de exportación sin modificar el dominio.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factory-method"/>
    <w:p>
      <w:pPr>
        <w:pStyle w:val="Heading2"/>
      </w:pPr>
      <w:r>
        <w:t xml:space="preserve">5.3 Factory Method</w:t>
      </w:r>
    </w:p>
    <w:bookmarkStart w:id="68" w:name="uso-2"/>
    <w:p>
      <w:pPr>
        <w:pStyle w:val="Heading3"/>
      </w:pPr>
      <w:r>
        <w:t xml:space="preserve">Uso</w:t>
      </w:r>
    </w:p>
    <w:p>
      <w:pPr>
        <w:pStyle w:val="FirstParagraph"/>
      </w:pPr>
      <w:r>
        <w:t xml:space="preserve">Permite crear objetos de exportación según la versión del Ministerio.</w:t>
      </w:r>
    </w:p>
    <w:bookmarkEnd w:id="68"/>
    <w:bookmarkStart w:id="69" w:name="beneficio-2"/>
    <w:p>
      <w:pPr>
        <w:pStyle w:val="Heading3"/>
      </w:pPr>
      <w:r>
        <w:t xml:space="preserve">Beneficio</w:t>
      </w:r>
    </w:p>
    <w:p>
      <w:pPr>
        <w:pStyle w:val="FirstParagraph"/>
      </w:pPr>
      <w:r>
        <w:t xml:space="preserve">Facilita la creación dinámica de estructuras compatibles.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91" w:name="decisiones-arquitectónicas-adr"/>
    <w:p>
      <w:pPr>
        <w:pStyle w:val="Heading1"/>
      </w:pPr>
      <w:r>
        <w:t xml:space="preserve">6. Decisiones Arquitectónicas (ADR)</w:t>
      </w:r>
    </w:p>
    <w:bookmarkStart w:id="78" w:name="adr-1-uso-de-arquitectura-hexagonal"/>
    <w:p>
      <w:pPr>
        <w:pStyle w:val="Heading2"/>
      </w:pPr>
      <w:r>
        <w:t xml:space="preserve">ADR 1 — Uso de arquitectura hexagonal</w:t>
      </w:r>
    </w:p>
    <w:bookmarkStart w:id="72" w:name="contexto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El sistema necesita adaptarse constantemente a cambios externos del Ministerio.</w:t>
      </w:r>
    </w:p>
    <w:bookmarkEnd w:id="72"/>
    <w:bookmarkStart w:id="73" w:name="decisión"/>
    <w:p>
      <w:pPr>
        <w:pStyle w:val="Heading3"/>
      </w:pPr>
      <w:r>
        <w:t xml:space="preserve">Decisión</w:t>
      </w:r>
    </w:p>
    <w:p>
      <w:pPr>
        <w:pStyle w:val="FirstParagraph"/>
      </w:pPr>
      <w:r>
        <w:t xml:space="preserve">Separar el dominio del negocio mediante puertos y adaptadores.</w:t>
      </w:r>
    </w:p>
    <w:bookmarkEnd w:id="73"/>
    <w:bookmarkStart w:id="74" w:name="alternativas-consideradas"/>
    <w:p>
      <w:pPr>
        <w:pStyle w:val="Heading3"/>
      </w:pPr>
      <w:r>
        <w:t xml:space="preserve">Alternativas consideradas</w:t>
      </w:r>
    </w:p>
    <w:p>
      <w:pPr>
        <w:pStyle w:val="Compact"/>
        <w:numPr>
          <w:ilvl w:val="0"/>
          <w:numId w:val="1012"/>
        </w:numPr>
      </w:pPr>
      <w:r>
        <w:t xml:space="preserve">Arquitectura en capas</w:t>
      </w:r>
    </w:p>
    <w:p>
      <w:pPr>
        <w:pStyle w:val="Compact"/>
        <w:numPr>
          <w:ilvl w:val="0"/>
          <w:numId w:val="1012"/>
        </w:numPr>
      </w:pPr>
      <w:r>
        <w:t xml:space="preserve">MVC</w:t>
      </w:r>
    </w:p>
    <w:bookmarkEnd w:id="74"/>
    <w:bookmarkStart w:id="77" w:name="consecuencias"/>
    <w:p>
      <w:pPr>
        <w:pStyle w:val="Heading3"/>
      </w:pPr>
      <w:r>
        <w:t xml:space="preserve">Consecuencias</w:t>
      </w:r>
    </w:p>
    <w:bookmarkStart w:id="75" w:name="positivas"/>
    <w:p>
      <w:pPr>
        <w:pStyle w:val="Heading4"/>
      </w:pPr>
      <w:r>
        <w:t xml:space="preserve">Positivas</w:t>
      </w:r>
    </w:p>
    <w:p>
      <w:pPr>
        <w:pStyle w:val="Compact"/>
        <w:numPr>
          <w:ilvl w:val="0"/>
          <w:numId w:val="1013"/>
        </w:numPr>
      </w:pPr>
      <w:r>
        <w:t xml:space="preserve">Alta modificabilidad.</w:t>
      </w:r>
    </w:p>
    <w:p>
      <w:pPr>
        <w:pStyle w:val="Compact"/>
        <w:numPr>
          <w:ilvl w:val="0"/>
          <w:numId w:val="1013"/>
        </w:numPr>
      </w:pPr>
      <w:r>
        <w:t xml:space="preserve">Bajo acoplamiento.</w:t>
      </w:r>
    </w:p>
    <w:p>
      <w:pPr>
        <w:pStyle w:val="Compact"/>
        <w:numPr>
          <w:ilvl w:val="0"/>
          <w:numId w:val="1013"/>
        </w:numPr>
      </w:pPr>
      <w:r>
        <w:t xml:space="preserve">Mejor mantenibilidad.</w:t>
      </w:r>
    </w:p>
    <w:bookmarkEnd w:id="75"/>
    <w:bookmarkStart w:id="76" w:name="negativas"/>
    <w:p>
      <w:pPr>
        <w:pStyle w:val="Heading4"/>
      </w:pPr>
      <w:r>
        <w:t xml:space="preserve">Negativas</w:t>
      </w:r>
    </w:p>
    <w:p>
      <w:pPr>
        <w:pStyle w:val="Compact"/>
        <w:numPr>
          <w:ilvl w:val="0"/>
          <w:numId w:val="1014"/>
        </w:numPr>
      </w:pPr>
      <w:r>
        <w:t xml:space="preserve">Mayor complejidad inicial.</w:t>
      </w:r>
    </w:p>
    <w:p>
      <w:pPr>
        <w:pStyle w:val="Compact"/>
        <w:numPr>
          <w:ilvl w:val="0"/>
          <w:numId w:val="1014"/>
        </w:numPr>
      </w:pPr>
      <w:r>
        <w:t xml:space="preserve">Más componentes arquitectónicos.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4" w:name="adr-2-sincronización-offline"/>
    <w:p>
      <w:pPr>
        <w:pStyle w:val="Heading2"/>
      </w:pPr>
      <w:r>
        <w:t xml:space="preserve">ADR 2 — Sincronización offline</w:t>
      </w:r>
    </w:p>
    <w:bookmarkStart w:id="79" w:name="contexto-1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Los gestores culturales trabajan en zonas sin conectividad.</w:t>
      </w:r>
    </w:p>
    <w:bookmarkEnd w:id="79"/>
    <w:bookmarkStart w:id="80" w:name="decisión-1"/>
    <w:p>
      <w:pPr>
        <w:pStyle w:val="Heading3"/>
      </w:pPr>
      <w:r>
        <w:t xml:space="preserve">Decisión</w:t>
      </w:r>
    </w:p>
    <w:p>
      <w:pPr>
        <w:pStyle w:val="FirstParagraph"/>
      </w:pPr>
      <w:r>
        <w:t xml:space="preserve">Permitir almacenamiento local y sincronización posterior.</w:t>
      </w:r>
    </w:p>
    <w:bookmarkEnd w:id="80"/>
    <w:bookmarkStart w:id="83" w:name="consecuencias-1"/>
    <w:p>
      <w:pPr>
        <w:pStyle w:val="Heading3"/>
      </w:pPr>
      <w:r>
        <w:t xml:space="preserve">Consecuencias</w:t>
      </w:r>
    </w:p>
    <w:bookmarkStart w:id="81" w:name="positivas-1"/>
    <w:p>
      <w:pPr>
        <w:pStyle w:val="Heading4"/>
      </w:pPr>
      <w:r>
        <w:t xml:space="preserve">Positivas</w:t>
      </w:r>
    </w:p>
    <w:p>
      <w:pPr>
        <w:pStyle w:val="Compact"/>
        <w:numPr>
          <w:ilvl w:val="0"/>
          <w:numId w:val="1015"/>
        </w:numPr>
      </w:pPr>
      <w:r>
        <w:t xml:space="preserve">Alta disponibilidad.</w:t>
      </w:r>
    </w:p>
    <w:p>
      <w:pPr>
        <w:pStyle w:val="Compact"/>
        <w:numPr>
          <w:ilvl w:val="0"/>
          <w:numId w:val="1015"/>
        </w:numPr>
      </w:pPr>
      <w:r>
        <w:t xml:space="preserve">Continuidad operativa.</w:t>
      </w:r>
    </w:p>
    <w:bookmarkEnd w:id="81"/>
    <w:bookmarkStart w:id="82" w:name="negativas-1"/>
    <w:p>
      <w:pPr>
        <w:pStyle w:val="Heading4"/>
      </w:pPr>
      <w:r>
        <w:t xml:space="preserve">Negativas</w:t>
      </w:r>
    </w:p>
    <w:p>
      <w:pPr>
        <w:pStyle w:val="Compact"/>
        <w:numPr>
          <w:ilvl w:val="0"/>
          <w:numId w:val="1016"/>
        </w:numPr>
      </w:pPr>
      <w:r>
        <w:t xml:space="preserve">Mayor complejidad de sincronización.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0" w:name="adr-3-adaptador-independiente-para-lrpci"/>
    <w:p>
      <w:pPr>
        <w:pStyle w:val="Heading2"/>
      </w:pPr>
      <w:r>
        <w:t xml:space="preserve">ADR 3 — Adaptador independiente para LRPCI</w:t>
      </w:r>
    </w:p>
    <w:bookmarkStart w:id="85" w:name="contexto-2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El Ministerio modifica periódicamente la estructura de datos.</w:t>
      </w:r>
    </w:p>
    <w:bookmarkEnd w:id="85"/>
    <w:bookmarkStart w:id="86" w:name="decisión-2"/>
    <w:p>
      <w:pPr>
        <w:pStyle w:val="Heading3"/>
      </w:pPr>
      <w:r>
        <w:t xml:space="preserve">Decisión</w:t>
      </w:r>
    </w:p>
    <w:p>
      <w:pPr>
        <w:pStyle w:val="FirstParagraph"/>
      </w:pPr>
      <w:r>
        <w:t xml:space="preserve">Implementar un adaptador especializado para transformación.</w:t>
      </w:r>
    </w:p>
    <w:bookmarkEnd w:id="86"/>
    <w:bookmarkStart w:id="89" w:name="consecuencias-2"/>
    <w:p>
      <w:pPr>
        <w:pStyle w:val="Heading3"/>
      </w:pPr>
      <w:r>
        <w:t xml:space="preserve">Consecuencias</w:t>
      </w:r>
    </w:p>
    <w:bookmarkStart w:id="87" w:name="positivas-2"/>
    <w:p>
      <w:pPr>
        <w:pStyle w:val="Heading4"/>
      </w:pPr>
      <w:r>
        <w:t xml:space="preserve">Positivas</w:t>
      </w:r>
    </w:p>
    <w:p>
      <w:pPr>
        <w:pStyle w:val="Compact"/>
        <w:numPr>
          <w:ilvl w:val="0"/>
          <w:numId w:val="1017"/>
        </w:numPr>
      </w:pPr>
      <w:r>
        <w:t xml:space="preserve">Cambios aislados.</w:t>
      </w:r>
    </w:p>
    <w:p>
      <w:pPr>
        <w:pStyle w:val="Compact"/>
        <w:numPr>
          <w:ilvl w:val="0"/>
          <w:numId w:val="1017"/>
        </w:numPr>
      </w:pPr>
      <w:r>
        <w:t xml:space="preserve">Mejor interoperabilidad.</w:t>
      </w:r>
    </w:p>
    <w:bookmarkEnd w:id="87"/>
    <w:bookmarkStart w:id="88" w:name="negativas-2"/>
    <w:p>
      <w:pPr>
        <w:pStyle w:val="Heading4"/>
      </w:pPr>
      <w:r>
        <w:t xml:space="preserve">Negativas</w:t>
      </w:r>
    </w:p>
    <w:p>
      <w:pPr>
        <w:pStyle w:val="Compact"/>
        <w:numPr>
          <w:ilvl w:val="0"/>
          <w:numId w:val="1018"/>
        </w:numPr>
      </w:pPr>
      <w:r>
        <w:t xml:space="preserve">Incremento en lógica de transformación.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End w:id="91"/>
    <w:bookmarkStart w:id="95" w:name="análisis-de-la-tensión-arquitectónica"/>
    <w:p>
      <w:pPr>
        <w:pStyle w:val="Heading1"/>
      </w:pPr>
      <w:r>
        <w:t xml:space="preserve">7. Análisis de la Tensión Arquitectónica</w:t>
      </w:r>
    </w:p>
    <w:p>
      <w:pPr>
        <w:pStyle w:val="FirstParagraph"/>
      </w:pPr>
      <w:r>
        <w:t xml:space="preserve">La tensión principal del sistema consiste en mantener flexibilidad local para los municipios mientras se cumple estrictamente el formato nacional LRPCI.</w:t>
      </w:r>
    </w:p>
    <w:p>
      <w:pPr>
        <w:pStyle w:val="BodyText"/>
      </w:pPr>
      <w:r>
        <w:t xml:space="preserve">La arquitectura hexagonal permite resolver esta tensión separando el dominio cultural de las integraciones externas.</w:t>
      </w:r>
    </w:p>
    <w:bookmarkStart w:id="92" w:name="qué-gana-la-arquitectura"/>
    <w:p>
      <w:pPr>
        <w:pStyle w:val="Heading2"/>
      </w:pPr>
      <w:r>
        <w:t xml:space="preserve">Qué gana la arquitectura</w:t>
      </w:r>
    </w:p>
    <w:p>
      <w:pPr>
        <w:pStyle w:val="Compact"/>
        <w:numPr>
          <w:ilvl w:val="0"/>
          <w:numId w:val="1019"/>
        </w:numPr>
      </w:pPr>
      <w:r>
        <w:t xml:space="preserve">Flexibilidad en captura de información.</w:t>
      </w:r>
    </w:p>
    <w:p>
      <w:pPr>
        <w:pStyle w:val="Compact"/>
        <w:numPr>
          <w:ilvl w:val="0"/>
          <w:numId w:val="1019"/>
        </w:numPr>
      </w:pPr>
      <w:r>
        <w:t xml:space="preserve">Adaptabilidad a cambios del Ministerio.</w:t>
      </w:r>
    </w:p>
    <w:p>
      <w:pPr>
        <w:pStyle w:val="Compact"/>
        <w:numPr>
          <w:ilvl w:val="0"/>
          <w:numId w:val="1019"/>
        </w:numPr>
      </w:pPr>
      <w:r>
        <w:t xml:space="preserve">Independencia del dominio.</w:t>
      </w:r>
    </w:p>
    <w:p>
      <w:pPr>
        <w:pStyle w:val="Compact"/>
        <w:numPr>
          <w:ilvl w:val="0"/>
          <w:numId w:val="1019"/>
        </w:numPr>
      </w:pPr>
      <w:r>
        <w:t xml:space="preserve">Mayor mantenibilidad.</w:t>
      </w:r>
    </w:p>
    <w:bookmarkEnd w:id="92"/>
    <w:bookmarkStart w:id="93" w:name="qué-sacrifica"/>
    <w:p>
      <w:pPr>
        <w:pStyle w:val="Heading2"/>
      </w:pPr>
      <w:r>
        <w:t xml:space="preserve">Qué sacrifica</w:t>
      </w:r>
    </w:p>
    <w:p>
      <w:pPr>
        <w:pStyle w:val="Compact"/>
        <w:numPr>
          <w:ilvl w:val="0"/>
          <w:numId w:val="1020"/>
        </w:numPr>
      </w:pPr>
      <w:r>
        <w:t xml:space="preserve">Simplicidad arquitectónica.</w:t>
      </w:r>
    </w:p>
    <w:p>
      <w:pPr>
        <w:pStyle w:val="Compact"/>
        <w:numPr>
          <w:ilvl w:val="0"/>
          <w:numId w:val="1020"/>
        </w:numPr>
      </w:pPr>
      <w:r>
        <w:t xml:space="preserve">Mayor complejidad técnica.</w:t>
      </w:r>
    </w:p>
    <w:p>
      <w:pPr>
        <w:pStyle w:val="Compact"/>
        <w:numPr>
          <w:ilvl w:val="0"/>
          <w:numId w:val="1020"/>
        </w:numPr>
      </w:pPr>
      <w:r>
        <w:t xml:space="preserve">Más componentes y transformaciones.</w:t>
      </w:r>
    </w:p>
    <w:bookmarkEnd w:id="93"/>
    <w:bookmarkStart w:id="94" w:name="punto-crítico-de-tensión"/>
    <w:p>
      <w:pPr>
        <w:pStyle w:val="Heading2"/>
      </w:pPr>
      <w:r>
        <w:t xml:space="preserve">Punto crítico de tensión</w:t>
      </w:r>
    </w:p>
    <w:p>
      <w:pPr>
        <w:pStyle w:val="FirstParagraph"/>
      </w:pPr>
      <w:r>
        <w:t xml:space="preserve">El punto más crítico ocurre durante la transformación de la información flexible local al esquema rígido LRPCI.</w:t>
      </w:r>
    </w:p>
    <w:p>
      <w:pPr>
        <w:pStyle w:val="BodyText"/>
      </w:pPr>
      <w:r>
        <w:t xml:space="preserve">La decisión arquitectónica fue aislar esta transformación en adaptadores especializados.</w:t>
      </w:r>
    </w:p>
    <w:p>
      <w:pPr>
        <w:pStyle w:val="BodyText"/>
      </w:pPr>
      <w:r>
        <w:t xml:space="preserve">La alternativa descartada fue utilizar directamente el modelo del Ministerio como estructura principal del sistema.</w:t>
      </w:r>
    </w:p>
    <w:p>
      <w:pPr>
        <w:pStyle w:val="BodyText"/>
      </w:pPr>
      <w:r>
        <w:t xml:space="preserve">Se descartó porque cualquier cambio externo afectaría todo el dominio del negocio.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onclusiones-y-reflexión-grupal"/>
    <w:p>
      <w:pPr>
        <w:pStyle w:val="Heading1"/>
      </w:pPr>
      <w:r>
        <w:t xml:space="preserve">8. Conclusiones y Reflexión Grupal</w:t>
      </w:r>
    </w:p>
    <w:p>
      <w:pPr>
        <w:pStyle w:val="FirstParagraph"/>
      </w:pPr>
      <w:r>
        <w:t xml:space="preserve">El desarrollo de PatrimonioNariño permitió comprender cómo las decisiones arquitectónicas deben responder al contexto del problema y no únicamente a criterios tecnológicos.</w:t>
      </w:r>
    </w:p>
    <w:p>
      <w:pPr>
        <w:pStyle w:val="BodyText"/>
      </w:pPr>
      <w:r>
        <w:t xml:space="preserve">La arquitectura hexagonal demostró ser adecuada para sistemas donde el dominio debe permanecer independiente de integraciones externas cambiantes.</w:t>
      </w:r>
    </w:p>
    <w:p>
      <w:pPr>
        <w:pStyle w:val="BodyText"/>
      </w:pPr>
      <w:r>
        <w:t xml:space="preserve">También se evidenció que resolver tensiones arquitectónicas implica realizar sacrificios conscientes entre simplicidad y modificabilidad.</w:t>
      </w:r>
    </w:p>
    <w:p>
      <w:pPr>
        <w:pStyle w:val="BodyText"/>
      </w:pPr>
      <w:r>
        <w:t xml:space="preserve">El proyecto permitió aplicar conceptos como drivers arquitectónicos, vistas 4+1, patrones de diseño y ADR de manera integrada.</w:t>
      </w:r>
    </w:p>
    <w:p>
      <w:r>
        <w:pict>
          <v:rect style="width:0;height:1.5pt" o:hralign="center" o:hrstd="t" o:hr="t"/>
        </w:pict>
      </w:r>
    </w:p>
    <w:bookmarkEnd w:id="96"/>
    <w:bookmarkStart w:id="97" w:name="glosario-de-términos-técnicos"/>
    <w:p>
      <w:pPr>
        <w:pStyle w:val="Heading1"/>
      </w:pPr>
      <w:r>
        <w:t xml:space="preserve">9. Glosario de Términos Técnicos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Hexagonal</w:t>
            </w:r>
          </w:p>
        </w:tc>
        <w:tc>
          <w:tcPr/>
          <w:p>
            <w:pPr>
              <w:pStyle w:val="Compact"/>
            </w:pPr>
            <w:r>
              <w:t xml:space="preserve">Patrón que separa el dominio de negocio de dependencias externas mediante puertos y adaptadores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Contrato de comunicación entre el dominio y el exterior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Adaptador</w:t>
            </w:r>
          </w:p>
        </w:tc>
        <w:tc>
          <w:tcPr/>
          <w:p>
            <w:pPr>
              <w:pStyle w:val="Compact"/>
            </w:pPr>
            <w:r>
              <w:t xml:space="preserve">Implementación concreta que conecta el dominio con tecnologías externas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LRPCI</w:t>
            </w:r>
          </w:p>
        </w:tc>
        <w:tc>
          <w:tcPr/>
          <w:p>
            <w:pPr>
              <w:pStyle w:val="Compact"/>
            </w:pPr>
            <w:r>
              <w:t xml:space="preserve">Lista Representativa de Patrimonio Cultural Inmaterial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Interoperabilidad</w:t>
            </w:r>
          </w:p>
        </w:tc>
        <w:tc>
          <w:tcPr/>
          <w:p>
            <w:pPr>
              <w:pStyle w:val="Compact"/>
            </w:pPr>
            <w:r>
              <w:t xml:space="preserve">Capacidad de comunicarse con sistemas externos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Modificabilidad</w:t>
            </w:r>
          </w:p>
        </w:tc>
        <w:tc>
          <w:tcPr/>
          <w:p>
            <w:pPr>
              <w:pStyle w:val="Compact"/>
            </w:pPr>
            <w:r>
              <w:t xml:space="preserve">Facilidad para cambiar el sistema sin afectar otras partes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 offline</w:t>
            </w:r>
          </w:p>
        </w:tc>
        <w:tc>
          <w:tcPr/>
          <w:p>
            <w:pPr>
              <w:pStyle w:val="Compact"/>
            </w:pPr>
            <w:r>
              <w:t xml:space="preserve">Capacidad de operar sin conexión a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Registro formal de decisiones arquitectónicas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Núcleo del negocio y sus reglas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Sincronización</w:t>
            </w:r>
          </w:p>
        </w:tc>
        <w:tc>
          <w:tcPr/>
          <w:p>
            <w:pPr>
              <w:pStyle w:val="Compact"/>
            </w:pPr>
            <w:r>
              <w:t xml:space="preserve">Proceso de envío y actualización de datos entre sistemas</w:t>
            </w:r>
          </w:p>
        </w:tc>
      </w:tr>
    </w:tbl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2026-05-07T13:46:11Z</dcterms:created>
  <dcterms:modified xsi:type="dcterms:W3CDTF">2026-05-07T13:46:11Z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