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Informe de Análisis de Datos</w:t>
      </w:r>
    </w:p>
    <w:p>
      <w:pPr>
        <w:jc w:val="center"/>
      </w:pPr>
      <w:r>
        <w:rPr>
          <w:b/>
          <w:sz w:val="28"/>
        </w:rPr>
        <w:t>Proyecto Final de Probabilidad y Estadística</w:t>
      </w:r>
    </w:p>
    <w:p>
      <w:pPr>
        <w:jc w:val="center"/>
      </w:pPr>
      <w:r>
        <w:rPr>
          <w:b/>
        </w:rPr>
        <w:t>Integrantes: Kevin Yamid Agreda Pianda – Santiago</w:t>
        <w:br/>
      </w:r>
      <w:r>
        <w:t>Base de datos: base_datos_restaurantes_USA_v2.csv</w:t>
        <w:br/>
      </w:r>
      <w:r>
        <w:t>Sección abordada: I. Estadística Descriptiva (Reconocimiento y Limpieza de datos)</w:t>
      </w:r>
    </w:p>
    <w:p/>
    <w:p>
      <w:pPr>
        <w:pStyle w:val="Heading1"/>
      </w:pPr>
      <w:r>
        <w:t>Introducción</w:t>
      </w:r>
    </w:p>
    <w:p>
      <w:r>
        <w:rPr>
          <w:b w:val="0"/>
          <w:i w:val="0"/>
        </w:rPr>
        <w:t>El presente informe documenta el proceso de reconocimiento y limpieza de la base de datos de clientes de restaurantes en Estados Unidos, realizado en el notebook de Python del proyecto. El objetivo de esta primera etapa es comprender la estructura y la naturaleza de los datos, identificar los problemas de calidad presentes (valores nulos, duplicados y datos incoherentes) y estandarizar la base aplicando medidas de tendencia central justificadas mediante un análisis de sensibilidad. De esta forma, se garantiza que los datos con los que se trabaja (Tabla 1) sean coherentes, completos y aptos para los análisis descriptivos y de probabilidad de las etapas posteriores.</w:t>
      </w:r>
    </w:p>
    <w:p>
      <w:pPr>
        <w:pStyle w:val="Heading1"/>
      </w:pPr>
      <w:r>
        <w:t>1. Reconocimiento de Datos</w:t>
      </w:r>
    </w:p>
    <w:p>
      <w:pPr>
        <w:pStyle w:val="Heading2"/>
      </w:pPr>
      <w:r>
        <w:t>1.1 Descripción de la base de datos</w:t>
      </w:r>
    </w:p>
    <w:p>
      <w:r>
        <w:rPr>
          <w:b w:val="0"/>
          <w:i w:val="0"/>
        </w:rPr>
        <w:t>La base de datos original (Data-Sucia) cuenta con 30.000 registros (filas) y 17 variables (columnas) que describen el perfil de clientes de restaurantes en distintas ciudades de Estados Unidos. Cada fila representa a una persona identificada de forma única mediante el campo id_persona. Las variables se clasifican en cualitativas (categóricas) y cuantitativas (numéricas), tal como se resume a continuación: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Tipo de dato (Python)</w:t>
            </w:r>
          </w:p>
        </w:tc>
        <w:tc>
          <w:tcPr>
            <w:tcW w:type="dxa" w:w="2160"/>
          </w:tcPr>
          <w:p>
            <w:r>
              <w:rPr>
                <w:b/>
              </w:rPr>
              <w:t>Naturaleza estadística</w:t>
            </w:r>
          </w:p>
        </w:tc>
        <w:tc>
          <w:tcPr>
            <w:tcW w:type="dxa" w:w="2160"/>
          </w:tcPr>
          <w:p>
            <w:r>
              <w:rPr>
                <w:b/>
              </w:rPr>
              <w:t>Descripción</w:t>
            </w:r>
          </w:p>
        </w:tc>
      </w:tr>
      <w:tr>
        <w:tc>
          <w:tcPr>
            <w:tcW w:type="dxa" w:w="2160"/>
          </w:tcPr>
          <w:p>
            <w:r>
              <w:t>id_persona</w:t>
            </w:r>
          </w:p>
        </w:tc>
        <w:tc>
          <w:tcPr>
            <w:tcW w:type="dxa" w:w="2160"/>
          </w:tcPr>
          <w:p>
            <w:r>
              <w:t>int64</w:t>
            </w:r>
          </w:p>
        </w:tc>
        <w:tc>
          <w:tcPr>
            <w:tcW w:type="dxa" w:w="2160"/>
          </w:tcPr>
          <w:p>
            <w:r>
              <w:t>Cualitativa nominal (identificador)</w:t>
            </w:r>
          </w:p>
        </w:tc>
        <w:tc>
          <w:tcPr>
            <w:tcW w:type="dxa" w:w="2160"/>
          </w:tcPr>
          <w:p>
            <w:r>
              <w:t>Código único del cliente.</w:t>
            </w:r>
          </w:p>
        </w:tc>
      </w:tr>
      <w:tr>
        <w:tc>
          <w:tcPr>
            <w:tcW w:type="dxa" w:w="2160"/>
          </w:tcPr>
          <w:p>
            <w:r>
              <w:t>nombre / apellido</w:t>
            </w:r>
          </w:p>
        </w:tc>
        <w:tc>
          <w:tcPr>
            <w:tcW w:type="dxa" w:w="2160"/>
          </w:tcPr>
          <w:p>
            <w:r>
              <w:t>str (texto)</w:t>
            </w:r>
          </w:p>
        </w:tc>
        <w:tc>
          <w:tcPr>
            <w:tcW w:type="dxa" w:w="2160"/>
          </w:tcPr>
          <w:p>
            <w:r>
              <w:t>Cualitativa nominal</w:t>
            </w:r>
          </w:p>
        </w:tc>
        <w:tc>
          <w:tcPr>
            <w:tcW w:type="dxa" w:w="2160"/>
          </w:tcPr>
          <w:p>
            <w:r>
              <w:t>Nombres y apellidos del cliente.</w:t>
            </w:r>
          </w:p>
        </w:tc>
      </w:tr>
      <w:tr>
        <w:tc>
          <w:tcPr>
            <w:tcW w:type="dxa" w:w="2160"/>
          </w:tcPr>
          <w:p>
            <w:r>
              <w:t>edad</w:t>
            </w:r>
          </w:p>
        </w:tc>
        <w:tc>
          <w:tcPr>
            <w:tcW w:type="dxa" w:w="2160"/>
          </w:tcPr>
          <w:p>
            <w:r>
              <w:t>float64</w:t>
            </w:r>
          </w:p>
        </w:tc>
        <w:tc>
          <w:tcPr>
            <w:tcW w:type="dxa" w:w="2160"/>
          </w:tcPr>
          <w:p>
            <w:r>
              <w:t>Cuantitativa discreta</w:t>
            </w:r>
          </w:p>
        </w:tc>
        <w:tc>
          <w:tcPr>
            <w:tcW w:type="dxa" w:w="2160"/>
          </w:tcPr>
          <w:p>
            <w:r>
              <w:t>Edad en años.</w:t>
            </w:r>
          </w:p>
        </w:tc>
      </w:tr>
      <w:tr>
        <w:tc>
          <w:tcPr>
            <w:tcW w:type="dxa" w:w="2160"/>
          </w:tcPr>
          <w:p>
            <w:r>
              <w:t>genero</w:t>
            </w:r>
          </w:p>
        </w:tc>
        <w:tc>
          <w:tcPr>
            <w:tcW w:type="dxa" w:w="2160"/>
          </w:tcPr>
          <w:p>
            <w:r>
              <w:t>str (texto)</w:t>
            </w:r>
          </w:p>
        </w:tc>
        <w:tc>
          <w:tcPr>
            <w:tcW w:type="dxa" w:w="2160"/>
          </w:tcPr>
          <w:p>
            <w:r>
              <w:t>Cualitativa nominal (dicotómica)</w:t>
            </w:r>
          </w:p>
        </w:tc>
        <w:tc>
          <w:tcPr>
            <w:tcW w:type="dxa" w:w="2160"/>
          </w:tcPr>
          <w:p>
            <w:r>
              <w:t>Femenino / Masculino.</w:t>
            </w:r>
          </w:p>
        </w:tc>
      </w:tr>
      <w:tr>
        <w:tc>
          <w:tcPr>
            <w:tcW w:type="dxa" w:w="2160"/>
          </w:tcPr>
          <w:p>
            <w:r>
              <w:t>ciudad_residencia</w:t>
            </w:r>
          </w:p>
        </w:tc>
        <w:tc>
          <w:tcPr>
            <w:tcW w:type="dxa" w:w="2160"/>
          </w:tcPr>
          <w:p>
            <w:r>
              <w:t>str (texto)</w:t>
            </w:r>
          </w:p>
        </w:tc>
        <w:tc>
          <w:tcPr>
            <w:tcW w:type="dxa" w:w="2160"/>
          </w:tcPr>
          <w:p>
            <w:r>
              <w:t>Cualitativa nominal</w:t>
            </w:r>
          </w:p>
        </w:tc>
        <w:tc>
          <w:tcPr>
            <w:tcW w:type="dxa" w:w="2160"/>
          </w:tcPr>
          <w:p>
            <w:r>
              <w:t>Ciudad donde reside (10 ciudades).</w:t>
            </w:r>
          </w:p>
        </w:tc>
      </w:tr>
      <w:tr>
        <w:tc>
          <w:tcPr>
            <w:tcW w:type="dxa" w:w="2160"/>
          </w:tcPr>
          <w:p>
            <w:r>
              <w:t>estrato_socioeconomico</w:t>
            </w:r>
          </w:p>
        </w:tc>
        <w:tc>
          <w:tcPr>
            <w:tcW w:type="dxa" w:w="2160"/>
          </w:tcPr>
          <w:p>
            <w:r>
              <w:t>str (texto)</w:t>
            </w:r>
          </w:p>
        </w:tc>
        <w:tc>
          <w:tcPr>
            <w:tcW w:type="dxa" w:w="2160"/>
          </w:tcPr>
          <w:p>
            <w:r>
              <w:t>Cualitativa ordinal</w:t>
            </w:r>
          </w:p>
        </w:tc>
        <w:tc>
          <w:tcPr>
            <w:tcW w:type="dxa" w:w="2160"/>
          </w:tcPr>
          <w:p>
            <w:r>
              <w:t>Bajo, Medio, Alto, Muy Alto.</w:t>
            </w:r>
          </w:p>
        </w:tc>
      </w:tr>
      <w:tr>
        <w:tc>
          <w:tcPr>
            <w:tcW w:type="dxa" w:w="2160"/>
          </w:tcPr>
          <w:p>
            <w:r>
              <w:t>frecuencia_visita</w:t>
            </w:r>
          </w:p>
        </w:tc>
        <w:tc>
          <w:tcPr>
            <w:tcW w:type="dxa" w:w="2160"/>
          </w:tcPr>
          <w:p>
            <w:r>
              <w:t>int64</w:t>
            </w:r>
          </w:p>
        </w:tc>
        <w:tc>
          <w:tcPr>
            <w:tcW w:type="dxa" w:w="2160"/>
          </w:tcPr>
          <w:p>
            <w:r>
              <w:t>Cuantitativa discreta</w:t>
            </w:r>
          </w:p>
        </w:tc>
        <w:tc>
          <w:tcPr>
            <w:tcW w:type="dxa" w:w="2160"/>
          </w:tcPr>
          <w:p>
            <w:r>
              <w:t>Número de visitas al restaurante.</w:t>
            </w:r>
          </w:p>
        </w:tc>
      </w:tr>
      <w:tr>
        <w:tc>
          <w:tcPr>
            <w:tcW w:type="dxa" w:w="2160"/>
          </w:tcPr>
          <w:p>
            <w:r>
              <w:t>promedio_gasto_comida</w:t>
            </w:r>
          </w:p>
        </w:tc>
        <w:tc>
          <w:tcPr>
            <w:tcW w:type="dxa" w:w="2160"/>
          </w:tcPr>
          <w:p>
            <w:r>
              <w:t>float64</w:t>
            </w:r>
          </w:p>
        </w:tc>
        <w:tc>
          <w:tcPr>
            <w:tcW w:type="dxa" w:w="2160"/>
          </w:tcPr>
          <w:p>
            <w:r>
              <w:t>Cuantitativa continua</w:t>
            </w:r>
          </w:p>
        </w:tc>
        <w:tc>
          <w:tcPr>
            <w:tcW w:type="dxa" w:w="2160"/>
          </w:tcPr>
          <w:p>
            <w:r>
              <w:t>Gasto promedio en comida (USD).</w:t>
            </w:r>
          </w:p>
        </w:tc>
      </w:tr>
      <w:tr>
        <w:tc>
          <w:tcPr>
            <w:tcW w:type="dxa" w:w="2160"/>
          </w:tcPr>
          <w:p>
            <w:r>
              <w:t>ocio</w:t>
            </w:r>
          </w:p>
        </w:tc>
        <w:tc>
          <w:tcPr>
            <w:tcW w:type="dxa" w:w="2160"/>
          </w:tcPr>
          <w:p>
            <w:r>
              <w:t>str (texto)</w:t>
            </w:r>
          </w:p>
        </w:tc>
        <w:tc>
          <w:tcPr>
            <w:tcW w:type="dxa" w:w="2160"/>
          </w:tcPr>
          <w:p>
            <w:r>
              <w:t>Cualitativa nominal (dicotómica)</w:t>
            </w:r>
          </w:p>
        </w:tc>
        <w:tc>
          <w:tcPr>
            <w:tcW w:type="dxa" w:w="2160"/>
          </w:tcPr>
          <w:p>
            <w:r>
              <w:t>Sí / No.</w:t>
            </w:r>
          </w:p>
        </w:tc>
      </w:tr>
      <w:tr>
        <w:tc>
          <w:tcPr>
            <w:tcW w:type="dxa" w:w="2160"/>
          </w:tcPr>
          <w:p>
            <w:r>
              <w:t>consume_licor</w:t>
            </w:r>
          </w:p>
        </w:tc>
        <w:tc>
          <w:tcPr>
            <w:tcW w:type="dxa" w:w="2160"/>
          </w:tcPr>
          <w:p>
            <w:r>
              <w:t>str (texto)</w:t>
            </w:r>
          </w:p>
        </w:tc>
        <w:tc>
          <w:tcPr>
            <w:tcW w:type="dxa" w:w="2160"/>
          </w:tcPr>
          <w:p>
            <w:r>
              <w:t>Cualitativa nominal (dicotómica)</w:t>
            </w:r>
          </w:p>
        </w:tc>
        <w:tc>
          <w:tcPr>
            <w:tcW w:type="dxa" w:w="2160"/>
          </w:tcPr>
          <w:p>
            <w:r>
              <w:t>Sí / No.</w:t>
            </w:r>
          </w:p>
        </w:tc>
      </w:tr>
      <w:tr>
        <w:tc>
          <w:tcPr>
            <w:tcW w:type="dxa" w:w="2160"/>
          </w:tcPr>
          <w:p>
            <w:r>
              <w:t>preferencias_alimenticias</w:t>
            </w:r>
          </w:p>
        </w:tc>
        <w:tc>
          <w:tcPr>
            <w:tcW w:type="dxa" w:w="2160"/>
          </w:tcPr>
          <w:p>
            <w:r>
              <w:t>str (texto)</w:t>
            </w:r>
          </w:p>
        </w:tc>
        <w:tc>
          <w:tcPr>
            <w:tcW w:type="dxa" w:w="2160"/>
          </w:tcPr>
          <w:p>
            <w:r>
              <w:t>Cualitativa nominal</w:t>
            </w:r>
          </w:p>
        </w:tc>
        <w:tc>
          <w:tcPr>
            <w:tcW w:type="dxa" w:w="2160"/>
          </w:tcPr>
          <w:p>
            <w:r>
              <w:t>Carnes, Vegetariano, Mariscos, Vegano, Pescado, Otro.</w:t>
            </w:r>
          </w:p>
        </w:tc>
      </w:tr>
      <w:tr>
        <w:tc>
          <w:tcPr>
            <w:tcW w:type="dxa" w:w="2160"/>
          </w:tcPr>
          <w:p>
            <w:r>
              <w:t>membresia_premium</w:t>
            </w:r>
          </w:p>
        </w:tc>
        <w:tc>
          <w:tcPr>
            <w:tcW w:type="dxa" w:w="2160"/>
          </w:tcPr>
          <w:p>
            <w:r>
              <w:t>str (texto)</w:t>
            </w:r>
          </w:p>
        </w:tc>
        <w:tc>
          <w:tcPr>
            <w:tcW w:type="dxa" w:w="2160"/>
          </w:tcPr>
          <w:p>
            <w:r>
              <w:t>Cualitativa nominal (dicotómica)</w:t>
            </w:r>
          </w:p>
        </w:tc>
        <w:tc>
          <w:tcPr>
            <w:tcW w:type="dxa" w:w="2160"/>
          </w:tcPr>
          <w:p>
            <w:r>
              <w:t>Sí / No.</w:t>
            </w:r>
          </w:p>
        </w:tc>
      </w:tr>
      <w:tr>
        <w:tc>
          <w:tcPr>
            <w:tcW w:type="dxa" w:w="2160"/>
          </w:tcPr>
          <w:p>
            <w:r>
              <w:t>telefono_contacto</w:t>
            </w:r>
          </w:p>
        </w:tc>
        <w:tc>
          <w:tcPr>
            <w:tcW w:type="dxa" w:w="2160"/>
          </w:tcPr>
          <w:p>
            <w:r>
              <w:t>str (texto)</w:t>
            </w:r>
          </w:p>
        </w:tc>
        <w:tc>
          <w:tcPr>
            <w:tcW w:type="dxa" w:w="2160"/>
          </w:tcPr>
          <w:p>
            <w:r>
              <w:t>Cualitativa nominal</w:t>
            </w:r>
          </w:p>
        </w:tc>
        <w:tc>
          <w:tcPr>
            <w:tcW w:type="dxa" w:w="2160"/>
          </w:tcPr>
          <w:p>
            <w:r>
              <w:t>Teléfono de contacto.</w:t>
            </w:r>
          </w:p>
        </w:tc>
      </w:tr>
      <w:tr>
        <w:tc>
          <w:tcPr>
            <w:tcW w:type="dxa" w:w="2160"/>
          </w:tcPr>
          <w:p>
            <w:r>
              <w:t>correo_electronico</w:t>
            </w:r>
          </w:p>
        </w:tc>
        <w:tc>
          <w:tcPr>
            <w:tcW w:type="dxa" w:w="2160"/>
          </w:tcPr>
          <w:p>
            <w:r>
              <w:t>str (texto)</w:t>
            </w:r>
          </w:p>
        </w:tc>
        <w:tc>
          <w:tcPr>
            <w:tcW w:type="dxa" w:w="2160"/>
          </w:tcPr>
          <w:p>
            <w:r>
              <w:t>Cualitativa nominal</w:t>
            </w:r>
          </w:p>
        </w:tc>
        <w:tc>
          <w:tcPr>
            <w:tcW w:type="dxa" w:w="2160"/>
          </w:tcPr>
          <w:p>
            <w:r>
              <w:t>Correo electrónico.</w:t>
            </w:r>
          </w:p>
        </w:tc>
      </w:tr>
      <w:tr>
        <w:tc>
          <w:tcPr>
            <w:tcW w:type="dxa" w:w="2160"/>
          </w:tcPr>
          <w:p>
            <w:r>
              <w:t>tipo_de_pago_mas_usado</w:t>
            </w:r>
          </w:p>
        </w:tc>
        <w:tc>
          <w:tcPr>
            <w:tcW w:type="dxa" w:w="2160"/>
          </w:tcPr>
          <w:p>
            <w:r>
              <w:t>str (texto)</w:t>
            </w:r>
          </w:p>
        </w:tc>
        <w:tc>
          <w:tcPr>
            <w:tcW w:type="dxa" w:w="2160"/>
          </w:tcPr>
          <w:p>
            <w:r>
              <w:t>Cualitativa nominal</w:t>
            </w:r>
          </w:p>
        </w:tc>
        <w:tc>
          <w:tcPr>
            <w:tcW w:type="dxa" w:w="2160"/>
          </w:tcPr>
          <w:p>
            <w:r>
              <w:t>Efectivo, Tarjeta, App, Criptomoneda.</w:t>
            </w:r>
          </w:p>
        </w:tc>
      </w:tr>
      <w:tr>
        <w:tc>
          <w:tcPr>
            <w:tcW w:type="dxa" w:w="2160"/>
          </w:tcPr>
          <w:p>
            <w:r>
              <w:t>ingresos_mensuales</w:t>
            </w:r>
          </w:p>
        </w:tc>
        <w:tc>
          <w:tcPr>
            <w:tcW w:type="dxa" w:w="2160"/>
          </w:tcPr>
          <w:p>
            <w:r>
              <w:t>int64</w:t>
            </w:r>
          </w:p>
        </w:tc>
        <w:tc>
          <w:tcPr>
            <w:tcW w:type="dxa" w:w="2160"/>
          </w:tcPr>
          <w:p>
            <w:r>
              <w:t>Cuantitativa discreta</w:t>
            </w:r>
          </w:p>
        </w:tc>
        <w:tc>
          <w:tcPr>
            <w:tcW w:type="dxa" w:w="2160"/>
          </w:tcPr>
          <w:p>
            <w:r>
              <w:t>Ingresos mensuales (USD).</w:t>
            </w:r>
          </w:p>
        </w:tc>
      </w:tr>
    </w:tbl>
    <w:p>
      <w:r>
        <w:rPr>
          <w:b w:val="0"/>
          <w:i/>
        </w:rPr>
        <w:t>Tabla 1. Clasificación de las variables de la base de datos.</w:t>
      </w:r>
    </w:p>
    <w:p>
      <w:pPr>
        <w:pStyle w:val="Heading2"/>
      </w:pPr>
      <w:r>
        <w:t>1.2 Tipos de datos en el lenguaje de programación</w:t>
      </w:r>
    </w:p>
    <w:p>
      <w:r>
        <w:rPr>
          <w:b w:val="0"/>
          <w:i w:val="0"/>
        </w:rPr>
        <w:t>Al leer el archivo con pandas (pd.read_csv), Python asigna automáticamente un tipo de dato a cada columna. En esta base se identifican tres tipos principales:</w:t>
      </w:r>
    </w:p>
    <w:p>
      <w:pPr>
        <w:pStyle w:val="ListBullet"/>
      </w:pPr>
      <w:r>
        <w:t>int64 (entero): variables numéricas enteras como id_persona, frecuencia_visita e ingresos_mensuales.</w:t>
      </w:r>
    </w:p>
    <w:p>
      <w:pPr>
        <w:pStyle w:val="ListBullet"/>
      </w:pPr>
      <w:r>
        <w:t>float64 (decimal): variables numéricas con decimales como edad y promedio_gasto_comida. El hecho de que edad aparezca como float64 es una señal temprana de que la columna contiene valores vacíos (NaN), ya que pandas convierte a decimal cuando hay datos faltantes mezclados con enteros.</w:t>
      </w:r>
    </w:p>
    <w:p>
      <w:pPr>
        <w:pStyle w:val="ListBullet"/>
      </w:pPr>
      <w:r>
        <w:t>str / object (texto): variables categóricas como nombre, genero, ciudad_residencia, etc.</w:t>
      </w:r>
    </w:p>
    <w:p>
      <w:r>
        <w:rPr>
          <w:b w:val="0"/>
          <w:i w:val="0"/>
        </w:rPr>
        <w:t>Reconocer correctamente los tipos es fundamental porque de ello depende el tratamiento posterior: las variables cuantitativas se imputan con medidas de tendencia central (media/mediana) y las cualitativas se completan con su categoría más frecuente (moda) o con la etiqueta "NA".</w:t>
      </w:r>
    </w:p>
    <w:p>
      <w:pPr>
        <w:pStyle w:val="Heading2"/>
      </w:pPr>
      <w:r>
        <w:t>1.3 Estadísticos básicos otorgados por Python</w:t>
      </w:r>
    </w:p>
    <w:p>
      <w:r>
        <w:rPr>
          <w:b w:val="0"/>
          <w:i w:val="0"/>
        </w:rPr>
        <w:t>Utilizando df.describe() se obtienen los estadísticos descriptivos básicos de las variables numéricas. Los resultados antes de la limpieza se presentan en la Tabla 2 y su interpretación es la siguiente: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Estadístico</w:t>
            </w:r>
          </w:p>
        </w:tc>
        <w:tc>
          <w:tcPr>
            <w:tcW w:type="dxa" w:w="1728"/>
          </w:tcPr>
          <w:p>
            <w:r>
              <w:rPr>
                <w:b/>
              </w:rPr>
              <w:t>edad</w:t>
            </w:r>
          </w:p>
        </w:tc>
        <w:tc>
          <w:tcPr>
            <w:tcW w:type="dxa" w:w="1728"/>
          </w:tcPr>
          <w:p>
            <w:r>
              <w:rPr>
                <w:b/>
              </w:rPr>
              <w:t>frecuencia_visita</w:t>
            </w:r>
          </w:p>
        </w:tc>
        <w:tc>
          <w:tcPr>
            <w:tcW w:type="dxa" w:w="1728"/>
          </w:tcPr>
          <w:p>
            <w:r>
              <w:rPr>
                <w:b/>
              </w:rPr>
              <w:t>promedio_gasto_comida</w:t>
            </w:r>
          </w:p>
        </w:tc>
        <w:tc>
          <w:tcPr>
            <w:tcW w:type="dxa" w:w="1728"/>
          </w:tcPr>
          <w:p>
            <w:r>
              <w:rPr>
                <w:b/>
              </w:rPr>
              <w:t>ingresos_mensuales</w:t>
            </w:r>
          </w:p>
        </w:tc>
      </w:tr>
      <w:tr>
        <w:tc>
          <w:tcPr>
            <w:tcW w:type="dxa" w:w="1728"/>
          </w:tcPr>
          <w:p>
            <w:r>
              <w:t>count (no nulos)</w:t>
            </w:r>
          </w:p>
        </w:tc>
        <w:tc>
          <w:tcPr>
            <w:tcW w:type="dxa" w:w="1728"/>
          </w:tcPr>
          <w:p>
            <w:r>
              <w:t>29.899</w:t>
            </w:r>
          </w:p>
        </w:tc>
        <w:tc>
          <w:tcPr>
            <w:tcW w:type="dxa" w:w="1728"/>
          </w:tcPr>
          <w:p>
            <w:r>
              <w:t>30.000</w:t>
            </w:r>
          </w:p>
        </w:tc>
        <w:tc>
          <w:tcPr>
            <w:tcW w:type="dxa" w:w="1728"/>
          </w:tcPr>
          <w:p>
            <w:r>
              <w:t>29.855</w:t>
            </w:r>
          </w:p>
        </w:tc>
        <w:tc>
          <w:tcPr>
            <w:tcW w:type="dxa" w:w="1728"/>
          </w:tcPr>
          <w:p>
            <w:r>
              <w:t>30.000</w:t>
            </w:r>
          </w:p>
        </w:tc>
      </w:tr>
      <w:tr>
        <w:tc>
          <w:tcPr>
            <w:tcW w:type="dxa" w:w="1728"/>
          </w:tcPr>
          <w:p>
            <w:r>
              <w:t>mean (media)</w:t>
            </w:r>
          </w:p>
        </w:tc>
        <w:tc>
          <w:tcPr>
            <w:tcW w:type="dxa" w:w="1728"/>
          </w:tcPr>
          <w:p>
            <w:r>
              <w:t>49,67</w:t>
            </w:r>
          </w:p>
        </w:tc>
        <w:tc>
          <w:tcPr>
            <w:tcW w:type="dxa" w:w="1728"/>
          </w:tcPr>
          <w:p>
            <w:r>
              <w:t>3,90</w:t>
            </w:r>
          </w:p>
        </w:tc>
        <w:tc>
          <w:tcPr>
            <w:tcW w:type="dxa" w:w="1728"/>
          </w:tcPr>
          <w:p>
            <w:r>
              <w:t>32,60</w:t>
            </w:r>
          </w:p>
        </w:tc>
        <w:tc>
          <w:tcPr>
            <w:tcW w:type="dxa" w:w="1728"/>
          </w:tcPr>
          <w:p>
            <w:r>
              <w:t>5.389,76</w:t>
            </w:r>
          </w:p>
        </w:tc>
      </w:tr>
      <w:tr>
        <w:tc>
          <w:tcPr>
            <w:tcW w:type="dxa" w:w="1728"/>
          </w:tcPr>
          <w:p>
            <w:r>
              <w:t>std (desv. estándar)</w:t>
            </w:r>
          </w:p>
        </w:tc>
        <w:tc>
          <w:tcPr>
            <w:tcW w:type="dxa" w:w="1728"/>
          </w:tcPr>
          <w:p>
            <w:r>
              <w:t>23,84</w:t>
            </w:r>
          </w:p>
        </w:tc>
        <w:tc>
          <w:tcPr>
            <w:tcW w:type="dxa" w:w="1728"/>
          </w:tcPr>
          <w:p>
            <w:r>
              <w:t>2,74</w:t>
            </w:r>
          </w:p>
        </w:tc>
        <w:tc>
          <w:tcPr>
            <w:tcW w:type="dxa" w:w="1728"/>
          </w:tcPr>
          <w:p>
            <w:r>
              <w:t>26,40</w:t>
            </w:r>
          </w:p>
        </w:tc>
        <w:tc>
          <w:tcPr>
            <w:tcW w:type="dxa" w:w="1728"/>
          </w:tcPr>
          <w:p>
            <w:r>
              <w:t>4.538,49</w:t>
            </w:r>
          </w:p>
        </w:tc>
      </w:tr>
      <w:tr>
        <w:tc>
          <w:tcPr>
            <w:tcW w:type="dxa" w:w="1728"/>
          </w:tcPr>
          <w:p>
            <w:r>
              <w:t>min (mínimo)</w:t>
            </w:r>
          </w:p>
        </w:tc>
        <w:tc>
          <w:tcPr>
            <w:tcW w:type="dxa" w:w="1728"/>
          </w:tcPr>
          <w:p>
            <w:r>
              <w:t>−5</w:t>
            </w:r>
          </w:p>
        </w:tc>
        <w:tc>
          <w:tcPr>
            <w:tcW w:type="dxa" w:w="1728"/>
          </w:tcPr>
          <w:p>
            <w:r>
              <w:t>−3</w:t>
            </w:r>
          </w:p>
        </w:tc>
        <w:tc>
          <w:tcPr>
            <w:tcW w:type="dxa" w:w="1728"/>
          </w:tcPr>
          <w:p>
            <w:r>
              <w:t>0,00</w:t>
            </w:r>
          </w:p>
        </w:tc>
        <w:tc>
          <w:tcPr>
            <w:tcW w:type="dxa" w:w="1728"/>
          </w:tcPr>
          <w:p>
            <w:r>
              <w:t>800</w:t>
            </w:r>
          </w:p>
        </w:tc>
      </w:tr>
      <w:tr>
        <w:tc>
          <w:tcPr>
            <w:tcW w:type="dxa" w:w="1728"/>
          </w:tcPr>
          <w:p>
            <w:r>
              <w:t>25% (Q1)</w:t>
            </w:r>
          </w:p>
        </w:tc>
        <w:tc>
          <w:tcPr>
            <w:tcW w:type="dxa" w:w="1728"/>
          </w:tcPr>
          <w:p>
            <w:r>
              <w:t>33</w:t>
            </w:r>
          </w:p>
        </w:tc>
        <w:tc>
          <w:tcPr>
            <w:tcW w:type="dxa" w:w="1728"/>
          </w:tcPr>
          <w:p>
            <w:r>
              <w:t>2</w:t>
            </w:r>
          </w:p>
        </w:tc>
        <w:tc>
          <w:tcPr>
            <w:tcW w:type="dxa" w:w="1728"/>
          </w:tcPr>
          <w:p>
            <w:r>
              <w:t>13,29</w:t>
            </w:r>
          </w:p>
        </w:tc>
        <w:tc>
          <w:tcPr>
            <w:tcW w:type="dxa" w:w="1728"/>
          </w:tcPr>
          <w:p>
            <w:r>
              <w:t>1.860</w:t>
            </w:r>
          </w:p>
        </w:tc>
      </w:tr>
      <w:tr>
        <w:tc>
          <w:tcPr>
            <w:tcW w:type="dxa" w:w="1728"/>
          </w:tcPr>
          <w:p>
            <w:r>
              <w:t>50% (mediana)</w:t>
            </w:r>
          </w:p>
        </w:tc>
        <w:tc>
          <w:tcPr>
            <w:tcW w:type="dxa" w:w="1728"/>
          </w:tcPr>
          <w:p>
            <w:r>
              <w:t>49</w:t>
            </w:r>
          </w:p>
        </w:tc>
        <w:tc>
          <w:tcPr>
            <w:tcW w:type="dxa" w:w="1728"/>
          </w:tcPr>
          <w:p>
            <w:r>
              <w:t>4</w:t>
            </w:r>
          </w:p>
        </w:tc>
        <w:tc>
          <w:tcPr>
            <w:tcW w:type="dxa" w:w="1728"/>
          </w:tcPr>
          <w:p>
            <w:r>
              <w:t>25,51</w:t>
            </w:r>
          </w:p>
        </w:tc>
        <w:tc>
          <w:tcPr>
            <w:tcW w:type="dxa" w:w="1728"/>
          </w:tcPr>
          <w:p>
            <w:r>
              <w:t>3.402</w:t>
            </w:r>
          </w:p>
        </w:tc>
      </w:tr>
      <w:tr>
        <w:tc>
          <w:tcPr>
            <w:tcW w:type="dxa" w:w="1728"/>
          </w:tcPr>
          <w:p>
            <w:r>
              <w:t>75% (Q3)</w:t>
            </w:r>
          </w:p>
        </w:tc>
        <w:tc>
          <w:tcPr>
            <w:tcW w:type="dxa" w:w="1728"/>
          </w:tcPr>
          <w:p>
            <w:r>
              <w:t>65</w:t>
            </w:r>
          </w:p>
        </w:tc>
        <w:tc>
          <w:tcPr>
            <w:tcW w:type="dxa" w:w="1728"/>
          </w:tcPr>
          <w:p>
            <w:r>
              <w:t>5</w:t>
            </w:r>
          </w:p>
        </w:tc>
        <w:tc>
          <w:tcPr>
            <w:tcW w:type="dxa" w:w="1728"/>
          </w:tcPr>
          <w:p>
            <w:r>
              <w:t>44,40</w:t>
            </w:r>
          </w:p>
        </w:tc>
        <w:tc>
          <w:tcPr>
            <w:tcW w:type="dxa" w:w="1728"/>
          </w:tcPr>
          <w:p>
            <w:r>
              <w:t>7.761</w:t>
            </w:r>
          </w:p>
        </w:tc>
      </w:tr>
      <w:tr>
        <w:tc>
          <w:tcPr>
            <w:tcW w:type="dxa" w:w="1728"/>
          </w:tcPr>
          <w:p>
            <w:r>
              <w:t>max (máximo)</w:t>
            </w:r>
          </w:p>
        </w:tc>
        <w:tc>
          <w:tcPr>
            <w:tcW w:type="dxa" w:w="1728"/>
          </w:tcPr>
          <w:p>
            <w:r>
              <w:t>300</w:t>
            </w:r>
          </w:p>
        </w:tc>
        <w:tc>
          <w:tcPr>
            <w:tcW w:type="dxa" w:w="1728"/>
          </w:tcPr>
          <w:p>
            <w:r>
              <w:t>10</w:t>
            </w:r>
          </w:p>
        </w:tc>
        <w:tc>
          <w:tcPr>
            <w:tcW w:type="dxa" w:w="1728"/>
          </w:tcPr>
          <w:p>
            <w:r>
              <w:t>149,97</w:t>
            </w:r>
          </w:p>
        </w:tc>
        <w:tc>
          <w:tcPr>
            <w:tcW w:type="dxa" w:w="1728"/>
          </w:tcPr>
          <w:p>
            <w:r>
              <w:t>17.999</w:t>
            </w:r>
          </w:p>
        </w:tc>
      </w:tr>
    </w:tbl>
    <w:p>
      <w:r>
        <w:rPr>
          <w:b w:val="0"/>
          <w:i/>
        </w:rPr>
        <w:t>Tabla 2. Estadísticos descriptivos básicos de las variables cuantitativas (base sin limpiar).</w:t>
      </w:r>
    </w:p>
    <w:p>
      <w:r>
        <w:rPr>
          <w:b/>
          <w:i w:val="0"/>
        </w:rPr>
        <w:t>Análisis de los resultados obtenidos:</w:t>
      </w:r>
    </w:p>
    <w:p>
      <w:pPr>
        <w:pStyle w:val="ListBullet"/>
      </w:pPr>
      <w:r>
        <w:t>En edad, el count (29.899) es menor que 30.000, lo que confirma que existen 101 datos faltantes. Su mínimo es −5 años y su máximo es 300 años: ambos son imposibles, por lo que se trata de datos incoherentes (contaminan la media y elevan artificialmente la desviación estándar a 23,84).</w:t>
      </w:r>
    </w:p>
    <w:p>
      <w:pPr>
        <w:pStyle w:val="ListBullet"/>
      </w:pPr>
      <w:r>
        <w:t>En frecuencia_visita el mínimo es −3 visitas, un valor lógicamente imposible que también debe corregirse.</w:t>
      </w:r>
    </w:p>
    <w:p>
      <w:pPr>
        <w:pStyle w:val="ListBullet"/>
      </w:pPr>
      <w:r>
        <w:t>En promedio_gasto_comida el count (29.855) revela 145 valores nulos, y su rango (0 a 149,97 USD) es razonable.</w:t>
      </w:r>
    </w:p>
    <w:p>
      <w:pPr>
        <w:pStyle w:val="ListBullet"/>
      </w:pPr>
      <w:r>
        <w:t>En ingresos_mensuales no se observan valores atípicos evidentes: los ingresos van de 800 a 17.999 USD, con una media de 5.389,76 USD y una mediana de 3.402 USD, lo que sugiere una distribución sesgada a la derecha (la media es mayor que la mediana).</w:t>
      </w:r>
    </w:p>
    <w:p>
      <w:pPr>
        <w:pStyle w:val="Heading1"/>
      </w:pPr>
      <w:r>
        <w:t>2. Limpieza de Datos</w:t>
      </w:r>
    </w:p>
    <w:p>
      <w:r>
        <w:rPr>
          <w:b w:val="0"/>
          <w:i w:val="0"/>
        </w:rPr>
        <w:t>La limpieza se ejecutó de forma secuencial sobre una copia de trabajo (df_clientes_mod) para no alterar el dataset original. A continuación se describe cada consulta realizada, sus resultados y la justificación de cada decisión.</w:t>
      </w:r>
    </w:p>
    <w:p>
      <w:pPr>
        <w:pStyle w:val="Heading2"/>
      </w:pPr>
      <w:r>
        <w:t>2.1 Gestión de duplicados</w:t>
      </w:r>
    </w:p>
    <w:p>
      <w:r>
        <w:rPr>
          <w:b w:val="0"/>
          <w:i w:val="0"/>
        </w:rPr>
        <w:t>Consulta: df_clientes_mod = df_clientes.drop_duplicates(subset=['id_persona'], keep='first').</w:t>
      </w:r>
    </w:p>
    <w:p>
      <w:r>
        <w:rPr>
          <w:b w:val="0"/>
          <w:i w:val="0"/>
        </w:rPr>
        <w:t>Resultado: la base se mantuvo con 30.000 registros, es decir, no se encontraron identificadores id_persona repetidos. Se justifica esta consulta porque el id_persona es la clave que representa a un cliente único; si existieran registros duplicados, un mismo cliente se contaría dos veces y todas las probabilidades posteriores quedarían sesgadas.</w:t>
      </w:r>
    </w:p>
    <w:p>
      <w:pPr>
        <w:pStyle w:val="Heading2"/>
      </w:pPr>
      <w:r>
        <w:t>2.2 Categorización para encontrar datos incoherentes</w:t>
      </w:r>
    </w:p>
    <w:p>
      <w:r>
        <w:rPr>
          <w:b w:val="0"/>
          <w:i w:val="0"/>
        </w:rPr>
        <w:t>Se crearon rangos que permiten aislar los valores imposibles antes de corregirlos:</w:t>
      </w:r>
    </w:p>
    <w:p>
      <w:pPr>
        <w:pStyle w:val="ListBullet"/>
      </w:pPr>
      <w:r>
        <w:t>Edad: con pd.cut se agrupa en Negativos (menor o igual a 0), Coherente (1 a 100) e Incoherente (mayor a 100). Resultado: 97 negativos, 29.692 coherentes y 110 incoherentes.</w:t>
      </w:r>
    </w:p>
    <w:p>
      <w:pPr>
        <w:pStyle w:val="ListBullet"/>
      </w:pPr>
      <w:r>
        <w:t>Frecuencia de visita: se agrupa en Negativos (menores a 0) y Coherente (0 a 10). Resultado: 1.547 negativos y 28.453 coherentes.</w:t>
      </w:r>
    </w:p>
    <w:p>
      <w:r>
        <w:rPr>
          <w:b w:val="0"/>
          <w:i w:val="0"/>
        </w:rPr>
        <w:t>Interpretación: en total se detectaron 207 edades imposibles (97 negativas + 110 mayores a 100) y 1.547 frecuencias negativas. Estos valores no representan observaciones reales y, si se dejaran, desplazarían las medias y las probabilidades. Categorizarlos primero permite cuantificar el problema y verificar la corrección después.</w:t>
      </w:r>
    </w:p>
    <w:p>
      <w:pPr>
        <w:pStyle w:val="Heading2"/>
      </w:pPr>
      <w:r>
        <w:t>2.3 Transformación de datos negativos e incoherentes en vacíos</w:t>
      </w:r>
    </w:p>
    <w:p>
      <w:r>
        <w:rPr>
          <w:b w:val="0"/>
          <w:i w:val="0"/>
        </w:rPr>
        <w:t>Consulta: se convierte la columna a numérico con pd.to_numeric(errors='coerce') y luego se reemplazan los valores fuera de rango con np.nan.</w:t>
      </w:r>
    </w:p>
    <w:p>
      <w:pPr>
        <w:pStyle w:val="ListBullet"/>
      </w:pPr>
      <w:r>
        <w:t>edad: se pasan a vacío los valores menores a 0 o mayores a 100. La edad queda entre 18 y 80 años y el total de nulos sube de 101 a 308 (101 originales + 207 incoherentes).</w:t>
      </w:r>
    </w:p>
    <w:p>
      <w:pPr>
        <w:pStyle w:val="ListBullet"/>
      </w:pPr>
      <w:r>
        <w:t>frecuencia_visita: se pasan a vacío los valores negativos, generando 1.547 nulos.</w:t>
      </w:r>
    </w:p>
    <w:p>
      <w:r>
        <w:rPr>
          <w:b w:val="0"/>
          <w:i w:val="0"/>
        </w:rPr>
        <w:t>Justificación: convertir los datos inválidos en vacíos (NaN) es el paso previo obligatorio para imputarlos; de esta manera la medida de tendencia central se calcula solo con datos válidos y no queda contaminada por los valores imposibles.</w:t>
      </w:r>
    </w:p>
    <w:p>
      <w:pPr>
        <w:pStyle w:val="Heading2"/>
      </w:pPr>
      <w:r>
        <w:t>2.4 Comprobación de los arreglos con estadística base</w:t>
      </w:r>
    </w:p>
    <w:p>
      <w:r>
        <w:rPr>
          <w:b w:val="0"/>
          <w:i w:val="0"/>
        </w:rPr>
        <w:t>Consulta: df_clientes_mod['edad'].describe().</w:t>
      </w:r>
    </w:p>
    <w:p>
      <w:r>
        <w:rPr>
          <w:b w:val="0"/>
          <w:i w:val="0"/>
        </w:rPr>
        <w:t>Resultado: tras retirar los valores incoherentes, la edad pasa a tener media 48,92, mínima 18, máxima 80 y desviación estándar 18,16 (frente a 23,84 anterior). La desviación disminuye casi 6 puntos, lo que confirma que los valores −5 y 300 eran los responsables de la dispersión artificial y que la base ahora resiste un análisis coherente.</w:t>
      </w:r>
    </w:p>
    <w:p>
      <w:pPr>
        <w:pStyle w:val="Heading2"/>
      </w:pPr>
      <w:r>
        <w:t>2.5 Análisis de sensibilidad (¿en qué agrupaciones cambian las tendencias?)</w:t>
      </w:r>
    </w:p>
    <w:p>
      <w:r>
        <w:rPr>
          <w:b w:val="0"/>
          <w:i w:val="0"/>
        </w:rPr>
        <w:t>El análisis de sensibilidad consiste en calcular la media de una variable dentro de distintos grupos para comprobar si la tendencia cambia entre ellos. Si la media varía mucho de un grupo a otro, la imputación debe hacerse por grupo (no de forma global) para no borrar esas diferencias.</w:t>
      </w:r>
    </w:p>
    <w:p>
      <w:r>
        <w:rPr>
          <w:b/>
          <w:i w:val="0"/>
        </w:rPr>
        <w:t>a) Edad según el consumo de licor (groupby('consume_licor')):</w:t>
      </w:r>
    </w:p>
    <w:p>
      <w:pPr>
        <w:pStyle w:val="ListBullet"/>
      </w:pPr>
      <w:r>
        <w:t>Clientes que No consumen licor: edad media 53,64 años.</w:t>
      </w:r>
    </w:p>
    <w:p>
      <w:pPr>
        <w:pStyle w:val="ListBullet"/>
      </w:pPr>
      <w:r>
        <w:t>Clientes que Sí consumen licor: edad media 45,99 años.</w:t>
      </w:r>
    </w:p>
    <w:p>
      <w:r>
        <w:rPr>
          <w:b w:val="0"/>
          <w:i w:val="0"/>
        </w:rPr>
        <w:t>Existe una diferencia de casi 8 años, por lo que la tendencia cambia según el grupo: los clientes que no consumen licor son mayores. Por eso la edad nula se imputa con la media correspondiente a su grupo de consumo de licor.</w:t>
      </w:r>
    </w:p>
    <w:p>
      <w:r>
        <w:rPr>
          <w:b/>
          <w:i w:val="0"/>
        </w:rPr>
        <w:t>b) Frecuencia de visita y gasto según el estrato socioeconómico: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Estrato</w:t>
            </w:r>
          </w:p>
        </w:tc>
        <w:tc>
          <w:tcPr>
            <w:tcW w:type="dxa" w:w="2880"/>
          </w:tcPr>
          <w:p>
            <w:r>
              <w:rPr>
                <w:b/>
              </w:rPr>
              <w:t>Frecuencia de visita (media)</w:t>
            </w:r>
          </w:p>
        </w:tc>
        <w:tc>
          <w:tcPr>
            <w:tcW w:type="dxa" w:w="2880"/>
          </w:tcPr>
          <w:p>
            <w:r>
              <w:rPr>
                <w:b/>
              </w:rPr>
              <w:t>Gasto promedio (media USD)</w:t>
            </w:r>
          </w:p>
        </w:tc>
      </w:tr>
      <w:tr>
        <w:tc>
          <w:tcPr>
            <w:tcW w:type="dxa" w:w="2880"/>
          </w:tcPr>
          <w:p>
            <w:r>
              <w:t>Bajo</w:t>
            </w:r>
          </w:p>
        </w:tc>
        <w:tc>
          <w:tcPr>
            <w:tcW w:type="dxa" w:w="2880"/>
          </w:tcPr>
          <w:p>
            <w:r>
              <w:t>1,50</w:t>
            </w:r>
          </w:p>
        </w:tc>
        <w:tc>
          <w:tcPr>
            <w:tcW w:type="dxa" w:w="2880"/>
          </w:tcPr>
          <w:p>
            <w:r>
              <w:t>8,88</w:t>
            </w:r>
          </w:p>
        </w:tc>
      </w:tr>
      <w:tr>
        <w:tc>
          <w:tcPr>
            <w:tcW w:type="dxa" w:w="2880"/>
          </w:tcPr>
          <w:p>
            <w:r>
              <w:t>Medio</w:t>
            </w:r>
          </w:p>
        </w:tc>
        <w:tc>
          <w:tcPr>
            <w:tcW w:type="dxa" w:w="2880"/>
          </w:tcPr>
          <w:p>
            <w:r>
              <w:t>3,50</w:t>
            </w:r>
          </w:p>
        </w:tc>
        <w:tc>
          <w:tcPr>
            <w:tcW w:type="dxa" w:w="2880"/>
          </w:tcPr>
          <w:p>
            <w:r>
              <w:t>24,24</w:t>
            </w:r>
          </w:p>
        </w:tc>
      </w:tr>
      <w:tr>
        <w:tc>
          <w:tcPr>
            <w:tcW w:type="dxa" w:w="2880"/>
          </w:tcPr>
          <w:p>
            <w:r>
              <w:t>Alto</w:t>
            </w:r>
          </w:p>
        </w:tc>
        <w:tc>
          <w:tcPr>
            <w:tcW w:type="dxa" w:w="2880"/>
          </w:tcPr>
          <w:p>
            <w:r>
              <w:t>5,01</w:t>
            </w:r>
          </w:p>
        </w:tc>
        <w:tc>
          <w:tcPr>
            <w:tcW w:type="dxa" w:w="2880"/>
          </w:tcPr>
          <w:p>
            <w:r>
              <w:t>38,14</w:t>
            </w:r>
          </w:p>
        </w:tc>
      </w:tr>
      <w:tr>
        <w:tc>
          <w:tcPr>
            <w:tcW w:type="dxa" w:w="2880"/>
          </w:tcPr>
          <w:p>
            <w:r>
              <w:t>Muy Alto</w:t>
            </w:r>
          </w:p>
        </w:tc>
        <w:tc>
          <w:tcPr>
            <w:tcW w:type="dxa" w:w="2880"/>
          </w:tcPr>
          <w:p>
            <w:r>
              <w:t>7,48</w:t>
            </w:r>
          </w:p>
        </w:tc>
        <w:tc>
          <w:tcPr>
            <w:tcW w:type="dxa" w:w="2880"/>
          </w:tcPr>
          <w:p>
            <w:r>
              <w:t>64,41</w:t>
            </w:r>
          </w:p>
        </w:tc>
      </w:tr>
    </w:tbl>
    <w:p>
      <w:r>
        <w:rPr>
          <w:b w:val="0"/>
          <w:i/>
        </w:rPr>
        <w:t>Tabla 3. Análisis de sensibilidad de frecuencia y gasto por estrato socioeconómico.</w:t>
      </w:r>
    </w:p>
    <w:p>
      <w:r>
        <w:rPr>
          <w:b w:val="0"/>
          <w:i w:val="0"/>
        </w:rPr>
        <w:t>La tendencia es claramente creciente: a mayor estrato, mayor frecuencia de visita y mayor gasto. La diferencia entre el estrato Bajo y el Muy Alto es de aproximadamente 6 visitas y 55 USD, un cambio muy marcado. Esto justifica imputar la frecuencia y el gasto nulos usando la media de cada estrato, en lugar de la media general.</w:t>
      </w:r>
    </w:p>
    <w:p>
      <w:r>
        <w:rPr>
          <w:b/>
          <w:i w:val="0"/>
        </w:rPr>
        <w:t>c) Control por ciudad (groupby('ciudad_residencia')):</w:t>
      </w:r>
    </w:p>
    <w:p>
      <w:r>
        <w:rPr>
          <w:b w:val="0"/>
          <w:i w:val="0"/>
        </w:rPr>
        <w:t>La edad media por ciudad resultó casi constante (entre 48,50 y 49,74 años). Como la tendencia NO cambia entre ciudades, agrupar por ciudad no aporta información útil; esto refuerza que la agrupación correcta para la edad es por consumo de licor.</w:t>
      </w:r>
    </w:p>
    <w:p>
      <w:pPr>
        <w:pStyle w:val="Heading2"/>
      </w:pPr>
      <w:r>
        <w:t>2.6 Imputación de nulos con medidas de tendencia central</w:t>
      </w:r>
    </w:p>
    <w:p>
      <w:r>
        <w:rPr>
          <w:b w:val="0"/>
          <w:i w:val="0"/>
        </w:rPr>
        <w:t>Consulta: se rellenan los valores vacíos con la media de su grupo mediante groupby(...).transform('mean').</w:t>
      </w:r>
    </w:p>
    <w:p>
      <w:pPr>
        <w:pStyle w:val="ListBullet"/>
      </w:pPr>
      <w:r>
        <w:t>edad = media de edad según consume_licor, redondeada a entero (la edad debe ser un número entero).</w:t>
      </w:r>
    </w:p>
    <w:p>
      <w:pPr>
        <w:pStyle w:val="ListBullet"/>
      </w:pPr>
      <w:r>
        <w:t>frecuencia_visita = media de frecuencia según estrato socioeconómico, redondeada a entero.</w:t>
      </w:r>
    </w:p>
    <w:p>
      <w:pPr>
        <w:pStyle w:val="ListBullet"/>
      </w:pPr>
      <w:r>
        <w:t>promedio_gasto_comida = media de gasto según estrato socioeconómico, redondeada a 2 decimales (al ser una variable monetaria).</w:t>
      </w:r>
    </w:p>
    <w:p>
      <w:r>
        <w:rPr>
          <w:b w:val="0"/>
          <w:i w:val="0"/>
        </w:rPr>
        <w:t>Justificación: se eligió la media agrupada —y no la media global ni la moda— porque el análisis de sensibilidad demostró que las tendencias cambian entre grupos. Imputar con la media del grupo conserva la relación entre las variables (por ejemplo, que el estrato Muy Alto gasta más) y evita introducir un sesgo general. Adicionalmente, se redondean los resultados para respetar la naturaleza de cada variable: una edad y un número de visitas deben ser enteros, mientras que el dinero se expresa con dos decimales.</w:t>
      </w:r>
    </w:p>
    <w:p>
      <w:r>
        <w:rPr>
          <w:b w:val="0"/>
          <w:i w:val="0"/>
        </w:rPr>
        <w:t>Verificación (comprobación de datos completos): después de la imputación las tres variables quedan con 30.000 datos no nulos. La edad mantiene media 48,93 (mínimo 18, máximo 80), la frecuencia media 4,26 (mínimo 0, máximo 10) y el gasto medio 32,61 USD (de 0 a 149,97). Los valores de la media global apenas se movieron, lo que confirma que la imputación fue estable y no distorsionó la distribución.</w:t>
      </w:r>
    </w:p>
    <w:p>
      <w:pPr>
        <w:pStyle w:val="Heading2"/>
      </w:pPr>
      <w:r>
        <w:t>2.7 Tratamiento de las variables cualitativas (moda y NA)</w:t>
      </w:r>
    </w:p>
    <w:p>
      <w:r>
        <w:rPr>
          <w:b w:val="0"/>
          <w:i w:val="0"/>
        </w:rPr>
        <w:t>Consulta (análisis de sensibilidad cualitativo): se calcula la preferencia alimenticia más frecuente (moda) por ciudad.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Ciudad</w:t>
            </w:r>
          </w:p>
        </w:tc>
        <w:tc>
          <w:tcPr>
            <w:tcW w:type="dxa" w:w="2880"/>
          </w:tcPr>
          <w:p>
            <w:r>
              <w:rPr>
                <w:b/>
              </w:rPr>
              <w:t>Preferencia más frecuente</w:t>
            </w:r>
          </w:p>
        </w:tc>
        <w:tc>
          <w:tcPr>
            <w:tcW w:type="dxa" w:w="2880"/>
          </w:tcPr>
          <w:p>
            <w:r>
              <w:rPr>
                <w:b/>
              </w:rPr>
              <w:t>Conteo</w:t>
            </w:r>
          </w:p>
        </w:tc>
      </w:tr>
      <w:tr>
        <w:tc>
          <w:tcPr>
            <w:tcW w:type="dxa" w:w="2880"/>
          </w:tcPr>
          <w:p>
            <w:r>
              <w:t>Boston</w:t>
            </w:r>
          </w:p>
        </w:tc>
        <w:tc>
          <w:tcPr>
            <w:tcW w:type="dxa" w:w="2880"/>
          </w:tcPr>
          <w:p>
            <w:r>
              <w:t>Vegetariano</w:t>
            </w:r>
          </w:p>
        </w:tc>
        <w:tc>
          <w:tcPr>
            <w:tcW w:type="dxa" w:w="2880"/>
          </w:tcPr>
          <w:p>
            <w:r>
              <w:t>708</w:t>
            </w:r>
          </w:p>
        </w:tc>
      </w:tr>
      <w:tr>
        <w:tc>
          <w:tcPr>
            <w:tcW w:type="dxa" w:w="2880"/>
          </w:tcPr>
          <w:p>
            <w:r>
              <w:t>Chicago</w:t>
            </w:r>
          </w:p>
        </w:tc>
        <w:tc>
          <w:tcPr>
            <w:tcW w:type="dxa" w:w="2880"/>
          </w:tcPr>
          <w:p>
            <w:r>
              <w:t>Carnes</w:t>
            </w:r>
          </w:p>
        </w:tc>
        <w:tc>
          <w:tcPr>
            <w:tcW w:type="dxa" w:w="2880"/>
          </w:tcPr>
          <w:p>
            <w:r>
              <w:t>1.589</w:t>
            </w:r>
          </w:p>
        </w:tc>
      </w:tr>
      <w:tr>
        <w:tc>
          <w:tcPr>
            <w:tcW w:type="dxa" w:w="2880"/>
          </w:tcPr>
          <w:p>
            <w:r>
              <w:t>Dallas</w:t>
            </w:r>
          </w:p>
        </w:tc>
        <w:tc>
          <w:tcPr>
            <w:tcW w:type="dxa" w:w="2880"/>
          </w:tcPr>
          <w:p>
            <w:r>
              <w:t>Carnes</w:t>
            </w:r>
          </w:p>
        </w:tc>
        <w:tc>
          <w:tcPr>
            <w:tcW w:type="dxa" w:w="2880"/>
          </w:tcPr>
          <w:p>
            <w:r>
              <w:t>822</w:t>
            </w:r>
          </w:p>
        </w:tc>
      </w:tr>
      <w:tr>
        <w:tc>
          <w:tcPr>
            <w:tcW w:type="dxa" w:w="2880"/>
          </w:tcPr>
          <w:p>
            <w:r>
              <w:t>Denver</w:t>
            </w:r>
          </w:p>
        </w:tc>
        <w:tc>
          <w:tcPr>
            <w:tcW w:type="dxa" w:w="2880"/>
          </w:tcPr>
          <w:p>
            <w:r>
              <w:t>Carnes</w:t>
            </w:r>
          </w:p>
        </w:tc>
        <w:tc>
          <w:tcPr>
            <w:tcW w:type="dxa" w:w="2880"/>
          </w:tcPr>
          <w:p>
            <w:r>
              <w:t>632</w:t>
            </w:r>
          </w:p>
        </w:tc>
      </w:tr>
      <w:tr>
        <w:tc>
          <w:tcPr>
            <w:tcW w:type="dxa" w:w="2880"/>
          </w:tcPr>
          <w:p>
            <w:r>
              <w:t>Houston</w:t>
            </w:r>
          </w:p>
        </w:tc>
        <w:tc>
          <w:tcPr>
            <w:tcW w:type="dxa" w:w="2880"/>
          </w:tcPr>
          <w:p>
            <w:r>
              <w:t>Carnes</w:t>
            </w:r>
          </w:p>
        </w:tc>
        <w:tc>
          <w:tcPr>
            <w:tcW w:type="dxa" w:w="2880"/>
          </w:tcPr>
          <w:p>
            <w:r>
              <w:t>716</w:t>
            </w:r>
          </w:p>
        </w:tc>
      </w:tr>
      <w:tr>
        <w:tc>
          <w:tcPr>
            <w:tcW w:type="dxa" w:w="2880"/>
          </w:tcPr>
          <w:p>
            <w:r>
              <w:t>Miami</w:t>
            </w:r>
          </w:p>
        </w:tc>
        <w:tc>
          <w:tcPr>
            <w:tcW w:type="dxa" w:w="2880"/>
          </w:tcPr>
          <w:p>
            <w:r>
              <w:t>Mariscos</w:t>
            </w:r>
          </w:p>
        </w:tc>
        <w:tc>
          <w:tcPr>
            <w:tcW w:type="dxa" w:w="2880"/>
          </w:tcPr>
          <w:p>
            <w:r>
              <w:t>819</w:t>
            </w:r>
          </w:p>
        </w:tc>
      </w:tr>
      <w:tr>
        <w:tc>
          <w:tcPr>
            <w:tcW w:type="dxa" w:w="2880"/>
          </w:tcPr>
          <w:p>
            <w:r>
              <w:t>NYC</w:t>
            </w:r>
          </w:p>
        </w:tc>
        <w:tc>
          <w:tcPr>
            <w:tcW w:type="dxa" w:w="2880"/>
          </w:tcPr>
          <w:p>
            <w:r>
              <w:t>Carnes</w:t>
            </w:r>
          </w:p>
        </w:tc>
        <w:tc>
          <w:tcPr>
            <w:tcW w:type="dxa" w:w="2880"/>
          </w:tcPr>
          <w:p>
            <w:r>
              <w:t>1.513</w:t>
            </w:r>
          </w:p>
        </w:tc>
      </w:tr>
      <w:tr>
        <w:tc>
          <w:tcPr>
            <w:tcW w:type="dxa" w:w="2880"/>
          </w:tcPr>
          <w:p>
            <w:r>
              <w:t>Phoenix</w:t>
            </w:r>
          </w:p>
        </w:tc>
        <w:tc>
          <w:tcPr>
            <w:tcW w:type="dxa" w:w="2880"/>
          </w:tcPr>
          <w:p>
            <w:r>
              <w:t>Carnes</w:t>
            </w:r>
          </w:p>
        </w:tc>
        <w:tc>
          <w:tcPr>
            <w:tcW w:type="dxa" w:w="2880"/>
          </w:tcPr>
          <w:p>
            <w:r>
              <w:t>416</w:t>
            </w:r>
          </w:p>
        </w:tc>
      </w:tr>
      <w:tr>
        <w:tc>
          <w:tcPr>
            <w:tcW w:type="dxa" w:w="2880"/>
          </w:tcPr>
          <w:p>
            <w:r>
              <w:t>San Diego</w:t>
            </w:r>
          </w:p>
        </w:tc>
        <w:tc>
          <w:tcPr>
            <w:tcW w:type="dxa" w:w="2880"/>
          </w:tcPr>
          <w:p>
            <w:r>
              <w:t>Vegetariano</w:t>
            </w:r>
          </w:p>
        </w:tc>
        <w:tc>
          <w:tcPr>
            <w:tcW w:type="dxa" w:w="2880"/>
          </w:tcPr>
          <w:p>
            <w:r>
              <w:t>756</w:t>
            </w:r>
          </w:p>
        </w:tc>
      </w:tr>
      <w:tr>
        <w:tc>
          <w:tcPr>
            <w:tcW w:type="dxa" w:w="2880"/>
          </w:tcPr>
          <w:p>
            <w:r>
              <w:t>Seattle</w:t>
            </w:r>
          </w:p>
        </w:tc>
        <w:tc>
          <w:tcPr>
            <w:tcW w:type="dxa" w:w="2880"/>
          </w:tcPr>
          <w:p>
            <w:r>
              <w:t>Vegetariano</w:t>
            </w:r>
          </w:p>
        </w:tc>
        <w:tc>
          <w:tcPr>
            <w:tcW w:type="dxa" w:w="2880"/>
          </w:tcPr>
          <w:p>
            <w:r>
              <w:t>551</w:t>
            </w:r>
          </w:p>
        </w:tc>
      </w:tr>
    </w:tbl>
    <w:p>
      <w:r>
        <w:rPr>
          <w:b w:val="0"/>
          <w:i/>
        </w:rPr>
        <w:t>Tabla 4. Preferencia alimenticia más frecuente (moda) por ciudad.</w:t>
      </w:r>
    </w:p>
    <w:p>
      <w:r>
        <w:rPr>
          <w:b w:val="0"/>
          <w:i w:val="0"/>
        </w:rPr>
        <w:t>Interpretación: se observa una tendencia geográfica clara. En la mayoría de las ciudades la preferencia dominante es Carnes, mientras que en las ciudades costeras de Miami domina Mariscos y en Boston, San Diego y Seattle predomina Vegetariano. Esto demuestra que la preferencia alimenticia depende de la ciudad, por lo que la moda correcta para imputar sería la de cada ciudad y no la moda global (que es Carnes con 7.916).</w:t>
      </w:r>
    </w:p>
    <w:p>
      <w:r>
        <w:rPr>
          <w:b w:val="0"/>
          <w:i w:val="0"/>
        </w:rPr>
        <w:t>Decisión aplicada: para las variables de texto con muchos valores faltantes se llenó con la etiqueta "NA" (df[...].fillna("NA")), siguiendo la indicación del proyecto:</w:t>
      </w:r>
    </w:p>
    <w:p>
      <w:pPr>
        <w:pStyle w:val="ListBullet"/>
      </w:pPr>
      <w:r>
        <w:t>correo_electronico: 15.072 vacíos → "NA".</w:t>
      </w:r>
    </w:p>
    <w:p>
      <w:pPr>
        <w:pStyle w:val="ListBullet"/>
      </w:pPr>
      <w:r>
        <w:t>telefono_contacto: 15.166 vacíos → "NA".</w:t>
      </w:r>
    </w:p>
    <w:p>
      <w:pPr>
        <w:pStyle w:val="ListBullet"/>
      </w:pPr>
      <w:r>
        <w:t>preferencias_alimenticias: 1.403 vacíos → "NA".</w:t>
      </w:r>
    </w:p>
    <w:p>
      <w:r>
        <w:rPr>
          <w:b w:val="0"/>
          <w:i w:val="0"/>
        </w:rPr>
        <w:t>Justificación: en variables de identificación o de contacto, inventar un valor (por ejemplo un correo) introduciría información falsa. Por ello se conserva la categoría explícita "NA" (dato no disponible), que mantiene el registro en la base sin alterar las proporciones reales de las categorías válidas.</w:t>
      </w:r>
    </w:p>
    <w:p>
      <w:pPr>
        <w:pStyle w:val="Heading2"/>
      </w:pPr>
      <w:r>
        <w:t>2.8 Eliminación de columnas auxiliares</w:t>
      </w:r>
    </w:p>
    <w:p>
      <w:r>
        <w:rPr>
          <w:b w:val="0"/>
          <w:i w:val="0"/>
        </w:rPr>
        <w:t>Consulta: df_clientes_mod.drop(['Rango_Edad', 'Rango_Frecuencia'], axis=1).</w:t>
      </w:r>
    </w:p>
    <w:p>
      <w:r>
        <w:rPr>
          <w:b w:val="0"/>
          <w:i w:val="0"/>
        </w:rPr>
        <w:t>Justificación: las columnas Rango_Edad y Rango_Frecuencia se crearon únicamente para detectar y cuantificar los datos incoherentes. Una vez cumplida su función, se eliminan para dejar la base final con las 17 variables originales, sin columnas temporales que pudieran confundir los análisis posteriores.</w:t>
      </w:r>
    </w:p>
    <w:p>
      <w:pPr>
        <w:pStyle w:val="Heading2"/>
      </w:pPr>
      <w:r>
        <w:t>2.9 Verificación final y guardado de la base limpia</w:t>
      </w:r>
    </w:p>
    <w:p>
      <w:r>
        <w:rPr>
          <w:b w:val="0"/>
          <w:i w:val="0"/>
        </w:rPr>
        <w:t>Consulta: se repiten head(), info() y describe() sobre la base limpia y se guarda con df_clientes_mod.to_csv('clientes_final.csv', index=False) en la carpeta Data-Limpia.</w:t>
      </w:r>
    </w:p>
    <w:p>
      <w:r>
        <w:rPr>
          <w:b w:val="0"/>
          <w:i w:val="0"/>
        </w:rPr>
        <w:t>Resultado: la base final conserva 30.000 filas y 17 columnas, sin ningún valor nulo. Los tipos finales son coherentes: edad y frecuencia_visita como enteros (int64), promedio_gasto_comida como decimal (float64) y las variables categóricas como texto. Distribución final de algunas variables clave:</w:t>
      </w:r>
    </w:p>
    <w:p>
      <w:pPr>
        <w:pStyle w:val="ListBullet"/>
      </w:pPr>
      <w:r>
        <w:t>Género: 15.044 femenino y 14.956 masculino (muestra prácticamente equilibrada).</w:t>
      </w:r>
    </w:p>
    <w:p>
      <w:pPr>
        <w:pStyle w:val="ListBullet"/>
      </w:pPr>
      <w:r>
        <w:t>Consumo de licor: 18.483 sí y 11.517 no.</w:t>
      </w:r>
    </w:p>
    <w:p>
      <w:pPr>
        <w:pStyle w:val="ListBullet"/>
      </w:pPr>
      <w:r>
        <w:t>Membresía premium: 12.845 sí y 17.155 no.</w:t>
      </w:r>
    </w:p>
    <w:p>
      <w:pPr>
        <w:pStyle w:val="ListBullet"/>
      </w:pPr>
      <w:r>
        <w:t>Ciudad: Chicago (5.384) y NYC (4.769) concentran la mayor cantidad de clientes; Phoenix (1.511) la menor.</w:t>
      </w:r>
    </w:p>
    <w:p>
      <w:r>
        <w:rPr>
          <w:b w:val="0"/>
          <w:i w:val="0"/>
        </w:rPr>
        <w:t>Estos resultados confirman que la base quedó estandarizada y lista para construir las tablas y gráficos de comparación y para el cálculo de probabilidades de las siguientes etapas.</w:t>
      </w:r>
    </w:p>
    <w:p>
      <w:pPr>
        <w:pStyle w:val="Heading1"/>
      </w:pPr>
      <w:r>
        <w:t>3. Conclusiones</w:t>
      </w:r>
    </w:p>
    <w:p>
      <w:r>
        <w:rPr>
          <w:b w:val="0"/>
          <w:i w:val="0"/>
        </w:rPr>
        <w:t>El reconocimiento de datos permitió entender que la base contiene 30.000 clientes con 17 variables mixtas y que presentaba tres problemas de calidad: datos faltantes (principalmente en teléfono y correo), valores incoherentes (edades negativas o mayores a 100 y frecuencias de visita negativas) y variables numéricas mal tipificadas por la presencia de nulos.</w:t>
      </w:r>
    </w:p>
    <w:p>
      <w:r>
        <w:rPr>
          <w:b w:val="0"/>
          <w:i w:val="0"/>
        </w:rPr>
        <w:t>El análisis de sensibilidad fue la herramienta clave para justificar la imputación: demostró que la edad cambia según el consumo de licor y que la frecuencia y el gasto cambian de forma marcada según el estrato socioeconómico, mientras que la ciudad no genera diferencias en la edad. Gracias a ello, los nulos se reemplazaron con la media del grupo adecuado (preservando las tendencias) y las variables cualitativas se completaron con "NA" para no inventar información. La base resultante no tiene nulos, respeta el tipo de cada variable y conserva la estructura original, quedando apta para el análisis descriptivo y probabilístico del proyecto.</w:t>
      </w:r>
    </w:p>
    <w:p>
      <w:pPr>
        <w:pStyle w:val="Heading1"/>
      </w:pPr>
      <w:r>
        <w:t>Anexo. Flujo del proceso de limpieza (base del mapa conceptual)</w:t>
      </w:r>
    </w:p>
    <w:p>
      <w:pPr>
        <w:pStyle w:val="ListNumber"/>
      </w:pPr>
      <w:r>
        <w:t>1. Leer la base (30.000 x 17) y verificar tipos y estadísticos.</w:t>
      </w:r>
    </w:p>
    <w:p>
      <w:pPr>
        <w:pStyle w:val="ListNumber"/>
      </w:pPr>
      <w:r>
        <w:t>2. Eliminar duplicados por id_persona.</w:t>
      </w:r>
    </w:p>
    <w:p>
      <w:pPr>
        <w:pStyle w:val="ListNumber"/>
      </w:pPr>
      <w:r>
        <w:t>3. Categorizar edad y frecuencia para aislar datos imposibles.</w:t>
      </w:r>
    </w:p>
    <w:p>
      <w:pPr>
        <w:pStyle w:val="ListNumber"/>
      </w:pPr>
      <w:r>
        <w:t>4. Convertir los valores incoherentes en vacíos (NaN).</w:t>
      </w:r>
    </w:p>
    <w:p>
      <w:pPr>
        <w:pStyle w:val="ListNumber"/>
      </w:pPr>
      <w:r>
        <w:t>5. Analizar sensibilidad: encontrar los grupos donde cambia la tendencia.</w:t>
      </w:r>
    </w:p>
    <w:p>
      <w:pPr>
        <w:pStyle w:val="ListNumber"/>
      </w:pPr>
      <w:r>
        <w:t>6. Imputar cuantitativas con la media del grupo (entero o 2 decimales).</w:t>
      </w:r>
    </w:p>
    <w:p>
      <w:pPr>
        <w:pStyle w:val="ListNumber"/>
      </w:pPr>
      <w:r>
        <w:t>7. Imputar cualitativas con moda / etiqueta "NA".</w:t>
      </w:r>
    </w:p>
    <w:p>
      <w:pPr>
        <w:pStyle w:val="ListNumber"/>
      </w:pPr>
      <w:r>
        <w:t>8. Eliminar columnas auxiliares (Rango_Edad, Rango_Frecuencia).</w:t>
      </w:r>
    </w:p>
    <w:p>
      <w:pPr>
        <w:pStyle w:val="ListNumber"/>
      </w:pPr>
      <w:r>
        <w:t>9. Verificar (head, info, describe) y guardar clientes_final.csv en Data-Limpia.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