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647" w:rsidRPr="00487279" w:rsidRDefault="00AC74B6" w:rsidP="00C41647">
      <w:pPr>
        <w:rPr>
          <w:rFonts w:ascii="Times" w:hAnsi="Times"/>
          <w:b/>
          <w:sz w:val="28"/>
        </w:rPr>
      </w:pPr>
      <w:r w:rsidRPr="00E951AF">
        <w:rPr>
          <w:rFonts w:ascii="Times" w:hAnsi="Times"/>
          <w:b/>
          <w:sz w:val="28"/>
        </w:rPr>
        <w:t>Factors associated with a failed induction in the setting of pre-eclampsia</w:t>
      </w:r>
    </w:p>
    <w:p w:rsidR="00C41647" w:rsidRPr="00E951AF" w:rsidRDefault="00C41647" w:rsidP="00C41647">
      <w:pPr>
        <w:spacing w:line="360" w:lineRule="auto"/>
        <w:rPr>
          <w:rFonts w:ascii="Times" w:hAnsi="Times"/>
          <w:vertAlign w:val="superscript"/>
        </w:rPr>
      </w:pPr>
    </w:p>
    <w:p w:rsidR="001C6462" w:rsidRPr="00E951AF" w:rsidRDefault="001C6462" w:rsidP="001C6462">
      <w:pPr>
        <w:spacing w:before="240" w:line="360" w:lineRule="auto"/>
        <w:contextualSpacing/>
        <w:jc w:val="center"/>
        <w:rPr>
          <w:rFonts w:ascii="Times" w:hAnsi="Times"/>
          <w:vertAlign w:val="superscript"/>
        </w:rPr>
      </w:pPr>
      <w:r w:rsidRPr="00E951AF">
        <w:rPr>
          <w:rFonts w:ascii="Times" w:hAnsi="Times"/>
        </w:rPr>
        <w:t>Amanda Langager, MD</w:t>
      </w:r>
      <w:r w:rsidRPr="00E951AF">
        <w:rPr>
          <w:rFonts w:ascii="Times" w:hAnsi="Times"/>
          <w:vertAlign w:val="superscript"/>
        </w:rPr>
        <w:t>1</w:t>
      </w:r>
    </w:p>
    <w:p w:rsidR="00C41647" w:rsidRPr="00E951AF" w:rsidRDefault="00C41647" w:rsidP="00C41647">
      <w:pPr>
        <w:spacing w:before="240" w:line="360" w:lineRule="auto"/>
        <w:contextualSpacing/>
        <w:jc w:val="center"/>
        <w:rPr>
          <w:rFonts w:ascii="Times" w:hAnsi="Times"/>
          <w:vertAlign w:val="superscript"/>
        </w:rPr>
      </w:pPr>
      <w:r w:rsidRPr="00E951AF">
        <w:rPr>
          <w:rFonts w:ascii="Times" w:hAnsi="Times"/>
        </w:rPr>
        <w:t>David McKinney, MD</w:t>
      </w:r>
      <w:r w:rsidRPr="00E951AF">
        <w:rPr>
          <w:rFonts w:ascii="Times" w:hAnsi="Times"/>
          <w:vertAlign w:val="superscript"/>
        </w:rPr>
        <w:t>1</w:t>
      </w:r>
    </w:p>
    <w:p w:rsidR="00280429" w:rsidRPr="00280429" w:rsidRDefault="00C41647" w:rsidP="00C41647">
      <w:pPr>
        <w:spacing w:before="240" w:line="360" w:lineRule="auto"/>
        <w:contextualSpacing/>
        <w:jc w:val="center"/>
        <w:rPr>
          <w:rFonts w:ascii="Times" w:hAnsi="Times"/>
          <w:vertAlign w:val="superscript"/>
        </w:rPr>
      </w:pPr>
      <w:r w:rsidRPr="00E951AF">
        <w:rPr>
          <w:rFonts w:ascii="Times" w:hAnsi="Times"/>
        </w:rPr>
        <w:t>Heather Boyd, MD</w:t>
      </w:r>
      <w:r w:rsidR="00280429">
        <w:rPr>
          <w:rFonts w:ascii="Times" w:hAnsi="Times"/>
          <w:vertAlign w:val="superscript"/>
        </w:rPr>
        <w:t>1</w:t>
      </w:r>
    </w:p>
    <w:p w:rsidR="003D2EF5" w:rsidRPr="003D2EF5" w:rsidRDefault="003D2EF5" w:rsidP="00C41647">
      <w:pPr>
        <w:spacing w:before="240" w:line="360" w:lineRule="auto"/>
        <w:contextualSpacing/>
        <w:jc w:val="center"/>
        <w:rPr>
          <w:rFonts w:ascii="Times" w:hAnsi="Times"/>
          <w:vertAlign w:val="superscript"/>
        </w:rPr>
      </w:pPr>
      <w:r>
        <w:rPr>
          <w:rFonts w:ascii="Times" w:hAnsi="Times"/>
        </w:rPr>
        <w:t>Abbey Pfister, B.S.</w:t>
      </w:r>
      <w:r>
        <w:rPr>
          <w:rFonts w:ascii="Times" w:hAnsi="Times"/>
          <w:vertAlign w:val="superscript"/>
        </w:rPr>
        <w:t>2</w:t>
      </w:r>
    </w:p>
    <w:p w:rsidR="00280429" w:rsidRPr="00280429" w:rsidRDefault="00280429" w:rsidP="00C41647">
      <w:pPr>
        <w:spacing w:before="240" w:line="360" w:lineRule="auto"/>
        <w:contextualSpacing/>
        <w:jc w:val="center"/>
        <w:rPr>
          <w:rFonts w:ascii="Times" w:hAnsi="Times"/>
          <w:vertAlign w:val="superscript"/>
        </w:rPr>
      </w:pPr>
      <w:r>
        <w:rPr>
          <w:rFonts w:ascii="Times" w:hAnsi="Times"/>
        </w:rPr>
        <w:t>Michael Oswald, B.S.</w:t>
      </w:r>
      <w:r w:rsidR="003D2EF5">
        <w:rPr>
          <w:rFonts w:ascii="Times" w:hAnsi="Times"/>
          <w:vertAlign w:val="superscript"/>
        </w:rPr>
        <w:t>3</w:t>
      </w:r>
    </w:p>
    <w:p w:rsidR="00C41647" w:rsidRPr="00E951AF" w:rsidRDefault="00C41647" w:rsidP="00C41647">
      <w:pPr>
        <w:spacing w:before="240" w:line="360" w:lineRule="auto"/>
        <w:contextualSpacing/>
        <w:jc w:val="center"/>
        <w:rPr>
          <w:rFonts w:ascii="Times" w:hAnsi="Times"/>
          <w:vertAlign w:val="superscript"/>
        </w:rPr>
      </w:pPr>
      <w:r w:rsidRPr="00E951AF">
        <w:rPr>
          <w:rFonts w:ascii="Times" w:hAnsi="Times"/>
        </w:rPr>
        <w:t>Carri R. Warshak, MD</w:t>
      </w:r>
      <w:r w:rsidRPr="00E951AF">
        <w:rPr>
          <w:rFonts w:ascii="Times" w:hAnsi="Times"/>
          <w:vertAlign w:val="superscript"/>
        </w:rPr>
        <w:t>1</w:t>
      </w:r>
    </w:p>
    <w:p w:rsidR="00C41647" w:rsidRPr="00E951AF" w:rsidRDefault="00C41647" w:rsidP="00C41647">
      <w:pPr>
        <w:spacing w:before="240"/>
        <w:contextualSpacing/>
        <w:jc w:val="center"/>
        <w:rPr>
          <w:rFonts w:ascii="Times" w:hAnsi="Times"/>
          <w:vertAlign w:val="superscript"/>
        </w:rPr>
      </w:pPr>
    </w:p>
    <w:p w:rsidR="00C41647" w:rsidRPr="00E951AF" w:rsidRDefault="00C41647" w:rsidP="00C41647">
      <w:pPr>
        <w:spacing w:before="240"/>
        <w:contextualSpacing/>
        <w:jc w:val="center"/>
        <w:rPr>
          <w:rFonts w:ascii="Times" w:hAnsi="Times"/>
          <w:vertAlign w:val="superscript"/>
        </w:rPr>
      </w:pPr>
    </w:p>
    <w:p w:rsidR="00C41647" w:rsidRPr="00E951AF" w:rsidRDefault="00C41647" w:rsidP="00C41647">
      <w:pPr>
        <w:spacing w:before="240"/>
        <w:contextualSpacing/>
        <w:jc w:val="center"/>
        <w:rPr>
          <w:rFonts w:ascii="Times" w:hAnsi="Times"/>
        </w:rPr>
      </w:pPr>
      <w:r w:rsidRPr="00E951AF">
        <w:rPr>
          <w:rFonts w:ascii="Times" w:hAnsi="Times"/>
          <w:vertAlign w:val="superscript"/>
        </w:rPr>
        <w:t>1</w:t>
      </w:r>
      <w:r w:rsidRPr="00E951AF">
        <w:rPr>
          <w:rFonts w:ascii="Times" w:hAnsi="Times"/>
        </w:rPr>
        <w:t>University of Cincinnati College of Medicine</w:t>
      </w:r>
    </w:p>
    <w:p w:rsidR="00C41647" w:rsidRPr="00E951AF" w:rsidRDefault="00C41647" w:rsidP="00C41647">
      <w:pPr>
        <w:spacing w:before="240"/>
        <w:contextualSpacing/>
        <w:jc w:val="center"/>
        <w:rPr>
          <w:rFonts w:ascii="Times" w:hAnsi="Times"/>
        </w:rPr>
      </w:pPr>
      <w:r w:rsidRPr="00E951AF">
        <w:rPr>
          <w:rFonts w:ascii="Times" w:hAnsi="Times"/>
        </w:rPr>
        <w:t>Division of Maternal Fetal Medicine</w:t>
      </w:r>
    </w:p>
    <w:p w:rsidR="00C41647" w:rsidRPr="00E951AF" w:rsidRDefault="00C41647" w:rsidP="00C41647">
      <w:pPr>
        <w:spacing w:before="240"/>
        <w:contextualSpacing/>
        <w:jc w:val="center"/>
        <w:rPr>
          <w:rFonts w:ascii="Times" w:hAnsi="Times"/>
        </w:rPr>
      </w:pPr>
      <w:r w:rsidRPr="00E951AF">
        <w:rPr>
          <w:rFonts w:ascii="Times" w:hAnsi="Times"/>
        </w:rPr>
        <w:t>Department of Obstetrics and Gynecology</w:t>
      </w:r>
    </w:p>
    <w:p w:rsidR="00C41647" w:rsidRPr="00E951AF" w:rsidRDefault="00C41647" w:rsidP="00C41647">
      <w:pPr>
        <w:spacing w:before="240"/>
        <w:contextualSpacing/>
        <w:jc w:val="center"/>
        <w:rPr>
          <w:rFonts w:ascii="Times" w:hAnsi="Times"/>
        </w:rPr>
      </w:pPr>
      <w:r w:rsidRPr="00E951AF">
        <w:rPr>
          <w:rFonts w:ascii="Times" w:hAnsi="Times"/>
        </w:rPr>
        <w:t>Cincinnati, OH</w:t>
      </w:r>
    </w:p>
    <w:p w:rsidR="00C41647" w:rsidRPr="00E951AF" w:rsidRDefault="00C41647" w:rsidP="00C41647">
      <w:pPr>
        <w:spacing w:before="240"/>
        <w:contextualSpacing/>
        <w:jc w:val="center"/>
        <w:rPr>
          <w:rFonts w:ascii="Times" w:hAnsi="Times"/>
        </w:rPr>
      </w:pPr>
    </w:p>
    <w:p w:rsidR="00C41647" w:rsidRDefault="00C41647" w:rsidP="003D2EF5">
      <w:pPr>
        <w:spacing w:before="240"/>
        <w:contextualSpacing/>
        <w:jc w:val="center"/>
        <w:rPr>
          <w:rFonts w:ascii="Times" w:hAnsi="Times"/>
        </w:rPr>
      </w:pPr>
      <w:r w:rsidRPr="00E951AF">
        <w:rPr>
          <w:rFonts w:ascii="Times" w:hAnsi="Times"/>
          <w:vertAlign w:val="superscript"/>
        </w:rPr>
        <w:t>2</w:t>
      </w:r>
      <w:r w:rsidR="003D2EF5" w:rsidRPr="003D2EF5">
        <w:rPr>
          <w:rFonts w:ascii="Times" w:hAnsi="Times"/>
          <w:color w:val="FF0000"/>
        </w:rPr>
        <w:t xml:space="preserve"> </w:t>
      </w:r>
      <w:r w:rsidR="003D2EF5" w:rsidRPr="007171BF">
        <w:rPr>
          <w:rFonts w:ascii="Times" w:hAnsi="Times"/>
          <w:color w:val="FF0000"/>
        </w:rPr>
        <w:t>North Carolina info</w:t>
      </w:r>
    </w:p>
    <w:p w:rsidR="00280429" w:rsidRDefault="00280429" w:rsidP="00C41647">
      <w:pPr>
        <w:spacing w:before="240"/>
        <w:contextualSpacing/>
        <w:jc w:val="center"/>
        <w:rPr>
          <w:rFonts w:ascii="Times" w:hAnsi="Times"/>
        </w:rPr>
      </w:pPr>
    </w:p>
    <w:p w:rsidR="00280429" w:rsidRDefault="00280429" w:rsidP="00C41647">
      <w:pPr>
        <w:spacing w:before="240"/>
        <w:contextualSpacing/>
        <w:jc w:val="center"/>
        <w:rPr>
          <w:rFonts w:ascii="Times" w:hAnsi="Times"/>
        </w:rPr>
      </w:pPr>
      <w:r>
        <w:rPr>
          <w:rFonts w:ascii="Times" w:hAnsi="Times"/>
          <w:vertAlign w:val="superscript"/>
        </w:rPr>
        <w:t>4</w:t>
      </w:r>
      <w:r>
        <w:rPr>
          <w:rFonts w:ascii="Times" w:hAnsi="Times"/>
        </w:rPr>
        <w:t>University of Cincinnati</w:t>
      </w:r>
    </w:p>
    <w:p w:rsidR="00280429" w:rsidRPr="00280429" w:rsidRDefault="00280429" w:rsidP="00C41647">
      <w:pPr>
        <w:spacing w:before="240"/>
        <w:contextualSpacing/>
        <w:jc w:val="center"/>
        <w:rPr>
          <w:rFonts w:ascii="Times" w:hAnsi="Times"/>
        </w:rPr>
      </w:pPr>
      <w:r>
        <w:rPr>
          <w:rFonts w:ascii="Times" w:hAnsi="Times"/>
        </w:rPr>
        <w:t>Cincinnati, OH</w:t>
      </w:r>
    </w:p>
    <w:p w:rsidR="00AC74B6" w:rsidRPr="00E951AF" w:rsidRDefault="00AC74B6">
      <w:pPr>
        <w:rPr>
          <w:rFonts w:ascii="Times" w:hAnsi="Times"/>
          <w:vertAlign w:val="superscript"/>
        </w:rPr>
      </w:pPr>
    </w:p>
    <w:p w:rsidR="00C41647" w:rsidRPr="005B7F55" w:rsidRDefault="00C41647" w:rsidP="00C41647">
      <w:pPr>
        <w:rPr>
          <w:rFonts w:ascii="Times" w:hAnsi="Times"/>
          <w:sz w:val="20"/>
          <w:szCs w:val="18"/>
        </w:rPr>
      </w:pPr>
      <w:r w:rsidRPr="005B7F55">
        <w:rPr>
          <w:rFonts w:ascii="Times" w:hAnsi="Times"/>
          <w:sz w:val="20"/>
          <w:szCs w:val="18"/>
        </w:rPr>
        <w:t>Corresponding author:</w:t>
      </w:r>
    </w:p>
    <w:p w:rsidR="005B7F55" w:rsidRDefault="00C41647" w:rsidP="005B7F55">
      <w:pPr>
        <w:jc w:val="both"/>
        <w:rPr>
          <w:rFonts w:ascii="Times" w:hAnsi="Times"/>
          <w:sz w:val="20"/>
          <w:szCs w:val="18"/>
        </w:rPr>
      </w:pPr>
      <w:r w:rsidRPr="005B7F55">
        <w:rPr>
          <w:rFonts w:ascii="Times" w:hAnsi="Times"/>
          <w:sz w:val="20"/>
          <w:szCs w:val="18"/>
        </w:rPr>
        <w:t>Carri R. Warshak, MD</w:t>
      </w:r>
      <w:r w:rsidR="005B7F55">
        <w:rPr>
          <w:rFonts w:ascii="Times" w:hAnsi="Times"/>
          <w:sz w:val="20"/>
          <w:szCs w:val="18"/>
        </w:rPr>
        <w:t xml:space="preserve"> </w:t>
      </w:r>
    </w:p>
    <w:p w:rsidR="00C41647" w:rsidRPr="005B7F55" w:rsidRDefault="00C41647" w:rsidP="005B7F55">
      <w:pPr>
        <w:jc w:val="both"/>
        <w:rPr>
          <w:rFonts w:ascii="Times" w:hAnsi="Times"/>
          <w:sz w:val="20"/>
          <w:szCs w:val="18"/>
        </w:rPr>
      </w:pPr>
      <w:r w:rsidRPr="005B7F55">
        <w:rPr>
          <w:rFonts w:ascii="Times" w:hAnsi="Times"/>
          <w:sz w:val="20"/>
          <w:szCs w:val="18"/>
        </w:rPr>
        <w:t>231 Albert Sabin Way</w:t>
      </w:r>
    </w:p>
    <w:p w:rsidR="00C41647" w:rsidRPr="005B7F55" w:rsidRDefault="00C41647" w:rsidP="00C41647">
      <w:pPr>
        <w:spacing w:before="240"/>
        <w:contextualSpacing/>
        <w:jc w:val="both"/>
        <w:rPr>
          <w:rFonts w:ascii="Times" w:hAnsi="Times"/>
          <w:sz w:val="20"/>
          <w:szCs w:val="18"/>
        </w:rPr>
      </w:pPr>
      <w:r w:rsidRPr="005B7F55">
        <w:rPr>
          <w:rFonts w:ascii="Times" w:hAnsi="Times"/>
          <w:sz w:val="20"/>
          <w:szCs w:val="18"/>
        </w:rPr>
        <w:t>Cincinnati, OH 45236-0526</w:t>
      </w:r>
    </w:p>
    <w:p w:rsidR="00C41647" w:rsidRPr="005B7F55" w:rsidRDefault="00C41647" w:rsidP="00C41647">
      <w:pPr>
        <w:spacing w:before="240"/>
        <w:contextualSpacing/>
        <w:jc w:val="both"/>
        <w:rPr>
          <w:rFonts w:ascii="Times" w:hAnsi="Times"/>
          <w:sz w:val="20"/>
          <w:szCs w:val="18"/>
        </w:rPr>
      </w:pPr>
      <w:r w:rsidRPr="005B7F55">
        <w:rPr>
          <w:rFonts w:ascii="Times" w:hAnsi="Times"/>
          <w:sz w:val="20"/>
          <w:szCs w:val="18"/>
        </w:rPr>
        <w:t>513-584-8448/ 513-558-9820 (fax)</w:t>
      </w:r>
    </w:p>
    <w:p w:rsidR="00C41647" w:rsidRPr="005B7F55" w:rsidRDefault="00BC4DDF" w:rsidP="00C41647">
      <w:pPr>
        <w:spacing w:before="240"/>
        <w:jc w:val="both"/>
        <w:rPr>
          <w:rFonts w:ascii="Times" w:hAnsi="Times"/>
          <w:sz w:val="20"/>
          <w:szCs w:val="18"/>
        </w:rPr>
      </w:pPr>
      <w:hyperlink r:id="rId5" w:history="1">
        <w:r w:rsidR="00C41647" w:rsidRPr="005B7F55">
          <w:rPr>
            <w:rStyle w:val="Hyperlink"/>
            <w:rFonts w:ascii="Times" w:hAnsi="Times"/>
            <w:sz w:val="20"/>
            <w:szCs w:val="18"/>
          </w:rPr>
          <w:t>eaglercr@ucmail.uc.edu</w:t>
        </w:r>
      </w:hyperlink>
    </w:p>
    <w:p w:rsidR="00C41647" w:rsidRPr="005B7F55" w:rsidRDefault="00C41647" w:rsidP="00C41647">
      <w:pPr>
        <w:spacing w:before="240"/>
        <w:rPr>
          <w:rFonts w:ascii="Times" w:hAnsi="Times"/>
          <w:sz w:val="20"/>
          <w:szCs w:val="18"/>
        </w:rPr>
      </w:pPr>
      <w:r w:rsidRPr="005B7F55">
        <w:rPr>
          <w:rFonts w:ascii="Times" w:hAnsi="Times"/>
          <w:sz w:val="20"/>
          <w:szCs w:val="18"/>
        </w:rPr>
        <w:t xml:space="preserve">Authors report no conflicts of interest nor financial support for this project.  </w:t>
      </w:r>
      <w:r w:rsidR="00BA4128">
        <w:rPr>
          <w:rFonts w:ascii="Times" w:hAnsi="Times"/>
          <w:sz w:val="20"/>
          <w:szCs w:val="18"/>
        </w:rPr>
        <w:t>This work has been accepted for presentation at the Central Association of Obstetricians and Gynecologists annual meeting, October, 2015 and is being offered for fast-track consideration.</w:t>
      </w:r>
    </w:p>
    <w:p w:rsidR="00C41647" w:rsidRPr="005B7F55" w:rsidRDefault="00C41647" w:rsidP="00C41647">
      <w:pPr>
        <w:spacing w:before="240"/>
        <w:rPr>
          <w:rFonts w:ascii="Times" w:hAnsi="Times"/>
          <w:sz w:val="20"/>
          <w:szCs w:val="18"/>
        </w:rPr>
      </w:pPr>
      <w:r w:rsidRPr="005B7F55">
        <w:rPr>
          <w:rFonts w:ascii="Times" w:hAnsi="Times"/>
          <w:sz w:val="20"/>
          <w:szCs w:val="18"/>
        </w:rPr>
        <w:t>Acknowledgements:  Study data were collected and managed with REDCap software which is hosted at Cincinnati Children’s Hospital Medical Center under the Center for Clinical and Translational Science and Training grant support (UL1-RR026314-01 NCRR/NIH).</w:t>
      </w:r>
    </w:p>
    <w:p w:rsidR="00AC74B6" w:rsidRDefault="00AC74B6">
      <w:pPr>
        <w:rPr>
          <w:rFonts w:ascii="Times New Roman" w:hAnsi="Times New Roman"/>
          <w:b/>
          <w:sz w:val="28"/>
        </w:rPr>
      </w:pPr>
    </w:p>
    <w:p w:rsidR="00AC74B6" w:rsidRPr="005B7F55" w:rsidRDefault="00C777AC">
      <w:pPr>
        <w:rPr>
          <w:rFonts w:ascii="Times New Roman" w:hAnsi="Times New Roman"/>
          <w:sz w:val="20"/>
        </w:rPr>
      </w:pPr>
      <w:r>
        <w:rPr>
          <w:rFonts w:ascii="Times New Roman" w:hAnsi="Times New Roman"/>
          <w:sz w:val="20"/>
        </w:rPr>
        <w:t>Word count: 2,890</w:t>
      </w:r>
      <w:r w:rsidR="00BA4128">
        <w:rPr>
          <w:rFonts w:ascii="Times New Roman" w:hAnsi="Times New Roman"/>
          <w:sz w:val="20"/>
        </w:rPr>
        <w:t xml:space="preserve">   </w:t>
      </w:r>
      <w:r w:rsidR="00FC308E">
        <w:rPr>
          <w:rFonts w:ascii="Times New Roman" w:hAnsi="Times New Roman"/>
          <w:sz w:val="20"/>
        </w:rPr>
        <w:t>Abstract:  273</w:t>
      </w:r>
      <w:r w:rsidR="00C41647" w:rsidRPr="005B7F55">
        <w:rPr>
          <w:rFonts w:ascii="Times New Roman" w:hAnsi="Times New Roman"/>
          <w:sz w:val="20"/>
        </w:rPr>
        <w:tab/>
      </w:r>
      <w:r w:rsidR="00BA4128">
        <w:rPr>
          <w:rFonts w:ascii="Times New Roman" w:hAnsi="Times New Roman"/>
          <w:sz w:val="20"/>
        </w:rPr>
        <w:t xml:space="preserve">   </w:t>
      </w:r>
      <w:r w:rsidR="00C41647" w:rsidRPr="005B7F55">
        <w:rPr>
          <w:rFonts w:ascii="Times New Roman" w:hAnsi="Times New Roman"/>
          <w:sz w:val="20"/>
        </w:rPr>
        <w:t>Full Text:</w:t>
      </w:r>
      <w:r>
        <w:rPr>
          <w:rFonts w:ascii="Times New Roman" w:hAnsi="Times New Roman"/>
          <w:sz w:val="20"/>
        </w:rPr>
        <w:t xml:space="preserve"> 2,617</w:t>
      </w:r>
    </w:p>
    <w:p w:rsidR="00C41647" w:rsidRDefault="00C41647">
      <w:pPr>
        <w:rPr>
          <w:rFonts w:ascii="Times New Roman" w:hAnsi="Times New Roman"/>
          <w:b/>
        </w:rPr>
      </w:pPr>
    </w:p>
    <w:p w:rsidR="003D2EF5" w:rsidRDefault="003D2EF5">
      <w:pPr>
        <w:rPr>
          <w:rFonts w:ascii="Times New Roman" w:hAnsi="Times New Roman"/>
          <w:b/>
        </w:rPr>
      </w:pPr>
    </w:p>
    <w:p w:rsidR="003D2EF5" w:rsidRDefault="003D2EF5">
      <w:pPr>
        <w:rPr>
          <w:rFonts w:ascii="Times New Roman" w:hAnsi="Times New Roman"/>
          <w:b/>
        </w:rPr>
      </w:pPr>
      <w:r>
        <w:rPr>
          <w:rFonts w:ascii="Times New Roman" w:hAnsi="Times New Roman"/>
          <w:b/>
        </w:rPr>
        <w:br w:type="page"/>
      </w:r>
    </w:p>
    <w:p w:rsidR="003D2EF5" w:rsidRPr="00487279" w:rsidRDefault="003D2EF5" w:rsidP="003D2EF5">
      <w:pPr>
        <w:rPr>
          <w:rFonts w:ascii="Times" w:hAnsi="Times"/>
          <w:b/>
          <w:sz w:val="28"/>
        </w:rPr>
      </w:pPr>
      <w:r w:rsidRPr="00E951AF">
        <w:rPr>
          <w:rFonts w:ascii="Times" w:hAnsi="Times"/>
          <w:b/>
          <w:sz w:val="28"/>
        </w:rPr>
        <w:lastRenderedPageBreak/>
        <w:t>Factors associated with a failed induction in the setting of pre-eclampsia</w:t>
      </w:r>
    </w:p>
    <w:p w:rsidR="00C06326" w:rsidRDefault="00C06326" w:rsidP="00316DDC">
      <w:pPr>
        <w:spacing w:line="480" w:lineRule="auto"/>
        <w:rPr>
          <w:rFonts w:ascii="Times New Roman" w:hAnsi="Times New Roman"/>
        </w:rPr>
      </w:pPr>
    </w:p>
    <w:p w:rsidR="00487279" w:rsidRPr="00487279" w:rsidRDefault="00487279" w:rsidP="00316DDC">
      <w:pPr>
        <w:spacing w:line="480" w:lineRule="auto"/>
        <w:rPr>
          <w:rFonts w:ascii="Times New Roman" w:hAnsi="Times New Roman"/>
        </w:rPr>
      </w:pPr>
      <w:r>
        <w:rPr>
          <w:rFonts w:ascii="Times New Roman" w:hAnsi="Times New Roman"/>
          <w:b/>
        </w:rPr>
        <w:t xml:space="preserve">Background: </w:t>
      </w:r>
      <w:r>
        <w:rPr>
          <w:rFonts w:ascii="Times New Roman" w:hAnsi="Times New Roman"/>
        </w:rPr>
        <w:t>Induction is commonplace in the management of pre-eclampsia and delivery is often required preterm and prior to the onset of labor and/or cervical ripening.  Which factors have the strongest associations with successful induction</w:t>
      </w:r>
      <w:r w:rsidR="001F3C66">
        <w:rPr>
          <w:rFonts w:ascii="Times New Roman" w:hAnsi="Times New Roman"/>
        </w:rPr>
        <w:t xml:space="preserve"> specifically</w:t>
      </w:r>
      <w:r>
        <w:rPr>
          <w:rFonts w:ascii="Times New Roman" w:hAnsi="Times New Roman"/>
        </w:rPr>
        <w:t xml:space="preserve"> in the setting of pre-eclampsia has not been delineated.</w:t>
      </w:r>
    </w:p>
    <w:p w:rsidR="00C06326" w:rsidRDefault="00C06326" w:rsidP="00316DDC">
      <w:pPr>
        <w:spacing w:line="480" w:lineRule="auto"/>
        <w:rPr>
          <w:rFonts w:ascii="Times New Roman" w:hAnsi="Times New Roman"/>
        </w:rPr>
      </w:pPr>
      <w:r w:rsidRPr="00C06326">
        <w:rPr>
          <w:rFonts w:ascii="Times New Roman" w:hAnsi="Times New Roman"/>
          <w:b/>
        </w:rPr>
        <w:t>Objective:</w:t>
      </w:r>
      <w:r>
        <w:rPr>
          <w:rFonts w:ascii="Times New Roman" w:hAnsi="Times New Roman"/>
          <w:i/>
        </w:rPr>
        <w:t xml:space="preserve"> </w:t>
      </w:r>
      <w:r w:rsidR="00693597">
        <w:rPr>
          <w:rFonts w:ascii="Times New Roman" w:hAnsi="Times New Roman"/>
        </w:rPr>
        <w:t xml:space="preserve">To determine which maternal, </w:t>
      </w:r>
      <w:r>
        <w:rPr>
          <w:rFonts w:ascii="Times New Roman" w:hAnsi="Times New Roman"/>
        </w:rPr>
        <w:t xml:space="preserve">fetal </w:t>
      </w:r>
      <w:r w:rsidR="00693597">
        <w:rPr>
          <w:rFonts w:ascii="Times New Roman" w:hAnsi="Times New Roman"/>
        </w:rPr>
        <w:t>and pre-eclampsia characteristic</w:t>
      </w:r>
      <w:r w:rsidR="000B7DC5">
        <w:rPr>
          <w:rFonts w:ascii="Times New Roman" w:hAnsi="Times New Roman"/>
        </w:rPr>
        <w:t>s are associated with</w:t>
      </w:r>
      <w:r>
        <w:rPr>
          <w:rFonts w:ascii="Times New Roman" w:hAnsi="Times New Roman"/>
        </w:rPr>
        <w:t xml:space="preserve"> failed</w:t>
      </w:r>
      <w:r w:rsidR="000B7DC5">
        <w:rPr>
          <w:rFonts w:ascii="Times New Roman" w:hAnsi="Times New Roman"/>
        </w:rPr>
        <w:t xml:space="preserve"> induction in women induced for pre-eclampsia</w:t>
      </w:r>
      <w:r w:rsidR="00487279">
        <w:rPr>
          <w:rFonts w:ascii="Times New Roman" w:hAnsi="Times New Roman"/>
        </w:rPr>
        <w:t xml:space="preserve">, which may be useful </w:t>
      </w:r>
      <w:r w:rsidR="001F3C66">
        <w:rPr>
          <w:rFonts w:ascii="Times New Roman" w:hAnsi="Times New Roman"/>
        </w:rPr>
        <w:t>for delivery management counseling</w:t>
      </w:r>
      <w:r>
        <w:rPr>
          <w:rFonts w:ascii="Times New Roman" w:hAnsi="Times New Roman"/>
        </w:rPr>
        <w:t>.</w:t>
      </w:r>
    </w:p>
    <w:p w:rsidR="00C06326" w:rsidRDefault="00487279" w:rsidP="00316DDC">
      <w:pPr>
        <w:spacing w:line="480" w:lineRule="auto"/>
        <w:rPr>
          <w:rFonts w:ascii="Times New Roman" w:hAnsi="Times New Roman"/>
        </w:rPr>
      </w:pPr>
      <w:r>
        <w:rPr>
          <w:rFonts w:ascii="Times New Roman" w:hAnsi="Times New Roman"/>
          <w:b/>
        </w:rPr>
        <w:t>Study Design</w:t>
      </w:r>
      <w:r w:rsidR="00C06326" w:rsidRPr="00C06326">
        <w:rPr>
          <w:rFonts w:ascii="Times New Roman" w:hAnsi="Times New Roman"/>
          <w:b/>
        </w:rPr>
        <w:t xml:space="preserve">: </w:t>
      </w:r>
      <w:r w:rsidR="00C06326">
        <w:rPr>
          <w:rFonts w:ascii="Times New Roman" w:hAnsi="Times New Roman"/>
        </w:rPr>
        <w:t>We performed a retrospective cohort study of all singleton, l</w:t>
      </w:r>
      <w:r w:rsidR="00845ED9">
        <w:rPr>
          <w:rFonts w:ascii="Times New Roman" w:hAnsi="Times New Roman"/>
        </w:rPr>
        <w:t>ive-born, non-anomalous deliveries</w:t>
      </w:r>
      <w:r w:rsidR="00C06326">
        <w:rPr>
          <w:rFonts w:ascii="Times New Roman" w:hAnsi="Times New Roman"/>
        </w:rPr>
        <w:t xml:space="preserve"> at the University of Cincinnati Medical Center </w:t>
      </w:r>
      <w:r>
        <w:rPr>
          <w:rFonts w:ascii="Times New Roman" w:hAnsi="Times New Roman"/>
        </w:rPr>
        <w:t xml:space="preserve">over a </w:t>
      </w:r>
      <w:r w:rsidR="003D2EF5">
        <w:rPr>
          <w:rFonts w:ascii="Times New Roman" w:hAnsi="Times New Roman"/>
        </w:rPr>
        <w:t>five</w:t>
      </w:r>
      <w:r>
        <w:rPr>
          <w:rFonts w:ascii="Times New Roman" w:hAnsi="Times New Roman"/>
        </w:rPr>
        <w:t xml:space="preserve"> year study period</w:t>
      </w:r>
      <w:r w:rsidR="00C06326">
        <w:rPr>
          <w:rFonts w:ascii="Times New Roman" w:hAnsi="Times New Roman"/>
        </w:rPr>
        <w:t>.  Patients we</w:t>
      </w:r>
      <w:r w:rsidR="00DB6B81">
        <w:rPr>
          <w:rFonts w:ascii="Times New Roman" w:hAnsi="Times New Roman"/>
        </w:rPr>
        <w:t>re included</w:t>
      </w:r>
      <w:r w:rsidR="001F3C66">
        <w:rPr>
          <w:rFonts w:ascii="Times New Roman" w:hAnsi="Times New Roman"/>
        </w:rPr>
        <w:t xml:space="preserve"> in our</w:t>
      </w:r>
      <w:r w:rsidR="00C06326">
        <w:rPr>
          <w:rFonts w:ascii="Times New Roman" w:hAnsi="Times New Roman"/>
        </w:rPr>
        <w:t xml:space="preserve"> study if they had a diagnosis of pre</w:t>
      </w:r>
      <w:r w:rsidR="00845ED9">
        <w:rPr>
          <w:rFonts w:ascii="Times New Roman" w:hAnsi="Times New Roman"/>
        </w:rPr>
        <w:t>-</w:t>
      </w:r>
      <w:r w:rsidR="00C06326">
        <w:rPr>
          <w:rFonts w:ascii="Times New Roman" w:hAnsi="Times New Roman"/>
        </w:rPr>
        <w:t>eclampsia and underwent an induction of labor.  Our primary outcome was failed induction. We evaluated mu</w:t>
      </w:r>
      <w:r w:rsidR="00DB6B81">
        <w:rPr>
          <w:rFonts w:ascii="Times New Roman" w:hAnsi="Times New Roman"/>
        </w:rPr>
        <w:t xml:space="preserve">ltiple maternal, </w:t>
      </w:r>
      <w:r w:rsidR="00C06326">
        <w:rPr>
          <w:rFonts w:ascii="Times New Roman" w:hAnsi="Times New Roman"/>
        </w:rPr>
        <w:t>fetal</w:t>
      </w:r>
      <w:r w:rsidR="00DB6B81">
        <w:rPr>
          <w:rFonts w:ascii="Times New Roman" w:hAnsi="Times New Roman"/>
        </w:rPr>
        <w:t>, and pre-eclampsia</w:t>
      </w:r>
      <w:r>
        <w:rPr>
          <w:rFonts w:ascii="Times New Roman" w:hAnsi="Times New Roman"/>
        </w:rPr>
        <w:t xml:space="preserve"> characteristics:</w:t>
      </w:r>
      <w:r w:rsidR="000B7DC5">
        <w:rPr>
          <w:rFonts w:ascii="Times New Roman" w:hAnsi="Times New Roman"/>
        </w:rPr>
        <w:t xml:space="preserve"> primiparity, obesity, excessive weight gain, severity of pre-eclampsia, major complications of pre-eclampsia, </w:t>
      </w:r>
      <w:r w:rsidR="001F3C66">
        <w:rPr>
          <w:rFonts w:ascii="Times New Roman" w:hAnsi="Times New Roman"/>
        </w:rPr>
        <w:t xml:space="preserve">gestational age less than </w:t>
      </w:r>
      <w:r w:rsidR="000B7DC5">
        <w:rPr>
          <w:rFonts w:ascii="Times New Roman" w:hAnsi="Times New Roman"/>
        </w:rPr>
        <w:t>34 weeks, cervical characteristics, fetal growth restriction and oligohydramnios</w:t>
      </w:r>
      <w:r w:rsidR="00C06326">
        <w:rPr>
          <w:rFonts w:ascii="Times New Roman" w:hAnsi="Times New Roman"/>
        </w:rPr>
        <w:t>. Logistic regression anal</w:t>
      </w:r>
      <w:r w:rsidR="000B7DC5">
        <w:rPr>
          <w:rFonts w:ascii="Times New Roman" w:hAnsi="Times New Roman"/>
        </w:rPr>
        <w:t>ysis was performed to determine</w:t>
      </w:r>
      <w:r w:rsidR="00C06326">
        <w:rPr>
          <w:rFonts w:ascii="Times New Roman" w:hAnsi="Times New Roman"/>
        </w:rPr>
        <w:t xml:space="preserve"> </w:t>
      </w:r>
      <w:r w:rsidR="001F3C66">
        <w:rPr>
          <w:rFonts w:ascii="Times New Roman" w:hAnsi="Times New Roman"/>
        </w:rPr>
        <w:t>strength</w:t>
      </w:r>
      <w:r w:rsidR="000B7DC5">
        <w:rPr>
          <w:rFonts w:ascii="Times New Roman" w:hAnsi="Times New Roman"/>
        </w:rPr>
        <w:t xml:space="preserve"> of association</w:t>
      </w:r>
      <w:r w:rsidR="00C06326">
        <w:rPr>
          <w:rFonts w:ascii="Times New Roman" w:hAnsi="Times New Roman"/>
        </w:rPr>
        <w:t xml:space="preserve">. </w:t>
      </w:r>
    </w:p>
    <w:p w:rsidR="001B4F1D" w:rsidRDefault="00C06326" w:rsidP="00316DDC">
      <w:pPr>
        <w:spacing w:line="480" w:lineRule="auto"/>
        <w:rPr>
          <w:rFonts w:ascii="Times New Roman" w:hAnsi="Times New Roman"/>
        </w:rPr>
      </w:pPr>
      <w:r>
        <w:rPr>
          <w:rFonts w:ascii="Times New Roman" w:hAnsi="Times New Roman"/>
          <w:b/>
        </w:rPr>
        <w:t xml:space="preserve">Results: </w:t>
      </w:r>
      <w:r w:rsidR="00487279">
        <w:rPr>
          <w:rFonts w:ascii="Times New Roman" w:hAnsi="Times New Roman"/>
        </w:rPr>
        <w:t>801</w:t>
      </w:r>
      <w:r w:rsidR="000B7DC5">
        <w:rPr>
          <w:rFonts w:ascii="Times New Roman" w:hAnsi="Times New Roman"/>
        </w:rPr>
        <w:t xml:space="preserve"> patients were diagnosed with pre-eclampsia, of which</w:t>
      </w:r>
      <w:r w:rsidR="00487279">
        <w:rPr>
          <w:rFonts w:ascii="Times New Roman" w:hAnsi="Times New Roman"/>
        </w:rPr>
        <w:t xml:space="preserve"> 467</w:t>
      </w:r>
      <w:r>
        <w:rPr>
          <w:rFonts w:ascii="Times New Roman" w:hAnsi="Times New Roman"/>
        </w:rPr>
        <w:t xml:space="preserve"> pa</w:t>
      </w:r>
      <w:r w:rsidR="005E5B78">
        <w:rPr>
          <w:rFonts w:ascii="Times New Roman" w:hAnsi="Times New Roman"/>
        </w:rPr>
        <w:t xml:space="preserve">tients underwent </w:t>
      </w:r>
      <w:r w:rsidR="000B7DC5">
        <w:rPr>
          <w:rFonts w:ascii="Times New Roman" w:hAnsi="Times New Roman"/>
        </w:rPr>
        <w:t xml:space="preserve">an induction of labor.  The factors </w:t>
      </w:r>
      <w:r w:rsidR="001F3C66">
        <w:rPr>
          <w:rFonts w:ascii="Times New Roman" w:hAnsi="Times New Roman"/>
        </w:rPr>
        <w:t>most strongly associated with</w:t>
      </w:r>
      <w:r w:rsidR="005E5B78">
        <w:rPr>
          <w:rFonts w:ascii="Times New Roman" w:hAnsi="Times New Roman"/>
        </w:rPr>
        <w:t xml:space="preserve"> failed induction were primiparity (aOR </w:t>
      </w:r>
      <w:r w:rsidR="00487279">
        <w:rPr>
          <w:rFonts w:ascii="Times New Roman" w:hAnsi="Times New Roman"/>
        </w:rPr>
        <w:t>1.54 (95% CI 1.20-1.99</w:t>
      </w:r>
      <w:r w:rsidR="005E5B78">
        <w:rPr>
          <w:rFonts w:ascii="Times New Roman" w:hAnsi="Times New Roman"/>
        </w:rPr>
        <w:t>) an</w:t>
      </w:r>
      <w:r w:rsidR="00487279">
        <w:rPr>
          <w:rFonts w:ascii="Times New Roman" w:hAnsi="Times New Roman"/>
        </w:rPr>
        <w:t>d an unfavorable cervix (aOR 1.38, 95% CI 1.09-1.75</w:t>
      </w:r>
      <w:r w:rsidR="005E5B78">
        <w:rPr>
          <w:rFonts w:ascii="Times New Roman" w:hAnsi="Times New Roman"/>
        </w:rPr>
        <w:t>).</w:t>
      </w:r>
      <w:r w:rsidR="001B4F1D">
        <w:rPr>
          <w:rFonts w:ascii="Times New Roman" w:hAnsi="Times New Roman"/>
        </w:rPr>
        <w:t xml:space="preserve">  </w:t>
      </w:r>
      <w:r w:rsidR="000B7DC5">
        <w:rPr>
          <w:rFonts w:ascii="Times New Roman" w:hAnsi="Times New Roman"/>
        </w:rPr>
        <w:t xml:space="preserve">Obesity </w:t>
      </w:r>
      <w:r w:rsidR="001F3C66">
        <w:rPr>
          <w:rFonts w:ascii="Times New Roman" w:hAnsi="Times New Roman"/>
        </w:rPr>
        <w:t xml:space="preserve">(aOR 1.01, 95% CI </w:t>
      </w:r>
      <w:r w:rsidR="00487279">
        <w:rPr>
          <w:rFonts w:ascii="Times New Roman" w:hAnsi="Times New Roman"/>
        </w:rPr>
        <w:t>0.80-1.28</w:t>
      </w:r>
      <w:r w:rsidR="001B4F1D">
        <w:rPr>
          <w:rFonts w:ascii="Times New Roman" w:hAnsi="Times New Roman"/>
        </w:rPr>
        <w:t>), gestation</w:t>
      </w:r>
      <w:r w:rsidR="001F3C66">
        <w:rPr>
          <w:rFonts w:ascii="Times New Roman" w:hAnsi="Times New Roman"/>
        </w:rPr>
        <w:t xml:space="preserve">al age </w:t>
      </w:r>
      <w:r w:rsidR="00693597">
        <w:rPr>
          <w:rFonts w:ascii="Times New Roman" w:hAnsi="Times New Roman"/>
        </w:rPr>
        <w:t xml:space="preserve">less than </w:t>
      </w:r>
      <w:r w:rsidR="00487279">
        <w:rPr>
          <w:rFonts w:ascii="Times New Roman" w:hAnsi="Times New Roman"/>
        </w:rPr>
        <w:t>34 weeks (aOR 1.27</w:t>
      </w:r>
      <w:r w:rsidR="001B4F1D">
        <w:rPr>
          <w:rFonts w:ascii="Times New Roman" w:hAnsi="Times New Roman"/>
        </w:rPr>
        <w:t xml:space="preserve">, 95% CI </w:t>
      </w:r>
      <w:r w:rsidR="00487279">
        <w:rPr>
          <w:rFonts w:ascii="Times New Roman" w:hAnsi="Times New Roman"/>
        </w:rPr>
        <w:t>0.95-1.68</w:t>
      </w:r>
      <w:r w:rsidR="001B4F1D">
        <w:rPr>
          <w:rFonts w:ascii="Times New Roman" w:hAnsi="Times New Roman"/>
        </w:rPr>
        <w:t xml:space="preserve">), </w:t>
      </w:r>
      <w:r w:rsidR="00B0072A">
        <w:rPr>
          <w:rFonts w:ascii="Times New Roman" w:hAnsi="Times New Roman"/>
        </w:rPr>
        <w:t>severe</w:t>
      </w:r>
      <w:r w:rsidR="001B4F1D">
        <w:rPr>
          <w:rFonts w:ascii="Times New Roman" w:hAnsi="Times New Roman"/>
        </w:rPr>
        <w:t xml:space="preserve"> disease (aOR </w:t>
      </w:r>
      <w:r w:rsidR="00487279">
        <w:rPr>
          <w:rFonts w:ascii="Times New Roman" w:hAnsi="Times New Roman"/>
        </w:rPr>
        <w:t>1.14</w:t>
      </w:r>
      <w:r w:rsidR="001B4F1D">
        <w:rPr>
          <w:rFonts w:ascii="Times New Roman" w:hAnsi="Times New Roman"/>
        </w:rPr>
        <w:t xml:space="preserve">, 95% CI </w:t>
      </w:r>
      <w:r w:rsidR="00B0072A">
        <w:rPr>
          <w:rFonts w:ascii="Times New Roman" w:hAnsi="Times New Roman"/>
        </w:rPr>
        <w:lastRenderedPageBreak/>
        <w:t>0.85</w:t>
      </w:r>
      <w:r w:rsidR="00487279">
        <w:rPr>
          <w:rFonts w:ascii="Times New Roman" w:hAnsi="Times New Roman"/>
        </w:rPr>
        <w:t>-1.53</w:t>
      </w:r>
      <w:r w:rsidR="001B4F1D">
        <w:rPr>
          <w:rFonts w:ascii="Times New Roman" w:hAnsi="Times New Roman"/>
        </w:rPr>
        <w:t xml:space="preserve">), </w:t>
      </w:r>
      <w:r w:rsidR="00487279">
        <w:rPr>
          <w:rFonts w:ascii="Times New Roman" w:hAnsi="Times New Roman"/>
        </w:rPr>
        <w:t xml:space="preserve">and </w:t>
      </w:r>
      <w:r w:rsidR="001B4F1D">
        <w:rPr>
          <w:rFonts w:ascii="Times New Roman" w:hAnsi="Times New Roman"/>
        </w:rPr>
        <w:t>fetal growth restriction (aOR 1.0</w:t>
      </w:r>
      <w:r w:rsidR="00487279">
        <w:rPr>
          <w:rFonts w:ascii="Times New Roman" w:hAnsi="Times New Roman"/>
        </w:rPr>
        <w:t>2</w:t>
      </w:r>
      <w:r w:rsidR="001B4F1D">
        <w:rPr>
          <w:rFonts w:ascii="Times New Roman" w:hAnsi="Times New Roman"/>
        </w:rPr>
        <w:t xml:space="preserve">, 95% CI </w:t>
      </w:r>
      <w:r w:rsidR="00487279">
        <w:rPr>
          <w:rFonts w:ascii="Times New Roman" w:hAnsi="Times New Roman"/>
        </w:rPr>
        <w:t>0.70-1.52</w:t>
      </w:r>
      <w:r w:rsidR="001B4F1D">
        <w:rPr>
          <w:rFonts w:ascii="Times New Roman" w:hAnsi="Times New Roman"/>
        </w:rPr>
        <w:t>) were not associated with a failed induction.</w:t>
      </w:r>
    </w:p>
    <w:p w:rsidR="00C06326" w:rsidRPr="001B4F1D" w:rsidRDefault="001B4F1D" w:rsidP="00316DDC">
      <w:pPr>
        <w:spacing w:line="480" w:lineRule="auto"/>
        <w:rPr>
          <w:rFonts w:ascii="Times New Roman" w:hAnsi="Times New Roman"/>
        </w:rPr>
      </w:pPr>
      <w:r>
        <w:rPr>
          <w:rFonts w:ascii="Times New Roman" w:hAnsi="Times New Roman"/>
          <w:b/>
        </w:rPr>
        <w:t xml:space="preserve">Conclusions: </w:t>
      </w:r>
      <w:r>
        <w:rPr>
          <w:rFonts w:ascii="Times New Roman" w:hAnsi="Times New Roman"/>
        </w:rPr>
        <w:t>The factors most</w:t>
      </w:r>
      <w:r w:rsidR="00D25FC2">
        <w:rPr>
          <w:rFonts w:ascii="Times New Roman" w:hAnsi="Times New Roman"/>
        </w:rPr>
        <w:t xml:space="preserve"> strongly</w:t>
      </w:r>
      <w:r>
        <w:rPr>
          <w:rFonts w:ascii="Times New Roman" w:hAnsi="Times New Roman"/>
        </w:rPr>
        <w:t xml:space="preserve"> associated with a failed induction in the setting of pre-eclampsia are primiparity and an unfavorable cervix. </w:t>
      </w:r>
      <w:r w:rsidR="00D25FC2">
        <w:rPr>
          <w:rFonts w:ascii="Times New Roman" w:hAnsi="Times New Roman"/>
        </w:rPr>
        <w:t>Although there are often maternal and fetal co-morbidities during induction in the setting of pre-eclampsia</w:t>
      </w:r>
      <w:r>
        <w:rPr>
          <w:rFonts w:ascii="Times New Roman" w:hAnsi="Times New Roman"/>
        </w:rPr>
        <w:t>, the factors most associated with a failed induction</w:t>
      </w:r>
      <w:r w:rsidR="00D25FC2">
        <w:rPr>
          <w:rFonts w:ascii="Times New Roman" w:hAnsi="Times New Roman"/>
        </w:rPr>
        <w:t xml:space="preserve"> of labor</w:t>
      </w:r>
      <w:r>
        <w:rPr>
          <w:rFonts w:ascii="Times New Roman" w:hAnsi="Times New Roman"/>
        </w:rPr>
        <w:t xml:space="preserve"> are </w:t>
      </w:r>
      <w:r w:rsidR="00845ED9">
        <w:rPr>
          <w:rFonts w:ascii="Times New Roman" w:hAnsi="Times New Roman"/>
        </w:rPr>
        <w:t xml:space="preserve">similar to those </w:t>
      </w:r>
      <w:r w:rsidR="00D25FC2">
        <w:rPr>
          <w:rFonts w:ascii="Times New Roman" w:hAnsi="Times New Roman"/>
        </w:rPr>
        <w:t>associated with failed induction for other indications.</w:t>
      </w:r>
      <w:r>
        <w:rPr>
          <w:rFonts w:ascii="Times New Roman" w:hAnsi="Times New Roman"/>
        </w:rPr>
        <w:t xml:space="preserve"> </w:t>
      </w:r>
    </w:p>
    <w:p w:rsidR="00AC74B6" w:rsidRDefault="00AC74B6" w:rsidP="00316DDC">
      <w:pPr>
        <w:spacing w:line="480" w:lineRule="auto"/>
        <w:rPr>
          <w:rFonts w:ascii="Times New Roman" w:hAnsi="Times New Roman"/>
        </w:rPr>
      </w:pPr>
    </w:p>
    <w:p w:rsidR="00C06326" w:rsidRPr="00AC74B6" w:rsidRDefault="00AC74B6" w:rsidP="00316DDC">
      <w:pPr>
        <w:spacing w:line="480" w:lineRule="auto"/>
        <w:rPr>
          <w:rFonts w:ascii="Times New Roman" w:hAnsi="Times New Roman"/>
        </w:rPr>
      </w:pPr>
      <w:r>
        <w:rPr>
          <w:rFonts w:ascii="Times New Roman" w:hAnsi="Times New Roman"/>
          <w:b/>
        </w:rPr>
        <w:t xml:space="preserve">Keywords: </w:t>
      </w:r>
      <w:r>
        <w:rPr>
          <w:rFonts w:ascii="Times New Roman" w:hAnsi="Times New Roman"/>
        </w:rPr>
        <w:t>pre-eclampsia, labor induction, cesarean section, primiparity, Bishops score, fetal growth restriction, oligohydramnios</w:t>
      </w:r>
    </w:p>
    <w:p w:rsidR="00C06326" w:rsidRDefault="00C06326" w:rsidP="00316DDC">
      <w:pPr>
        <w:spacing w:line="480" w:lineRule="auto"/>
        <w:rPr>
          <w:rFonts w:ascii="Times New Roman" w:hAnsi="Times New Roman"/>
        </w:rPr>
      </w:pPr>
    </w:p>
    <w:p w:rsidR="00C06326" w:rsidRDefault="00C06326" w:rsidP="00316DDC">
      <w:pPr>
        <w:spacing w:line="480" w:lineRule="auto"/>
        <w:rPr>
          <w:rFonts w:ascii="Times New Roman" w:hAnsi="Times New Roman"/>
        </w:rPr>
      </w:pPr>
    </w:p>
    <w:p w:rsidR="00C06326" w:rsidRDefault="00C06326" w:rsidP="00316DDC">
      <w:pPr>
        <w:spacing w:line="480" w:lineRule="auto"/>
        <w:rPr>
          <w:rFonts w:ascii="Times New Roman" w:hAnsi="Times New Roman"/>
        </w:rPr>
      </w:pPr>
    </w:p>
    <w:p w:rsidR="00C06326" w:rsidRDefault="00C06326" w:rsidP="00316DDC">
      <w:pPr>
        <w:spacing w:line="480" w:lineRule="auto"/>
        <w:rPr>
          <w:rFonts w:ascii="Times New Roman" w:hAnsi="Times New Roman"/>
        </w:rPr>
      </w:pPr>
    </w:p>
    <w:p w:rsidR="00C06326" w:rsidRDefault="00C06326" w:rsidP="00316DDC">
      <w:pPr>
        <w:spacing w:line="480" w:lineRule="auto"/>
        <w:rPr>
          <w:rFonts w:ascii="Times New Roman" w:hAnsi="Times New Roman"/>
        </w:rPr>
      </w:pPr>
    </w:p>
    <w:p w:rsidR="00C06326" w:rsidRDefault="00C06326" w:rsidP="00316DDC">
      <w:pPr>
        <w:spacing w:line="480" w:lineRule="auto"/>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C06326" w:rsidRDefault="00C06326">
      <w:pPr>
        <w:rPr>
          <w:rFonts w:ascii="Times New Roman" w:hAnsi="Times New Roman"/>
        </w:rPr>
      </w:pPr>
    </w:p>
    <w:p w:rsidR="00316DDC" w:rsidRDefault="00316DDC">
      <w:pPr>
        <w:rPr>
          <w:rFonts w:ascii="Times New Roman" w:hAnsi="Times New Roman"/>
          <w:b/>
        </w:rPr>
      </w:pPr>
    </w:p>
    <w:p w:rsidR="00316DDC" w:rsidRDefault="00316DDC">
      <w:pPr>
        <w:rPr>
          <w:rFonts w:ascii="Times New Roman" w:hAnsi="Times New Roman"/>
          <w:b/>
        </w:rPr>
      </w:pPr>
    </w:p>
    <w:p w:rsidR="00316DDC" w:rsidRDefault="00316DDC">
      <w:pPr>
        <w:rPr>
          <w:rFonts w:ascii="Times New Roman" w:hAnsi="Times New Roman"/>
          <w:b/>
        </w:rPr>
      </w:pPr>
    </w:p>
    <w:p w:rsidR="00B0072A" w:rsidRDefault="00B0072A" w:rsidP="00B0072A">
      <w:pPr>
        <w:rPr>
          <w:rFonts w:ascii="Times" w:hAnsi="Times"/>
          <w:b/>
          <w:sz w:val="28"/>
        </w:rPr>
      </w:pPr>
      <w:r w:rsidRPr="00E951AF">
        <w:rPr>
          <w:rFonts w:ascii="Times" w:hAnsi="Times"/>
          <w:b/>
          <w:sz w:val="28"/>
        </w:rPr>
        <w:lastRenderedPageBreak/>
        <w:t>Factors associated with a failed induction in the setting of pre-eclampsia</w:t>
      </w:r>
    </w:p>
    <w:p w:rsidR="001F3C66" w:rsidRPr="00487279" w:rsidRDefault="001F3C66" w:rsidP="00B0072A">
      <w:pPr>
        <w:rPr>
          <w:rFonts w:ascii="Times" w:hAnsi="Times"/>
          <w:b/>
          <w:sz w:val="28"/>
        </w:rPr>
      </w:pPr>
    </w:p>
    <w:p w:rsidR="00316DDC" w:rsidRDefault="00316DDC">
      <w:pPr>
        <w:rPr>
          <w:rFonts w:ascii="Times New Roman" w:hAnsi="Times New Roman"/>
          <w:b/>
        </w:rPr>
      </w:pPr>
    </w:p>
    <w:p w:rsidR="001B491A" w:rsidRPr="008E747C" w:rsidRDefault="001B491A" w:rsidP="00401213">
      <w:pPr>
        <w:spacing w:line="480" w:lineRule="auto"/>
        <w:rPr>
          <w:rFonts w:ascii="Times New Roman" w:hAnsi="Times New Roman"/>
          <w:b/>
        </w:rPr>
      </w:pPr>
      <w:r w:rsidRPr="008E747C">
        <w:rPr>
          <w:rFonts w:ascii="Times New Roman" w:hAnsi="Times New Roman"/>
          <w:b/>
        </w:rPr>
        <w:t>Introduction:</w:t>
      </w:r>
    </w:p>
    <w:p w:rsidR="00AA7EA7" w:rsidRDefault="001B491A" w:rsidP="00401213">
      <w:pPr>
        <w:spacing w:line="480" w:lineRule="auto"/>
        <w:rPr>
          <w:rFonts w:ascii="Times New Roman" w:hAnsi="Times New Roman"/>
        </w:rPr>
      </w:pPr>
      <w:r>
        <w:rPr>
          <w:rFonts w:ascii="Times New Roman" w:hAnsi="Times New Roman"/>
        </w:rPr>
        <w:tab/>
        <w:t>Pre</w:t>
      </w:r>
      <w:r w:rsidR="002D550E">
        <w:rPr>
          <w:rFonts w:ascii="Times New Roman" w:hAnsi="Times New Roman"/>
        </w:rPr>
        <w:t>-</w:t>
      </w:r>
      <w:r>
        <w:rPr>
          <w:rFonts w:ascii="Times New Roman" w:hAnsi="Times New Roman"/>
        </w:rPr>
        <w:t>eclampsia is a common complicati</w:t>
      </w:r>
      <w:r w:rsidR="00C767FE">
        <w:rPr>
          <w:rFonts w:ascii="Times New Roman" w:hAnsi="Times New Roman"/>
        </w:rPr>
        <w:t>on of pregnancy, occurring in 6-8% of pregnancies.</w:t>
      </w:r>
      <w:r w:rsidR="00B02470">
        <w:rPr>
          <w:rFonts w:ascii="Times New Roman" w:hAnsi="Times New Roman"/>
          <w:vertAlign w:val="superscript"/>
        </w:rPr>
        <w:t>1</w:t>
      </w:r>
      <w:r w:rsidR="00C767FE">
        <w:rPr>
          <w:rFonts w:ascii="Times New Roman" w:hAnsi="Times New Roman"/>
        </w:rPr>
        <w:t xml:space="preserve"> </w:t>
      </w:r>
      <w:r w:rsidR="00E664DB">
        <w:rPr>
          <w:rFonts w:ascii="Times New Roman" w:hAnsi="Times New Roman"/>
        </w:rPr>
        <w:t xml:space="preserve">The </w:t>
      </w:r>
      <w:r w:rsidR="00D25FC2">
        <w:rPr>
          <w:rFonts w:ascii="Times New Roman" w:hAnsi="Times New Roman"/>
        </w:rPr>
        <w:t>only known definitive management of</w:t>
      </w:r>
      <w:r w:rsidR="00E664DB">
        <w:rPr>
          <w:rFonts w:ascii="Times New Roman" w:hAnsi="Times New Roman"/>
        </w:rPr>
        <w:t xml:space="preserve"> pre</w:t>
      </w:r>
      <w:r w:rsidR="002D550E">
        <w:rPr>
          <w:rFonts w:ascii="Times New Roman" w:hAnsi="Times New Roman"/>
        </w:rPr>
        <w:t>-</w:t>
      </w:r>
      <w:r w:rsidR="00E664DB">
        <w:rPr>
          <w:rFonts w:ascii="Times New Roman" w:hAnsi="Times New Roman"/>
        </w:rPr>
        <w:t>eclampsia is delivery.</w:t>
      </w:r>
      <w:r w:rsidR="002D062F">
        <w:rPr>
          <w:rFonts w:ascii="Times New Roman" w:hAnsi="Times New Roman"/>
        </w:rPr>
        <w:t xml:space="preserve">  </w:t>
      </w:r>
      <w:r w:rsidR="00B0072A">
        <w:rPr>
          <w:rFonts w:ascii="Times New Roman" w:hAnsi="Times New Roman"/>
        </w:rPr>
        <w:t>When not precluded by maternal instability,</w:t>
      </w:r>
      <w:r w:rsidR="00527FB1">
        <w:rPr>
          <w:rFonts w:ascii="Times New Roman" w:hAnsi="Times New Roman"/>
        </w:rPr>
        <w:t xml:space="preserve"> there has been documented benefit of expectant management </w:t>
      </w:r>
      <w:r w:rsidR="00C41647">
        <w:rPr>
          <w:rFonts w:ascii="Times New Roman" w:hAnsi="Times New Roman"/>
        </w:rPr>
        <w:t>to improve neonatal outcome</w:t>
      </w:r>
      <w:r w:rsidR="00527FB1">
        <w:rPr>
          <w:rFonts w:ascii="Times New Roman" w:hAnsi="Times New Roman"/>
        </w:rPr>
        <w:t xml:space="preserve">. </w:t>
      </w:r>
      <w:r w:rsidR="00B02470">
        <w:rPr>
          <w:rFonts w:ascii="Times New Roman" w:hAnsi="Times New Roman"/>
          <w:vertAlign w:val="superscript"/>
        </w:rPr>
        <w:t>2,3</w:t>
      </w:r>
      <w:r w:rsidR="002D062F">
        <w:rPr>
          <w:rFonts w:ascii="Times New Roman" w:hAnsi="Times New Roman"/>
          <w:vertAlign w:val="superscript"/>
        </w:rPr>
        <w:t>.</w:t>
      </w:r>
      <w:r w:rsidR="000D2F49">
        <w:rPr>
          <w:rFonts w:ascii="Times New Roman" w:hAnsi="Times New Roman"/>
          <w:vertAlign w:val="superscript"/>
        </w:rPr>
        <w:t xml:space="preserve"> </w:t>
      </w:r>
      <w:r w:rsidR="00D25FC2">
        <w:rPr>
          <w:rFonts w:ascii="Times New Roman" w:hAnsi="Times New Roman"/>
        </w:rPr>
        <w:t xml:space="preserve">However </w:t>
      </w:r>
      <w:r w:rsidR="00B0072A">
        <w:rPr>
          <w:rFonts w:ascii="Times New Roman" w:hAnsi="Times New Roman"/>
        </w:rPr>
        <w:t>often</w:t>
      </w:r>
      <w:r w:rsidR="002D062F">
        <w:rPr>
          <w:rFonts w:ascii="Times New Roman" w:hAnsi="Times New Roman"/>
        </w:rPr>
        <w:t xml:space="preserve"> maternal or fetal </w:t>
      </w:r>
      <w:r w:rsidR="00C41647">
        <w:rPr>
          <w:rFonts w:ascii="Times New Roman" w:hAnsi="Times New Roman"/>
        </w:rPr>
        <w:t xml:space="preserve">complications </w:t>
      </w:r>
      <w:r w:rsidR="00D25FC2">
        <w:rPr>
          <w:rFonts w:ascii="Times New Roman" w:hAnsi="Times New Roman"/>
        </w:rPr>
        <w:t>forgo the</w:t>
      </w:r>
      <w:r w:rsidR="002D062F">
        <w:rPr>
          <w:rFonts w:ascii="Times New Roman" w:hAnsi="Times New Roman"/>
        </w:rPr>
        <w:t xml:space="preserve"> ability to await sponta</w:t>
      </w:r>
      <w:r w:rsidR="00C41647">
        <w:rPr>
          <w:rFonts w:ascii="Times New Roman" w:hAnsi="Times New Roman"/>
        </w:rPr>
        <w:t xml:space="preserve">neous labor.  Thus, whether </w:t>
      </w:r>
      <w:r w:rsidR="002D062F">
        <w:rPr>
          <w:rFonts w:ascii="Times New Roman" w:hAnsi="Times New Roman"/>
        </w:rPr>
        <w:t xml:space="preserve">immediate delivery is indicated or expectant management is an option, </w:t>
      </w:r>
      <w:r w:rsidR="005467BB">
        <w:rPr>
          <w:rFonts w:ascii="Times New Roman" w:hAnsi="Times New Roman"/>
        </w:rPr>
        <w:t>patients with pre-eclampsia</w:t>
      </w:r>
      <w:r w:rsidR="001F3C66">
        <w:rPr>
          <w:rFonts w:ascii="Times New Roman" w:hAnsi="Times New Roman"/>
        </w:rPr>
        <w:t xml:space="preserve"> often require delivery prior to onset of spontaneous labor and therefore</w:t>
      </w:r>
      <w:r w:rsidR="005467BB">
        <w:rPr>
          <w:rFonts w:ascii="Times New Roman" w:hAnsi="Times New Roman"/>
        </w:rPr>
        <w:t xml:space="preserve"> </w:t>
      </w:r>
      <w:r w:rsidR="00C41647">
        <w:rPr>
          <w:rFonts w:ascii="Times New Roman" w:hAnsi="Times New Roman"/>
        </w:rPr>
        <w:t>have</w:t>
      </w:r>
      <w:r w:rsidR="002D062F">
        <w:rPr>
          <w:rFonts w:ascii="Times New Roman" w:hAnsi="Times New Roman"/>
        </w:rPr>
        <w:t xml:space="preserve"> high rates of induction. </w:t>
      </w:r>
    </w:p>
    <w:p w:rsidR="006C5A8B" w:rsidRDefault="00287186" w:rsidP="00401213">
      <w:pPr>
        <w:spacing w:line="480" w:lineRule="auto"/>
        <w:ind w:firstLine="720"/>
        <w:rPr>
          <w:rFonts w:ascii="Times New Roman" w:hAnsi="Times New Roman"/>
        </w:rPr>
      </w:pPr>
      <w:r>
        <w:rPr>
          <w:rFonts w:ascii="Times New Roman" w:hAnsi="Times New Roman"/>
        </w:rPr>
        <w:t>Pre</w:t>
      </w:r>
      <w:r w:rsidR="002D550E">
        <w:rPr>
          <w:rFonts w:ascii="Times New Roman" w:hAnsi="Times New Roman"/>
        </w:rPr>
        <w:t>-</w:t>
      </w:r>
      <w:r>
        <w:rPr>
          <w:rFonts w:ascii="Times New Roman" w:hAnsi="Times New Roman"/>
        </w:rPr>
        <w:t>eclampsia is the</w:t>
      </w:r>
      <w:r w:rsidR="000D2F49">
        <w:rPr>
          <w:rFonts w:ascii="Times New Roman" w:hAnsi="Times New Roman"/>
        </w:rPr>
        <w:t xml:space="preserve"> </w:t>
      </w:r>
      <w:r>
        <w:rPr>
          <w:rFonts w:ascii="Times New Roman" w:hAnsi="Times New Roman"/>
        </w:rPr>
        <w:t>indicat</w:t>
      </w:r>
      <w:r w:rsidR="00C41647">
        <w:rPr>
          <w:rFonts w:ascii="Times New Roman" w:hAnsi="Times New Roman"/>
        </w:rPr>
        <w:t>ion for 25-43% of all medically-</w:t>
      </w:r>
      <w:r w:rsidR="004E1BF9">
        <w:rPr>
          <w:rFonts w:ascii="Times New Roman" w:hAnsi="Times New Roman"/>
        </w:rPr>
        <w:t>indicated preterm births.</w:t>
      </w:r>
      <w:r w:rsidR="004E1BF9">
        <w:rPr>
          <w:rFonts w:ascii="Times New Roman" w:hAnsi="Times New Roman"/>
          <w:vertAlign w:val="superscript"/>
        </w:rPr>
        <w:t>4</w:t>
      </w:r>
      <w:r w:rsidR="00516C25">
        <w:rPr>
          <w:rFonts w:ascii="Times New Roman" w:hAnsi="Times New Roman"/>
          <w:vertAlign w:val="superscript"/>
        </w:rPr>
        <w:t xml:space="preserve"> </w:t>
      </w:r>
      <w:r w:rsidR="00516C25">
        <w:rPr>
          <w:rFonts w:ascii="Times New Roman" w:hAnsi="Times New Roman"/>
        </w:rPr>
        <w:t xml:space="preserve"> </w:t>
      </w:r>
      <w:r w:rsidR="0015281D">
        <w:rPr>
          <w:rFonts w:ascii="Times New Roman" w:hAnsi="Times New Roman"/>
        </w:rPr>
        <w:t xml:space="preserve">While </w:t>
      </w:r>
      <w:r w:rsidR="00377DD5">
        <w:rPr>
          <w:rFonts w:ascii="Times New Roman" w:hAnsi="Times New Roman"/>
        </w:rPr>
        <w:t>vaginal</w:t>
      </w:r>
      <w:r w:rsidR="00C41647">
        <w:rPr>
          <w:rFonts w:ascii="Times New Roman" w:hAnsi="Times New Roman"/>
        </w:rPr>
        <w:t xml:space="preserve"> delivery </w:t>
      </w:r>
      <w:r w:rsidR="00D25FC2">
        <w:rPr>
          <w:rFonts w:ascii="Times New Roman" w:hAnsi="Times New Roman"/>
        </w:rPr>
        <w:t>may reduce</w:t>
      </w:r>
      <w:r w:rsidR="00C41647">
        <w:rPr>
          <w:rFonts w:ascii="Times New Roman" w:hAnsi="Times New Roman"/>
        </w:rPr>
        <w:t xml:space="preserve"> morbidity </w:t>
      </w:r>
      <w:r w:rsidR="00D25FC2">
        <w:rPr>
          <w:rFonts w:ascii="Times New Roman" w:hAnsi="Times New Roman"/>
        </w:rPr>
        <w:t>for the mother</w:t>
      </w:r>
      <w:r w:rsidR="0015281D">
        <w:rPr>
          <w:rFonts w:ascii="Times New Roman" w:hAnsi="Times New Roman"/>
        </w:rPr>
        <w:t xml:space="preserve">, </w:t>
      </w:r>
      <w:r w:rsidR="00C41647">
        <w:rPr>
          <w:rFonts w:ascii="Times New Roman" w:hAnsi="Times New Roman"/>
        </w:rPr>
        <w:t>obstacles to induction</w:t>
      </w:r>
      <w:r w:rsidR="00B0072A">
        <w:rPr>
          <w:rFonts w:ascii="Times New Roman" w:hAnsi="Times New Roman"/>
        </w:rPr>
        <w:t xml:space="preserve"> </w:t>
      </w:r>
      <w:r w:rsidR="001F3C66">
        <w:rPr>
          <w:rFonts w:ascii="Times New Roman" w:hAnsi="Times New Roman"/>
        </w:rPr>
        <w:t xml:space="preserve">are </w:t>
      </w:r>
      <w:r w:rsidR="00B0072A">
        <w:rPr>
          <w:rFonts w:ascii="Times New Roman" w:hAnsi="Times New Roman"/>
        </w:rPr>
        <w:t>often present in pre-eclampsia</w:t>
      </w:r>
      <w:r w:rsidR="00C41647">
        <w:rPr>
          <w:rFonts w:ascii="Times New Roman" w:hAnsi="Times New Roman"/>
        </w:rPr>
        <w:t xml:space="preserve"> such as</w:t>
      </w:r>
      <w:r w:rsidR="002D550E">
        <w:rPr>
          <w:rFonts w:ascii="Times New Roman" w:hAnsi="Times New Roman"/>
        </w:rPr>
        <w:t xml:space="preserve"> primiparity</w:t>
      </w:r>
      <w:r w:rsidR="0015281D">
        <w:rPr>
          <w:rFonts w:ascii="Times New Roman" w:hAnsi="Times New Roman"/>
        </w:rPr>
        <w:t xml:space="preserve">, </w:t>
      </w:r>
      <w:r w:rsidR="00D25FC2">
        <w:rPr>
          <w:rFonts w:ascii="Times New Roman" w:hAnsi="Times New Roman"/>
        </w:rPr>
        <w:t xml:space="preserve">an </w:t>
      </w:r>
      <w:r w:rsidR="0015281D">
        <w:rPr>
          <w:rFonts w:ascii="Times New Roman" w:hAnsi="Times New Roman"/>
        </w:rPr>
        <w:t>unfavorable cervix, fetal growth restriction, and a sense of ur</w:t>
      </w:r>
      <w:r w:rsidR="004E1BF9">
        <w:rPr>
          <w:rFonts w:ascii="Times New Roman" w:hAnsi="Times New Roman"/>
        </w:rPr>
        <w:t>gency to expedite delivery</w:t>
      </w:r>
      <w:r w:rsidR="00D25FC2">
        <w:rPr>
          <w:rFonts w:ascii="Times New Roman" w:hAnsi="Times New Roman"/>
        </w:rPr>
        <w:t xml:space="preserve"> given maternal and/or fetal compromise</w:t>
      </w:r>
      <w:r w:rsidR="001F3C66">
        <w:rPr>
          <w:rFonts w:ascii="Times New Roman" w:hAnsi="Times New Roman"/>
        </w:rPr>
        <w:t>, and this</w:t>
      </w:r>
      <w:r w:rsidR="004E1BF9">
        <w:rPr>
          <w:rFonts w:ascii="Times New Roman" w:hAnsi="Times New Roman"/>
        </w:rPr>
        <w:t xml:space="preserve"> </w:t>
      </w:r>
      <w:r w:rsidR="00D25FC2">
        <w:rPr>
          <w:rFonts w:ascii="Times New Roman" w:hAnsi="Times New Roman"/>
        </w:rPr>
        <w:t xml:space="preserve">may lead to higher rates of </w:t>
      </w:r>
      <w:r w:rsidR="00C41647">
        <w:rPr>
          <w:rFonts w:ascii="Times New Roman" w:hAnsi="Times New Roman"/>
        </w:rPr>
        <w:t>unlabored</w:t>
      </w:r>
      <w:r w:rsidR="003051F9">
        <w:rPr>
          <w:rFonts w:ascii="Times New Roman" w:hAnsi="Times New Roman"/>
        </w:rPr>
        <w:t xml:space="preserve"> </w:t>
      </w:r>
      <w:r w:rsidR="0015281D">
        <w:rPr>
          <w:rFonts w:ascii="Times New Roman" w:hAnsi="Times New Roman"/>
        </w:rPr>
        <w:t>cesarean section</w:t>
      </w:r>
      <w:r w:rsidR="00C41647">
        <w:rPr>
          <w:rFonts w:ascii="Times New Roman" w:hAnsi="Times New Roman"/>
        </w:rPr>
        <w:t xml:space="preserve"> in the setting of pre-eclampsia</w:t>
      </w:r>
      <w:r w:rsidR="003051F9">
        <w:rPr>
          <w:rFonts w:ascii="Times New Roman" w:hAnsi="Times New Roman"/>
        </w:rPr>
        <w:t xml:space="preserve">. </w:t>
      </w:r>
      <w:r w:rsidR="00C41647">
        <w:rPr>
          <w:rFonts w:ascii="Times New Roman" w:hAnsi="Times New Roman"/>
        </w:rPr>
        <w:t xml:space="preserve"> </w:t>
      </w:r>
      <w:r w:rsidR="00D25FC2">
        <w:rPr>
          <w:rFonts w:ascii="Times New Roman" w:hAnsi="Times New Roman"/>
        </w:rPr>
        <w:t>I</w:t>
      </w:r>
      <w:r w:rsidR="0015281D">
        <w:rPr>
          <w:rFonts w:ascii="Times New Roman" w:hAnsi="Times New Roman"/>
        </w:rPr>
        <w:t xml:space="preserve">t has been demonstrated that </w:t>
      </w:r>
      <w:r w:rsidR="004E1BF9">
        <w:rPr>
          <w:rFonts w:ascii="Times New Roman" w:hAnsi="Times New Roman"/>
        </w:rPr>
        <w:t>patients with pre-eclampsia</w:t>
      </w:r>
      <w:r w:rsidR="006C5A8B">
        <w:rPr>
          <w:rFonts w:ascii="Times New Roman" w:hAnsi="Times New Roman"/>
        </w:rPr>
        <w:t xml:space="preserve"> </w:t>
      </w:r>
      <w:r w:rsidR="00B0072A">
        <w:rPr>
          <w:rFonts w:ascii="Times New Roman" w:hAnsi="Times New Roman"/>
        </w:rPr>
        <w:t>have</w:t>
      </w:r>
      <w:r w:rsidR="0015281D">
        <w:rPr>
          <w:rFonts w:ascii="Times New Roman" w:hAnsi="Times New Roman"/>
        </w:rPr>
        <w:t xml:space="preserve"> </w:t>
      </w:r>
      <w:r w:rsidR="00C20F8A">
        <w:rPr>
          <w:rFonts w:ascii="Times New Roman" w:hAnsi="Times New Roman"/>
        </w:rPr>
        <w:t>higher rate</w:t>
      </w:r>
      <w:r w:rsidR="00D25FC2">
        <w:rPr>
          <w:rFonts w:ascii="Times New Roman" w:hAnsi="Times New Roman"/>
        </w:rPr>
        <w:t>s</w:t>
      </w:r>
      <w:r w:rsidR="00C20F8A">
        <w:rPr>
          <w:rFonts w:ascii="Times New Roman" w:hAnsi="Times New Roman"/>
        </w:rPr>
        <w:t xml:space="preserve"> of cesarean section</w:t>
      </w:r>
      <w:r w:rsidR="00377DD5">
        <w:rPr>
          <w:rFonts w:ascii="Times New Roman" w:hAnsi="Times New Roman"/>
        </w:rPr>
        <w:t xml:space="preserve"> after induction</w:t>
      </w:r>
      <w:r w:rsidR="00C20F8A">
        <w:rPr>
          <w:rFonts w:ascii="Times New Roman" w:hAnsi="Times New Roman"/>
        </w:rPr>
        <w:t xml:space="preserve">. </w:t>
      </w:r>
      <w:r w:rsidR="004E1BF9">
        <w:rPr>
          <w:rFonts w:ascii="Times New Roman" w:hAnsi="Times New Roman"/>
          <w:vertAlign w:val="superscript"/>
        </w:rPr>
        <w:t>5,6</w:t>
      </w:r>
      <w:r w:rsidR="003051F9">
        <w:rPr>
          <w:rFonts w:ascii="Times New Roman" w:hAnsi="Times New Roman"/>
        </w:rPr>
        <w:t xml:space="preserve">  However, induction in the setting of pre</w:t>
      </w:r>
      <w:r w:rsidR="00377DD5">
        <w:rPr>
          <w:rFonts w:ascii="Times New Roman" w:hAnsi="Times New Roman"/>
        </w:rPr>
        <w:t>-</w:t>
      </w:r>
      <w:r w:rsidR="003051F9">
        <w:rPr>
          <w:rFonts w:ascii="Times New Roman" w:hAnsi="Times New Roman"/>
        </w:rPr>
        <w:t>eclampsia, even in</w:t>
      </w:r>
      <w:r w:rsidR="0075460E">
        <w:rPr>
          <w:rFonts w:ascii="Times New Roman" w:hAnsi="Times New Roman"/>
        </w:rPr>
        <w:t xml:space="preserve"> low birth weight infants</w:t>
      </w:r>
      <w:r w:rsidR="003051F9">
        <w:rPr>
          <w:rFonts w:ascii="Times New Roman" w:hAnsi="Times New Roman"/>
        </w:rPr>
        <w:t xml:space="preserve">, </w:t>
      </w:r>
      <w:r w:rsidR="0075460E">
        <w:rPr>
          <w:rFonts w:ascii="Times New Roman" w:hAnsi="Times New Roman"/>
        </w:rPr>
        <w:t>has not been shown to be harmful</w:t>
      </w:r>
      <w:r w:rsidR="004E1BF9">
        <w:rPr>
          <w:rFonts w:ascii="Times New Roman" w:hAnsi="Times New Roman"/>
        </w:rPr>
        <w:t>.</w:t>
      </w:r>
      <w:r w:rsidR="004E1BF9" w:rsidRPr="004E1BF9">
        <w:rPr>
          <w:rFonts w:ascii="Times New Roman" w:hAnsi="Times New Roman"/>
          <w:vertAlign w:val="superscript"/>
        </w:rPr>
        <w:t>7</w:t>
      </w:r>
      <w:r w:rsidR="004E1BF9">
        <w:rPr>
          <w:rFonts w:ascii="Times New Roman" w:hAnsi="Times New Roman"/>
          <w:vertAlign w:val="superscript"/>
        </w:rPr>
        <w:t xml:space="preserve"> </w:t>
      </w:r>
      <w:r w:rsidR="006A758A">
        <w:rPr>
          <w:rFonts w:ascii="Times New Roman" w:hAnsi="Times New Roman"/>
          <w:vertAlign w:val="superscript"/>
        </w:rPr>
        <w:t xml:space="preserve"> </w:t>
      </w:r>
      <w:r w:rsidR="003051F9">
        <w:rPr>
          <w:rFonts w:ascii="Times New Roman" w:hAnsi="Times New Roman"/>
        </w:rPr>
        <w:t>Thus, unless there are other obstetrical contraindications</w:t>
      </w:r>
      <w:r w:rsidR="00377DD5">
        <w:rPr>
          <w:rFonts w:ascii="Times New Roman" w:hAnsi="Times New Roman"/>
        </w:rPr>
        <w:t xml:space="preserve"> to labor</w:t>
      </w:r>
      <w:r w:rsidR="003051F9">
        <w:rPr>
          <w:rFonts w:ascii="Times New Roman" w:hAnsi="Times New Roman"/>
        </w:rPr>
        <w:t xml:space="preserve">, induction does remain an option for </w:t>
      </w:r>
      <w:r w:rsidR="004F6342">
        <w:rPr>
          <w:rFonts w:ascii="Times New Roman" w:hAnsi="Times New Roman"/>
        </w:rPr>
        <w:t>patients with pre-eclampsia.</w:t>
      </w:r>
    </w:p>
    <w:p w:rsidR="00D30F12" w:rsidRDefault="006C5A8B" w:rsidP="00401213">
      <w:pPr>
        <w:spacing w:line="480" w:lineRule="auto"/>
        <w:ind w:firstLine="720"/>
        <w:rPr>
          <w:rFonts w:ascii="Times New Roman" w:hAnsi="Times New Roman"/>
        </w:rPr>
      </w:pPr>
      <w:r>
        <w:rPr>
          <w:rFonts w:ascii="Times New Roman" w:hAnsi="Times New Roman"/>
        </w:rPr>
        <w:t>There are multiple obst</w:t>
      </w:r>
      <w:r w:rsidR="00490727">
        <w:rPr>
          <w:rFonts w:ascii="Times New Roman" w:hAnsi="Times New Roman"/>
        </w:rPr>
        <w:t>acles to</w:t>
      </w:r>
      <w:r w:rsidR="0068103F">
        <w:rPr>
          <w:rFonts w:ascii="Times New Roman" w:hAnsi="Times New Roman"/>
        </w:rPr>
        <w:t xml:space="preserve"> successful induction in the setting of pre</w:t>
      </w:r>
      <w:r w:rsidR="00377DD5">
        <w:rPr>
          <w:rFonts w:ascii="Times New Roman" w:hAnsi="Times New Roman"/>
        </w:rPr>
        <w:t>-</w:t>
      </w:r>
      <w:r w:rsidR="0068103F">
        <w:rPr>
          <w:rFonts w:ascii="Times New Roman" w:hAnsi="Times New Roman"/>
        </w:rPr>
        <w:t xml:space="preserve">eclampsia. </w:t>
      </w:r>
      <w:r w:rsidR="006E3B5F">
        <w:rPr>
          <w:rFonts w:ascii="Times New Roman" w:hAnsi="Times New Roman"/>
        </w:rPr>
        <w:t>Obesity, a known risk factor for pre</w:t>
      </w:r>
      <w:r w:rsidR="00377DD5">
        <w:rPr>
          <w:rFonts w:ascii="Times New Roman" w:hAnsi="Times New Roman"/>
        </w:rPr>
        <w:t>-</w:t>
      </w:r>
      <w:r w:rsidR="006E3B5F">
        <w:rPr>
          <w:rFonts w:ascii="Times New Roman" w:hAnsi="Times New Roman"/>
        </w:rPr>
        <w:t xml:space="preserve">eclampsia, has </w:t>
      </w:r>
      <w:r w:rsidR="000D2F49">
        <w:rPr>
          <w:rFonts w:ascii="Times New Roman" w:hAnsi="Times New Roman"/>
        </w:rPr>
        <w:t xml:space="preserve">been shown to increase the </w:t>
      </w:r>
      <w:r w:rsidR="00490727">
        <w:rPr>
          <w:rFonts w:ascii="Times New Roman" w:hAnsi="Times New Roman"/>
        </w:rPr>
        <w:t>rate of</w:t>
      </w:r>
      <w:r w:rsidR="006E3B5F">
        <w:rPr>
          <w:rFonts w:ascii="Times New Roman" w:hAnsi="Times New Roman"/>
        </w:rPr>
        <w:t xml:space="preserve"> failed induction in the setting of pre</w:t>
      </w:r>
      <w:r w:rsidR="002D550E">
        <w:rPr>
          <w:rFonts w:ascii="Times New Roman" w:hAnsi="Times New Roman"/>
        </w:rPr>
        <w:t>-</w:t>
      </w:r>
      <w:r w:rsidR="006E3B5F">
        <w:rPr>
          <w:rFonts w:ascii="Times New Roman" w:hAnsi="Times New Roman"/>
        </w:rPr>
        <w:t>e</w:t>
      </w:r>
      <w:r w:rsidR="004F6342">
        <w:rPr>
          <w:rFonts w:ascii="Times New Roman" w:hAnsi="Times New Roman"/>
        </w:rPr>
        <w:t>clampsia.</w:t>
      </w:r>
      <w:r w:rsidR="004F6342">
        <w:rPr>
          <w:rFonts w:ascii="Times New Roman" w:hAnsi="Times New Roman"/>
          <w:vertAlign w:val="superscript"/>
        </w:rPr>
        <w:t xml:space="preserve">8  </w:t>
      </w:r>
      <w:r w:rsidR="00490727">
        <w:rPr>
          <w:rFonts w:ascii="Times New Roman" w:hAnsi="Times New Roman"/>
        </w:rPr>
        <w:t xml:space="preserve">Primiparity, also a risk factor for </w:t>
      </w:r>
      <w:r w:rsidR="00490727">
        <w:rPr>
          <w:rFonts w:ascii="Times New Roman" w:hAnsi="Times New Roman"/>
        </w:rPr>
        <w:lastRenderedPageBreak/>
        <w:t>pre-eclampsia</w:t>
      </w:r>
      <w:r w:rsidR="002D550E">
        <w:rPr>
          <w:rFonts w:ascii="Times New Roman" w:hAnsi="Times New Roman"/>
        </w:rPr>
        <w:t xml:space="preserve">, </w:t>
      </w:r>
      <w:r w:rsidR="006E3B5F">
        <w:rPr>
          <w:rFonts w:ascii="Times New Roman" w:hAnsi="Times New Roman"/>
        </w:rPr>
        <w:t>an unfavorable cervix, and conc</w:t>
      </w:r>
      <w:r w:rsidR="000D2F49">
        <w:rPr>
          <w:rFonts w:ascii="Times New Roman" w:hAnsi="Times New Roman"/>
        </w:rPr>
        <w:t>ern for fetal compromise all can attribute</w:t>
      </w:r>
      <w:r w:rsidR="006E3B5F">
        <w:rPr>
          <w:rFonts w:ascii="Times New Roman" w:hAnsi="Times New Roman"/>
        </w:rPr>
        <w:t xml:space="preserve"> to the increased cesarean rate in </w:t>
      </w:r>
      <w:r w:rsidR="00D05E87">
        <w:rPr>
          <w:rFonts w:ascii="Times New Roman" w:hAnsi="Times New Roman"/>
        </w:rPr>
        <w:t xml:space="preserve">patients with pre-eclampsia.  </w:t>
      </w:r>
      <w:r w:rsidR="00D30F12">
        <w:rPr>
          <w:rFonts w:ascii="Times New Roman" w:hAnsi="Times New Roman"/>
        </w:rPr>
        <w:t xml:space="preserve">Lastly, maternal complications such as </w:t>
      </w:r>
      <w:r w:rsidR="00490727">
        <w:rPr>
          <w:rFonts w:ascii="Times New Roman" w:hAnsi="Times New Roman"/>
        </w:rPr>
        <w:t>severe hypertension</w:t>
      </w:r>
      <w:r w:rsidR="00D05E87">
        <w:rPr>
          <w:rFonts w:ascii="Times New Roman" w:hAnsi="Times New Roman"/>
        </w:rPr>
        <w:t>, hemolysis elevated liver enzymes and low platelet (HELLP)</w:t>
      </w:r>
      <w:r w:rsidR="00D30F12">
        <w:rPr>
          <w:rFonts w:ascii="Times New Roman" w:hAnsi="Times New Roman"/>
        </w:rPr>
        <w:t xml:space="preserve"> syndrome, </w:t>
      </w:r>
      <w:r w:rsidR="00490727">
        <w:rPr>
          <w:rFonts w:ascii="Times New Roman" w:hAnsi="Times New Roman"/>
        </w:rPr>
        <w:t xml:space="preserve">eclampsia, </w:t>
      </w:r>
      <w:r w:rsidR="00D30F12">
        <w:rPr>
          <w:rFonts w:ascii="Times New Roman" w:hAnsi="Times New Roman"/>
        </w:rPr>
        <w:t>renal failure, pulmonary edema</w:t>
      </w:r>
      <w:r w:rsidR="00490727">
        <w:rPr>
          <w:rFonts w:ascii="Times New Roman" w:hAnsi="Times New Roman"/>
        </w:rPr>
        <w:t>, and others</w:t>
      </w:r>
      <w:r w:rsidR="00D30F12">
        <w:rPr>
          <w:rFonts w:ascii="Times New Roman" w:hAnsi="Times New Roman"/>
        </w:rPr>
        <w:t xml:space="preserve"> all require </w:t>
      </w:r>
      <w:r w:rsidR="000D2F49">
        <w:rPr>
          <w:rFonts w:ascii="Times New Roman" w:hAnsi="Times New Roman"/>
        </w:rPr>
        <w:t>expedited</w:t>
      </w:r>
      <w:r w:rsidR="00D30F12">
        <w:rPr>
          <w:rFonts w:ascii="Times New Roman" w:hAnsi="Times New Roman"/>
        </w:rPr>
        <w:t xml:space="preserve"> delivery</w:t>
      </w:r>
      <w:r w:rsidR="00377DD5">
        <w:rPr>
          <w:rFonts w:ascii="Times New Roman" w:hAnsi="Times New Roman"/>
        </w:rPr>
        <w:t xml:space="preserve"> which can discourage provider</w:t>
      </w:r>
      <w:r w:rsidR="00D05E87">
        <w:rPr>
          <w:rFonts w:ascii="Times New Roman" w:hAnsi="Times New Roman"/>
        </w:rPr>
        <w:t>s</w:t>
      </w:r>
      <w:r w:rsidR="00377DD5">
        <w:rPr>
          <w:rFonts w:ascii="Times New Roman" w:hAnsi="Times New Roman"/>
        </w:rPr>
        <w:t xml:space="preserve"> from attempting an induction </w:t>
      </w:r>
      <w:r w:rsidR="00490727">
        <w:rPr>
          <w:rFonts w:ascii="Times New Roman" w:hAnsi="Times New Roman"/>
        </w:rPr>
        <w:t>which will prolong</w:t>
      </w:r>
      <w:r w:rsidR="00377DD5">
        <w:rPr>
          <w:rFonts w:ascii="Times New Roman" w:hAnsi="Times New Roman"/>
        </w:rPr>
        <w:t xml:space="preserve"> the interval to delivery.</w:t>
      </w:r>
    </w:p>
    <w:p w:rsidR="00D30F12" w:rsidRDefault="001867D4" w:rsidP="00401213">
      <w:pPr>
        <w:spacing w:line="480" w:lineRule="auto"/>
        <w:ind w:firstLine="720"/>
        <w:rPr>
          <w:rFonts w:ascii="Times New Roman" w:hAnsi="Times New Roman"/>
        </w:rPr>
      </w:pPr>
      <w:r>
        <w:rPr>
          <w:rFonts w:ascii="Times New Roman" w:hAnsi="Times New Roman"/>
        </w:rPr>
        <w:t xml:space="preserve">The maternal, </w:t>
      </w:r>
      <w:r w:rsidR="008E0421">
        <w:rPr>
          <w:rFonts w:ascii="Times New Roman" w:hAnsi="Times New Roman"/>
        </w:rPr>
        <w:t>fetal</w:t>
      </w:r>
      <w:r>
        <w:rPr>
          <w:rFonts w:ascii="Times New Roman" w:hAnsi="Times New Roman"/>
        </w:rPr>
        <w:t xml:space="preserve">, and pre-eclampsia characteristics </w:t>
      </w:r>
      <w:r w:rsidR="00377DD5">
        <w:rPr>
          <w:rFonts w:ascii="Times New Roman" w:hAnsi="Times New Roman"/>
        </w:rPr>
        <w:t xml:space="preserve">that </w:t>
      </w:r>
      <w:r w:rsidR="00D30F12">
        <w:rPr>
          <w:rFonts w:ascii="Times New Roman" w:hAnsi="Times New Roman"/>
        </w:rPr>
        <w:t>are associated with a failed induction i</w:t>
      </w:r>
      <w:r w:rsidR="000D2F49">
        <w:rPr>
          <w:rFonts w:ascii="Times New Roman" w:hAnsi="Times New Roman"/>
        </w:rPr>
        <w:t>n the setting of pre</w:t>
      </w:r>
      <w:r w:rsidR="002D550E">
        <w:rPr>
          <w:rFonts w:ascii="Times New Roman" w:hAnsi="Times New Roman"/>
        </w:rPr>
        <w:t>-</w:t>
      </w:r>
      <w:r w:rsidR="000D2F49">
        <w:rPr>
          <w:rFonts w:ascii="Times New Roman" w:hAnsi="Times New Roman"/>
        </w:rPr>
        <w:t>eclampsia</w:t>
      </w:r>
      <w:r w:rsidR="00377DD5">
        <w:rPr>
          <w:rFonts w:ascii="Times New Roman" w:hAnsi="Times New Roman"/>
        </w:rPr>
        <w:t>, and the strengths of these associations,</w:t>
      </w:r>
      <w:r w:rsidR="000D2F49">
        <w:rPr>
          <w:rFonts w:ascii="Times New Roman" w:hAnsi="Times New Roman"/>
        </w:rPr>
        <w:t xml:space="preserve"> </w:t>
      </w:r>
      <w:r w:rsidR="00490727">
        <w:rPr>
          <w:rFonts w:ascii="Times New Roman" w:hAnsi="Times New Roman"/>
        </w:rPr>
        <w:t>is</w:t>
      </w:r>
      <w:r w:rsidR="000D2F49">
        <w:rPr>
          <w:rFonts w:ascii="Times New Roman" w:hAnsi="Times New Roman"/>
        </w:rPr>
        <w:t xml:space="preserve"> an</w:t>
      </w:r>
      <w:r w:rsidR="00490727">
        <w:rPr>
          <w:rFonts w:ascii="Times New Roman" w:hAnsi="Times New Roman"/>
        </w:rPr>
        <w:t xml:space="preserve"> understudied area. The</w:t>
      </w:r>
      <w:r w:rsidR="00D30F12">
        <w:rPr>
          <w:rFonts w:ascii="Times New Roman" w:hAnsi="Times New Roman"/>
        </w:rPr>
        <w:t xml:space="preserve"> goal of</w:t>
      </w:r>
      <w:r w:rsidR="00377DD5">
        <w:rPr>
          <w:rFonts w:ascii="Times New Roman" w:hAnsi="Times New Roman"/>
        </w:rPr>
        <w:t xml:space="preserve"> our study was to evaluate several </w:t>
      </w:r>
      <w:r w:rsidR="00490727">
        <w:rPr>
          <w:rFonts w:ascii="Times New Roman" w:hAnsi="Times New Roman"/>
        </w:rPr>
        <w:t xml:space="preserve">biologically </w:t>
      </w:r>
      <w:r w:rsidR="00377DD5">
        <w:rPr>
          <w:rFonts w:ascii="Times New Roman" w:hAnsi="Times New Roman"/>
        </w:rPr>
        <w:t>plausible</w:t>
      </w:r>
      <w:r w:rsidR="00D30F12">
        <w:rPr>
          <w:rFonts w:ascii="Times New Roman" w:hAnsi="Times New Roman"/>
        </w:rPr>
        <w:t xml:space="preserve"> factors to determine whi</w:t>
      </w:r>
      <w:r w:rsidR="00377DD5">
        <w:rPr>
          <w:rFonts w:ascii="Times New Roman" w:hAnsi="Times New Roman"/>
        </w:rPr>
        <w:t>ch are</w:t>
      </w:r>
      <w:r w:rsidR="00D30F12">
        <w:rPr>
          <w:rFonts w:ascii="Times New Roman" w:hAnsi="Times New Roman"/>
        </w:rPr>
        <w:t xml:space="preserve"> associated with a failed induction</w:t>
      </w:r>
      <w:r w:rsidR="00377DD5">
        <w:rPr>
          <w:rFonts w:ascii="Times New Roman" w:hAnsi="Times New Roman"/>
        </w:rPr>
        <w:t>, and the strength</w:t>
      </w:r>
      <w:r w:rsidR="00490727">
        <w:rPr>
          <w:rFonts w:ascii="Times New Roman" w:hAnsi="Times New Roman"/>
        </w:rPr>
        <w:t>s</w:t>
      </w:r>
      <w:r w:rsidR="00377DD5">
        <w:rPr>
          <w:rFonts w:ascii="Times New Roman" w:hAnsi="Times New Roman"/>
        </w:rPr>
        <w:t xml:space="preserve"> of these associations</w:t>
      </w:r>
      <w:r w:rsidR="00D30F12">
        <w:rPr>
          <w:rFonts w:ascii="Times New Roman" w:hAnsi="Times New Roman"/>
        </w:rPr>
        <w:t xml:space="preserve">. </w:t>
      </w:r>
      <w:r w:rsidR="008A60D8">
        <w:rPr>
          <w:rFonts w:ascii="Times New Roman" w:hAnsi="Times New Roman"/>
        </w:rPr>
        <w:t>Our hypothesis is that certain maternal, fetal</w:t>
      </w:r>
      <w:r>
        <w:rPr>
          <w:rFonts w:ascii="Times New Roman" w:hAnsi="Times New Roman"/>
        </w:rPr>
        <w:t>,</w:t>
      </w:r>
      <w:r w:rsidR="008A60D8">
        <w:rPr>
          <w:rFonts w:ascii="Times New Roman" w:hAnsi="Times New Roman"/>
        </w:rPr>
        <w:t xml:space="preserve"> and pre-eclampsia characteristics</w:t>
      </w:r>
      <w:r w:rsidR="00B0072A">
        <w:rPr>
          <w:rFonts w:ascii="Times New Roman" w:hAnsi="Times New Roman"/>
        </w:rPr>
        <w:t xml:space="preserve"> a</w:t>
      </w:r>
      <w:r w:rsidR="001F3C66">
        <w:rPr>
          <w:rFonts w:ascii="Times New Roman" w:hAnsi="Times New Roman"/>
        </w:rPr>
        <w:t>re</w:t>
      </w:r>
      <w:r w:rsidR="00B0072A">
        <w:rPr>
          <w:rFonts w:ascii="Times New Roman" w:hAnsi="Times New Roman"/>
        </w:rPr>
        <w:t xml:space="preserve"> more strongly associated with failed induction of labor, and knowledge regarding these associations may be valuable in devising delivery management strategies</w:t>
      </w:r>
      <w:r w:rsidR="008A60D8">
        <w:rPr>
          <w:rFonts w:ascii="Times New Roman" w:hAnsi="Times New Roman"/>
        </w:rPr>
        <w:t>.</w:t>
      </w:r>
    </w:p>
    <w:p w:rsidR="001B491A" w:rsidRPr="00533403" w:rsidRDefault="00E664DB" w:rsidP="000D2F49">
      <w:pPr>
        <w:rPr>
          <w:rFonts w:ascii="Times New Roman" w:hAnsi="Times New Roman"/>
        </w:rPr>
      </w:pPr>
      <w:r>
        <w:rPr>
          <w:rFonts w:ascii="Times New Roman" w:hAnsi="Times New Roman"/>
        </w:rPr>
        <w:tab/>
      </w:r>
    </w:p>
    <w:p w:rsidR="00EC02FC" w:rsidRPr="008E747C" w:rsidRDefault="00EC02FC">
      <w:pPr>
        <w:rPr>
          <w:rFonts w:ascii="Times New Roman" w:hAnsi="Times New Roman"/>
          <w:b/>
        </w:rPr>
      </w:pPr>
      <w:r w:rsidRPr="008E747C">
        <w:rPr>
          <w:rFonts w:ascii="Times New Roman" w:hAnsi="Times New Roman"/>
          <w:b/>
        </w:rPr>
        <w:t>Methods:</w:t>
      </w:r>
    </w:p>
    <w:p w:rsidR="00607C30" w:rsidRDefault="00607C30">
      <w:pPr>
        <w:rPr>
          <w:rFonts w:ascii="Times New Roman" w:hAnsi="Times New Roman"/>
        </w:rPr>
      </w:pPr>
    </w:p>
    <w:p w:rsidR="00803119" w:rsidRDefault="00607C30" w:rsidP="00401213">
      <w:pPr>
        <w:spacing w:line="480" w:lineRule="auto"/>
        <w:rPr>
          <w:rFonts w:ascii="Times New Roman" w:hAnsi="Times New Roman"/>
        </w:rPr>
      </w:pPr>
      <w:r>
        <w:rPr>
          <w:rFonts w:ascii="Times New Roman" w:hAnsi="Times New Roman"/>
        </w:rPr>
        <w:tab/>
        <w:t>We performed a retrospective cohort study of all singleton</w:t>
      </w:r>
      <w:r w:rsidR="00803119">
        <w:rPr>
          <w:rFonts w:ascii="Times New Roman" w:hAnsi="Times New Roman"/>
        </w:rPr>
        <w:t>, live-born, non-anomalous</w:t>
      </w:r>
      <w:r>
        <w:rPr>
          <w:rFonts w:ascii="Times New Roman" w:hAnsi="Times New Roman"/>
        </w:rPr>
        <w:t xml:space="preserve"> deliveries at the Un</w:t>
      </w:r>
      <w:r w:rsidR="008A60D8">
        <w:rPr>
          <w:rFonts w:ascii="Times New Roman" w:hAnsi="Times New Roman"/>
        </w:rPr>
        <w:t>iversity of Cincinnati Medical C</w:t>
      </w:r>
      <w:r>
        <w:rPr>
          <w:rFonts w:ascii="Times New Roman" w:hAnsi="Times New Roman"/>
        </w:rPr>
        <w:t xml:space="preserve">enter </w:t>
      </w:r>
      <w:r w:rsidR="003D2EF5">
        <w:rPr>
          <w:rFonts w:ascii="Times New Roman" w:hAnsi="Times New Roman"/>
        </w:rPr>
        <w:t>between January 2008 and January 2013</w:t>
      </w:r>
      <w:r>
        <w:rPr>
          <w:rFonts w:ascii="Times New Roman" w:hAnsi="Times New Roman"/>
        </w:rPr>
        <w:t>.</w:t>
      </w:r>
      <w:r w:rsidR="004E5977">
        <w:rPr>
          <w:rFonts w:ascii="Times New Roman" w:hAnsi="Times New Roman"/>
        </w:rPr>
        <w:t xml:space="preserve">  The study was approved by local Institutional Review Board.</w:t>
      </w:r>
      <w:r>
        <w:rPr>
          <w:rFonts w:ascii="Times New Roman" w:hAnsi="Times New Roman"/>
        </w:rPr>
        <w:t xml:space="preserve">  </w:t>
      </w:r>
      <w:r w:rsidR="00803119">
        <w:rPr>
          <w:rFonts w:ascii="Times New Roman" w:hAnsi="Times New Roman"/>
        </w:rPr>
        <w:t>Patients were eligible for inclusion if they were diagnosed with pre-eclampsia prior to delivery and</w:t>
      </w:r>
      <w:r w:rsidR="002D550E">
        <w:rPr>
          <w:rFonts w:ascii="Times New Roman" w:hAnsi="Times New Roman"/>
        </w:rPr>
        <w:t xml:space="preserve"> underwent an induction of labor.</w:t>
      </w:r>
    </w:p>
    <w:p w:rsidR="002D2796" w:rsidRDefault="00803119" w:rsidP="00401213">
      <w:pPr>
        <w:spacing w:line="480" w:lineRule="auto"/>
        <w:ind w:firstLine="720"/>
        <w:rPr>
          <w:rFonts w:ascii="Times New Roman" w:hAnsi="Times New Roman"/>
        </w:rPr>
      </w:pPr>
      <w:r>
        <w:rPr>
          <w:rFonts w:ascii="Times New Roman" w:hAnsi="Times New Roman"/>
        </w:rPr>
        <w:t>The period included for the study was prior to the institution of the ACOG Task Force on Hypertension in Pregnancy</w:t>
      </w:r>
      <w:r w:rsidR="006A758A">
        <w:rPr>
          <w:rFonts w:ascii="Times New Roman" w:hAnsi="Times New Roman"/>
          <w:vertAlign w:val="superscript"/>
        </w:rPr>
        <w:t>9</w:t>
      </w:r>
      <w:r w:rsidR="008E747C">
        <w:rPr>
          <w:rFonts w:ascii="Times New Roman" w:hAnsi="Times New Roman"/>
        </w:rPr>
        <w:t xml:space="preserve"> guidelines for management.  </w:t>
      </w:r>
      <w:r w:rsidR="002D550E">
        <w:rPr>
          <w:rFonts w:ascii="Times New Roman" w:hAnsi="Times New Roman"/>
        </w:rPr>
        <w:t>Thus, p</w:t>
      </w:r>
      <w:r>
        <w:rPr>
          <w:rFonts w:ascii="Times New Roman" w:hAnsi="Times New Roman"/>
        </w:rPr>
        <w:t>re-eclampsia was defined as hypertension with the presence of new-ons</w:t>
      </w:r>
      <w:r w:rsidR="00686140">
        <w:rPr>
          <w:rFonts w:ascii="Times New Roman" w:hAnsi="Times New Roman"/>
        </w:rPr>
        <w:t>et proteinuria (over</w:t>
      </w:r>
      <w:r w:rsidR="008A60D8">
        <w:rPr>
          <w:rFonts w:ascii="Times New Roman" w:hAnsi="Times New Roman"/>
        </w:rPr>
        <w:t xml:space="preserve"> </w:t>
      </w:r>
      <w:r>
        <w:rPr>
          <w:rFonts w:ascii="Times New Roman" w:hAnsi="Times New Roman"/>
        </w:rPr>
        <w:t>0.3</w:t>
      </w:r>
      <w:r w:rsidR="008A60D8">
        <w:rPr>
          <w:rFonts w:ascii="Times New Roman" w:hAnsi="Times New Roman"/>
        </w:rPr>
        <w:t xml:space="preserve"> </w:t>
      </w:r>
      <w:r>
        <w:rPr>
          <w:rFonts w:ascii="Times New Roman" w:hAnsi="Times New Roman"/>
        </w:rPr>
        <w:t>g</w:t>
      </w:r>
      <w:r w:rsidR="008A60D8">
        <w:rPr>
          <w:rFonts w:ascii="Times New Roman" w:hAnsi="Times New Roman"/>
        </w:rPr>
        <w:t>m</w:t>
      </w:r>
      <w:r>
        <w:rPr>
          <w:rFonts w:ascii="Times New Roman" w:hAnsi="Times New Roman"/>
        </w:rPr>
        <w:t xml:space="preserve"> of total urinary protein excretion over a 24-hour period).</w:t>
      </w:r>
      <w:r w:rsidR="00B0072A">
        <w:rPr>
          <w:rFonts w:ascii="Times New Roman" w:hAnsi="Times New Roman"/>
        </w:rPr>
        <w:t xml:space="preserve">  </w:t>
      </w:r>
      <w:r w:rsidR="001F3C66">
        <w:rPr>
          <w:rFonts w:ascii="Times New Roman" w:hAnsi="Times New Roman"/>
        </w:rPr>
        <w:t xml:space="preserve">Patients with </w:t>
      </w:r>
      <w:r w:rsidR="009D1109">
        <w:rPr>
          <w:rFonts w:ascii="Times New Roman" w:hAnsi="Times New Roman"/>
        </w:rPr>
        <w:t>a</w:t>
      </w:r>
      <w:r w:rsidR="00B0072A">
        <w:rPr>
          <w:rFonts w:ascii="Times New Roman" w:hAnsi="Times New Roman"/>
        </w:rPr>
        <w:t>typical pre-</w:t>
      </w:r>
      <w:r w:rsidR="00B0072A">
        <w:rPr>
          <w:rFonts w:ascii="Times New Roman" w:hAnsi="Times New Roman"/>
        </w:rPr>
        <w:lastRenderedPageBreak/>
        <w:t xml:space="preserve">eclampsia, with any combination of hypertension, symptoms, HELLP, </w:t>
      </w:r>
      <w:r w:rsidR="001F3C66">
        <w:rPr>
          <w:rFonts w:ascii="Times New Roman" w:hAnsi="Times New Roman"/>
        </w:rPr>
        <w:t xml:space="preserve">and/or </w:t>
      </w:r>
      <w:r w:rsidR="00B0072A">
        <w:rPr>
          <w:rFonts w:ascii="Times New Roman" w:hAnsi="Times New Roman"/>
        </w:rPr>
        <w:t>fetal growth restriction but wit</w:t>
      </w:r>
      <w:r w:rsidR="009D1109">
        <w:rPr>
          <w:rFonts w:ascii="Times New Roman" w:hAnsi="Times New Roman"/>
        </w:rPr>
        <w:t>h the absence of proteinuria, were</w:t>
      </w:r>
      <w:r w:rsidR="00B0072A">
        <w:rPr>
          <w:rFonts w:ascii="Times New Roman" w:hAnsi="Times New Roman"/>
        </w:rPr>
        <w:t xml:space="preserve"> also included if the managing physician team made the diagnosis of pre-eclampsia</w:t>
      </w:r>
      <w:r w:rsidR="009D1109">
        <w:rPr>
          <w:rFonts w:ascii="Times New Roman" w:hAnsi="Times New Roman"/>
        </w:rPr>
        <w:t xml:space="preserve"> based upon the clinical evaluation</w:t>
      </w:r>
      <w:r w:rsidR="00B0072A">
        <w:rPr>
          <w:rFonts w:ascii="Times New Roman" w:hAnsi="Times New Roman"/>
        </w:rPr>
        <w:t>.</w:t>
      </w:r>
      <w:r>
        <w:rPr>
          <w:rFonts w:ascii="Times New Roman" w:hAnsi="Times New Roman"/>
        </w:rPr>
        <w:t xml:space="preserve">  Severe pre-eclampsia was defined as severe range blood pressures greater than 160/110, pro</w:t>
      </w:r>
      <w:r w:rsidR="002D550E">
        <w:rPr>
          <w:rFonts w:ascii="Times New Roman" w:hAnsi="Times New Roman"/>
        </w:rPr>
        <w:t>teinuria</w:t>
      </w:r>
      <w:r w:rsidR="00F02616">
        <w:rPr>
          <w:rFonts w:ascii="Times New Roman" w:hAnsi="Times New Roman"/>
        </w:rPr>
        <w:t xml:space="preserve"> over </w:t>
      </w:r>
      <w:r>
        <w:rPr>
          <w:rFonts w:ascii="Times New Roman" w:hAnsi="Times New Roman"/>
        </w:rPr>
        <w:t>5</w:t>
      </w:r>
      <w:r w:rsidR="002D550E">
        <w:rPr>
          <w:rFonts w:ascii="Times New Roman" w:hAnsi="Times New Roman"/>
        </w:rPr>
        <w:t xml:space="preserve"> gm in a 24 hour collection, </w:t>
      </w:r>
      <w:r>
        <w:rPr>
          <w:rFonts w:ascii="Times New Roman" w:hAnsi="Times New Roman"/>
        </w:rPr>
        <w:t xml:space="preserve">neurological symptoms, </w:t>
      </w:r>
      <w:r w:rsidR="008E747C">
        <w:rPr>
          <w:rFonts w:ascii="Times New Roman" w:hAnsi="Times New Roman"/>
        </w:rPr>
        <w:t>epigastric pain, HELLP syndrome, pulmonary edema, renal failure, or oligouria.</w:t>
      </w:r>
      <w:r w:rsidR="007428A8">
        <w:rPr>
          <w:rFonts w:ascii="Times New Roman" w:hAnsi="Times New Roman"/>
          <w:vertAlign w:val="superscript"/>
        </w:rPr>
        <w:t>9</w:t>
      </w:r>
      <w:r w:rsidR="008E5619">
        <w:rPr>
          <w:rFonts w:ascii="Times New Roman" w:hAnsi="Times New Roman"/>
          <w:vertAlign w:val="superscript"/>
        </w:rPr>
        <w:t xml:space="preserve"> </w:t>
      </w:r>
      <w:r w:rsidR="008E5619">
        <w:rPr>
          <w:rFonts w:ascii="Times New Roman" w:hAnsi="Times New Roman"/>
        </w:rPr>
        <w:t xml:space="preserve"> </w:t>
      </w:r>
      <w:r w:rsidR="008A60D8">
        <w:rPr>
          <w:rFonts w:ascii="Times New Roman" w:hAnsi="Times New Roman"/>
        </w:rPr>
        <w:t xml:space="preserve">We used diagnoses at the time of care that was recorded in the medical record by the patient’s medical team to categorize and characterize study subjects.  Patients were only included if they were induced, not if they presented with labor or premature rupture of membranes.  </w:t>
      </w:r>
      <w:r w:rsidR="002D2796">
        <w:rPr>
          <w:rFonts w:ascii="Times New Roman" w:hAnsi="Times New Roman"/>
        </w:rPr>
        <w:t>Other ex</w:t>
      </w:r>
      <w:r w:rsidR="00E9643C">
        <w:rPr>
          <w:rFonts w:ascii="Times New Roman" w:hAnsi="Times New Roman"/>
        </w:rPr>
        <w:t xml:space="preserve">clusion criteria included </w:t>
      </w:r>
      <w:r w:rsidR="002D2796">
        <w:rPr>
          <w:rFonts w:ascii="Times New Roman" w:hAnsi="Times New Roman"/>
        </w:rPr>
        <w:t xml:space="preserve">indications for cesarean delivery such as breech, prior cesarean delivery and other maternal </w:t>
      </w:r>
      <w:r w:rsidR="00BA4128">
        <w:rPr>
          <w:rFonts w:ascii="Times New Roman" w:hAnsi="Times New Roman"/>
        </w:rPr>
        <w:t xml:space="preserve">obstetrical or medical </w:t>
      </w:r>
      <w:r w:rsidR="002D2796">
        <w:rPr>
          <w:rFonts w:ascii="Times New Roman" w:hAnsi="Times New Roman"/>
        </w:rPr>
        <w:t>co-morbidities that were felt to contraindicate labor.</w:t>
      </w:r>
    </w:p>
    <w:p w:rsidR="00803119" w:rsidRDefault="008A60D8" w:rsidP="00401213">
      <w:pPr>
        <w:spacing w:line="480" w:lineRule="auto"/>
        <w:ind w:firstLine="720"/>
        <w:rPr>
          <w:rFonts w:ascii="Times New Roman" w:hAnsi="Times New Roman"/>
        </w:rPr>
      </w:pPr>
      <w:r>
        <w:rPr>
          <w:rFonts w:ascii="Times New Roman" w:hAnsi="Times New Roman"/>
        </w:rPr>
        <w:t>Inductions were per single institution protocol, which included cervical rip</w:t>
      </w:r>
      <w:r w:rsidR="00D606ED">
        <w:rPr>
          <w:rFonts w:ascii="Times New Roman" w:hAnsi="Times New Roman"/>
        </w:rPr>
        <w:t>ening with prostaglandins or a F</w:t>
      </w:r>
      <w:r>
        <w:rPr>
          <w:rFonts w:ascii="Times New Roman" w:hAnsi="Times New Roman"/>
        </w:rPr>
        <w:t xml:space="preserve">oley bulb until </w:t>
      </w:r>
      <w:r w:rsidR="005945C2">
        <w:rPr>
          <w:rFonts w:ascii="Times New Roman" w:hAnsi="Times New Roman"/>
        </w:rPr>
        <w:t>the patient</w:t>
      </w:r>
      <w:r w:rsidR="002D2796">
        <w:rPr>
          <w:rFonts w:ascii="Times New Roman" w:hAnsi="Times New Roman"/>
        </w:rPr>
        <w:t xml:space="preserve"> had a favorable cervix, followed by pitocin administration when indicated.  The decision to stop induction and perform cesarean </w:t>
      </w:r>
      <w:r w:rsidR="005945C2">
        <w:rPr>
          <w:rFonts w:ascii="Times New Roman" w:hAnsi="Times New Roman"/>
        </w:rPr>
        <w:t xml:space="preserve">delivery for either maternal or </w:t>
      </w:r>
      <w:r w:rsidR="002D2796">
        <w:rPr>
          <w:rFonts w:ascii="Times New Roman" w:hAnsi="Times New Roman"/>
        </w:rPr>
        <w:t xml:space="preserve">fetal indications was at the discretion of the managing </w:t>
      </w:r>
      <w:r w:rsidR="00D606ED">
        <w:rPr>
          <w:rFonts w:ascii="Times New Roman" w:hAnsi="Times New Roman"/>
        </w:rPr>
        <w:t>team of providers</w:t>
      </w:r>
      <w:r w:rsidR="002D2796">
        <w:rPr>
          <w:rFonts w:ascii="Times New Roman" w:hAnsi="Times New Roman"/>
        </w:rPr>
        <w:t>.</w:t>
      </w:r>
    </w:p>
    <w:p w:rsidR="004E5977" w:rsidRDefault="00803119" w:rsidP="00401213">
      <w:pPr>
        <w:spacing w:line="480" w:lineRule="auto"/>
        <w:ind w:firstLine="720"/>
        <w:rPr>
          <w:rFonts w:ascii="Times New Roman" w:hAnsi="Times New Roman"/>
        </w:rPr>
      </w:pPr>
      <w:r>
        <w:rPr>
          <w:rFonts w:ascii="Times New Roman" w:hAnsi="Times New Roman"/>
        </w:rPr>
        <w:t xml:space="preserve">Our primary outcome was </w:t>
      </w:r>
      <w:r w:rsidR="002D550E">
        <w:rPr>
          <w:rFonts w:ascii="Times New Roman" w:hAnsi="Times New Roman"/>
        </w:rPr>
        <w:t xml:space="preserve">a </w:t>
      </w:r>
      <w:r>
        <w:rPr>
          <w:rFonts w:ascii="Times New Roman" w:hAnsi="Times New Roman"/>
        </w:rPr>
        <w:t xml:space="preserve">failed induction which was defined as a cesarean section after attempted induction. </w:t>
      </w:r>
      <w:r w:rsidR="002D2796">
        <w:rPr>
          <w:rFonts w:ascii="Times New Roman" w:hAnsi="Times New Roman"/>
        </w:rPr>
        <w:t xml:space="preserve"> </w:t>
      </w:r>
      <w:r w:rsidR="00B0072A">
        <w:rPr>
          <w:rFonts w:ascii="Times New Roman" w:hAnsi="Times New Roman"/>
        </w:rPr>
        <w:t>Given the complex interplay between</w:t>
      </w:r>
      <w:r w:rsidR="00BA4128">
        <w:rPr>
          <w:rFonts w:ascii="Times New Roman" w:hAnsi="Times New Roman"/>
        </w:rPr>
        <w:t xml:space="preserve"> labor progression, fetal status assessment</w:t>
      </w:r>
      <w:r w:rsidR="00B0072A">
        <w:rPr>
          <w:rFonts w:ascii="Times New Roman" w:hAnsi="Times New Roman"/>
        </w:rPr>
        <w:t xml:space="preserve"> and </w:t>
      </w:r>
      <w:r w:rsidR="00BA4128">
        <w:rPr>
          <w:rFonts w:ascii="Times New Roman" w:hAnsi="Times New Roman"/>
        </w:rPr>
        <w:t xml:space="preserve">the </w:t>
      </w:r>
      <w:r w:rsidR="00B0072A">
        <w:rPr>
          <w:rFonts w:ascii="Times New Roman" w:hAnsi="Times New Roman"/>
        </w:rPr>
        <w:t xml:space="preserve">decision to abandon attempted induction we </w:t>
      </w:r>
      <w:r w:rsidR="00BA4128">
        <w:rPr>
          <w:rFonts w:ascii="Times New Roman" w:hAnsi="Times New Roman"/>
        </w:rPr>
        <w:t>considered</w:t>
      </w:r>
      <w:r w:rsidR="00B0072A">
        <w:rPr>
          <w:rFonts w:ascii="Times New Roman" w:hAnsi="Times New Roman"/>
        </w:rPr>
        <w:t xml:space="preserve"> any cesarean after attempted induction as a failed induction.  </w:t>
      </w:r>
      <w:r w:rsidR="002D2796">
        <w:rPr>
          <w:rFonts w:ascii="Times New Roman" w:hAnsi="Times New Roman"/>
        </w:rPr>
        <w:t>We evaluated multiple</w:t>
      </w:r>
      <w:r>
        <w:rPr>
          <w:rFonts w:ascii="Times New Roman" w:hAnsi="Times New Roman"/>
        </w:rPr>
        <w:t xml:space="preserve"> maternal, </w:t>
      </w:r>
      <w:r w:rsidR="009235CD">
        <w:rPr>
          <w:rFonts w:ascii="Times New Roman" w:hAnsi="Times New Roman"/>
        </w:rPr>
        <w:t xml:space="preserve">fetal, and pre-eclampsia </w:t>
      </w:r>
      <w:r>
        <w:rPr>
          <w:rFonts w:ascii="Times New Roman" w:hAnsi="Times New Roman"/>
        </w:rPr>
        <w:t>characteristics that had biological plausibility at influencing the succe</w:t>
      </w:r>
      <w:r w:rsidR="002D550E">
        <w:rPr>
          <w:rFonts w:ascii="Times New Roman" w:hAnsi="Times New Roman"/>
        </w:rPr>
        <w:t>ss of induction including: primiparity</w:t>
      </w:r>
      <w:r>
        <w:rPr>
          <w:rFonts w:ascii="Times New Roman" w:hAnsi="Times New Roman"/>
        </w:rPr>
        <w:t>, maternal obesity</w:t>
      </w:r>
      <w:r w:rsidR="00F44C84">
        <w:rPr>
          <w:rFonts w:ascii="Times New Roman" w:hAnsi="Times New Roman"/>
        </w:rPr>
        <w:t xml:space="preserve"> (defined </w:t>
      </w:r>
      <w:r w:rsidR="00F44C84">
        <w:rPr>
          <w:rFonts w:ascii="Times New Roman" w:hAnsi="Times New Roman"/>
        </w:rPr>
        <w:lastRenderedPageBreak/>
        <w:t xml:space="preserve">as </w:t>
      </w:r>
      <w:r w:rsidR="00D606ED">
        <w:rPr>
          <w:rFonts w:ascii="Times New Roman" w:hAnsi="Times New Roman"/>
        </w:rPr>
        <w:t xml:space="preserve">pre-pregnancy </w:t>
      </w:r>
      <w:r w:rsidR="00F44C84">
        <w:rPr>
          <w:rFonts w:ascii="Times New Roman" w:hAnsi="Times New Roman"/>
        </w:rPr>
        <w:t>body mass index</w:t>
      </w:r>
      <w:r w:rsidR="009235CD">
        <w:rPr>
          <w:rFonts w:ascii="Times New Roman" w:hAnsi="Times New Roman"/>
        </w:rPr>
        <w:t>, BMI,</w:t>
      </w:r>
      <w:r w:rsidR="00F44C84">
        <w:rPr>
          <w:rFonts w:ascii="Times New Roman" w:hAnsi="Times New Roman"/>
        </w:rPr>
        <w:t xml:space="preserve"> over 30)</w:t>
      </w:r>
      <w:r>
        <w:rPr>
          <w:rFonts w:ascii="Times New Roman" w:hAnsi="Times New Roman"/>
        </w:rPr>
        <w:t>, excessive weight gain</w:t>
      </w:r>
      <w:r w:rsidR="00DE28DC">
        <w:rPr>
          <w:rFonts w:ascii="Times New Roman" w:hAnsi="Times New Roman"/>
        </w:rPr>
        <w:t xml:space="preserve"> as outlined by the Institute of Medicine</w:t>
      </w:r>
      <w:r w:rsidR="006A758A">
        <w:rPr>
          <w:rFonts w:ascii="Times New Roman" w:hAnsi="Times New Roman"/>
          <w:vertAlign w:val="superscript"/>
        </w:rPr>
        <w:t>1</w:t>
      </w:r>
      <w:r w:rsidR="007428A8">
        <w:rPr>
          <w:rFonts w:ascii="Times New Roman" w:hAnsi="Times New Roman"/>
          <w:vertAlign w:val="superscript"/>
        </w:rPr>
        <w:t>0</w:t>
      </w:r>
      <w:r>
        <w:rPr>
          <w:rFonts w:ascii="Times New Roman" w:hAnsi="Times New Roman"/>
        </w:rPr>
        <w:t>, prematurity, cervical characterizat</w:t>
      </w:r>
      <w:r w:rsidR="003A0EF7">
        <w:rPr>
          <w:rFonts w:ascii="Times New Roman" w:hAnsi="Times New Roman"/>
        </w:rPr>
        <w:t>ion by using a calculated Bishops score</w:t>
      </w:r>
      <w:r w:rsidR="003A0EF7">
        <w:rPr>
          <w:rFonts w:ascii="Times New Roman" w:hAnsi="Times New Roman"/>
          <w:vertAlign w:val="superscript"/>
        </w:rPr>
        <w:t>1</w:t>
      </w:r>
      <w:r w:rsidR="006A758A">
        <w:rPr>
          <w:rFonts w:ascii="Times New Roman" w:hAnsi="Times New Roman"/>
          <w:vertAlign w:val="superscript"/>
        </w:rPr>
        <w:t>1</w:t>
      </w:r>
      <w:r>
        <w:rPr>
          <w:rFonts w:ascii="Times New Roman" w:hAnsi="Times New Roman"/>
        </w:rPr>
        <w:t>, severity of disease (mild versus severe pre-eclampsia), major complications of pre-eclampsia (including pulmonary edema, eclampsia, acute renal insufficiency, HELLP syndrome, neurological symptoms)</w:t>
      </w:r>
      <w:r w:rsidR="002D550E">
        <w:rPr>
          <w:rFonts w:ascii="Times New Roman" w:hAnsi="Times New Roman"/>
        </w:rPr>
        <w:t>,</w:t>
      </w:r>
      <w:r w:rsidR="00BA4128">
        <w:rPr>
          <w:rFonts w:ascii="Times New Roman" w:hAnsi="Times New Roman"/>
        </w:rPr>
        <w:t xml:space="preserve"> need for intravenous</w:t>
      </w:r>
      <w:r w:rsidR="00D606ED">
        <w:rPr>
          <w:rFonts w:ascii="Times New Roman" w:hAnsi="Times New Roman"/>
        </w:rPr>
        <w:t xml:space="preserve"> anti-hypertensive medication</w:t>
      </w:r>
      <w:r>
        <w:rPr>
          <w:rFonts w:ascii="Times New Roman" w:hAnsi="Times New Roman"/>
        </w:rPr>
        <w:t xml:space="preserve">, fetal growth restriction, oligohydramnios (defined as an amniotic fluid index less than 6 cm), </w:t>
      </w:r>
      <w:r w:rsidR="007B2EF2">
        <w:rPr>
          <w:rFonts w:ascii="Times New Roman" w:hAnsi="Times New Roman"/>
        </w:rPr>
        <w:t xml:space="preserve">and </w:t>
      </w:r>
      <w:r>
        <w:rPr>
          <w:rFonts w:ascii="Times New Roman" w:hAnsi="Times New Roman"/>
        </w:rPr>
        <w:t>abnormal umbilical artery D</w:t>
      </w:r>
      <w:r w:rsidR="007B2EF2">
        <w:rPr>
          <w:rFonts w:ascii="Times New Roman" w:hAnsi="Times New Roman"/>
        </w:rPr>
        <w:t>oppler</w:t>
      </w:r>
      <w:r>
        <w:rPr>
          <w:rFonts w:ascii="Times New Roman" w:hAnsi="Times New Roman"/>
        </w:rPr>
        <w:t xml:space="preserve">. </w:t>
      </w:r>
      <w:r w:rsidR="004E5977">
        <w:rPr>
          <w:rFonts w:ascii="Times New Roman" w:hAnsi="Times New Roman"/>
        </w:rPr>
        <w:t xml:space="preserve"> </w:t>
      </w:r>
      <w:r w:rsidR="007B2EF2">
        <w:rPr>
          <w:rFonts w:ascii="Times New Roman" w:hAnsi="Times New Roman"/>
        </w:rPr>
        <w:t>Retrospective power analysis was performed to determine our power to make a negative conclusion.</w:t>
      </w:r>
    </w:p>
    <w:p w:rsidR="00803119" w:rsidRDefault="004E5977" w:rsidP="00401213">
      <w:pPr>
        <w:spacing w:line="480" w:lineRule="auto"/>
        <w:ind w:firstLine="720"/>
        <w:rPr>
          <w:rFonts w:ascii="Times New Roman" w:hAnsi="Times New Roman"/>
        </w:rPr>
      </w:pPr>
      <w:r>
        <w:rPr>
          <w:rFonts w:ascii="Times New Roman" w:hAnsi="Times New Roman"/>
        </w:rPr>
        <w:t>The study data was collected and managed by REDCap (Research Electronic Data Capture) electronic data capture tools hosted at the University of Cincinnati</w:t>
      </w:r>
      <w:r w:rsidR="00DE28DC">
        <w:rPr>
          <w:rFonts w:ascii="Times New Roman" w:hAnsi="Times New Roman"/>
        </w:rPr>
        <w:t>.</w:t>
      </w:r>
      <w:r w:rsidR="00DE28DC">
        <w:rPr>
          <w:rFonts w:ascii="Times New Roman" w:hAnsi="Times New Roman"/>
          <w:vertAlign w:val="superscript"/>
        </w:rPr>
        <w:t>1</w:t>
      </w:r>
      <w:r w:rsidR="006A758A">
        <w:rPr>
          <w:rFonts w:ascii="Times New Roman" w:hAnsi="Times New Roman"/>
          <w:vertAlign w:val="superscript"/>
        </w:rPr>
        <w:t>2</w:t>
      </w:r>
      <w:r>
        <w:rPr>
          <w:rFonts w:ascii="Times New Roman" w:hAnsi="Times New Roman"/>
        </w:rPr>
        <w:t xml:space="preserve"> Cate</w:t>
      </w:r>
      <w:r w:rsidR="00FC04FF">
        <w:rPr>
          <w:rFonts w:ascii="Times New Roman" w:hAnsi="Times New Roman"/>
        </w:rPr>
        <w:t>gorical factors were evaluated using</w:t>
      </w:r>
      <w:r>
        <w:rPr>
          <w:rFonts w:ascii="Times New Roman" w:hAnsi="Times New Roman"/>
        </w:rPr>
        <w:t xml:space="preserve"> Chi- Square analysis.  Continuous variables were analy</w:t>
      </w:r>
      <w:r w:rsidR="00FC04FF">
        <w:rPr>
          <w:rFonts w:ascii="Times New Roman" w:hAnsi="Times New Roman"/>
        </w:rPr>
        <w:t>zed using equal variance T test</w:t>
      </w:r>
      <w:r w:rsidR="006B4C33">
        <w:rPr>
          <w:rFonts w:ascii="Times New Roman" w:hAnsi="Times New Roman"/>
        </w:rPr>
        <w:t xml:space="preserve"> and presented as mean </w:t>
      </w:r>
      <w:r w:rsidR="006B4C33">
        <w:rPr>
          <w:rFonts w:ascii="Times New Roman" w:hAnsi="Times New Roman" w:cs="Times New Roman"/>
        </w:rPr>
        <w:t>±</w:t>
      </w:r>
      <w:r w:rsidR="006B4C33">
        <w:rPr>
          <w:rFonts w:ascii="Times New Roman" w:hAnsi="Times New Roman"/>
        </w:rPr>
        <w:t xml:space="preserve"> SD</w:t>
      </w:r>
      <w:r>
        <w:rPr>
          <w:rFonts w:ascii="Times New Roman" w:hAnsi="Times New Roman"/>
        </w:rPr>
        <w:t xml:space="preserve"> if the data was normally distribu</w:t>
      </w:r>
      <w:r w:rsidR="002D550E">
        <w:rPr>
          <w:rFonts w:ascii="Times New Roman" w:hAnsi="Times New Roman"/>
        </w:rPr>
        <w:t>t</w:t>
      </w:r>
      <w:r w:rsidR="006B4C33">
        <w:rPr>
          <w:rFonts w:ascii="Times New Roman" w:hAnsi="Times New Roman"/>
        </w:rPr>
        <w:t>ed or</w:t>
      </w:r>
      <w:r w:rsidR="00FC04FF">
        <w:rPr>
          <w:rFonts w:ascii="Times New Roman" w:hAnsi="Times New Roman"/>
        </w:rPr>
        <w:t xml:space="preserve"> Wilcoxin-</w:t>
      </w:r>
      <w:r>
        <w:rPr>
          <w:rFonts w:ascii="Times New Roman" w:hAnsi="Times New Roman"/>
        </w:rPr>
        <w:t>Rank sum analysis if non-normally distributed</w:t>
      </w:r>
      <w:r w:rsidR="006B4C33">
        <w:rPr>
          <w:rFonts w:ascii="Times New Roman" w:hAnsi="Times New Roman"/>
        </w:rPr>
        <w:t xml:space="preserve"> or ordinal and presented as median (95% CI)</w:t>
      </w:r>
      <w:r>
        <w:rPr>
          <w:rFonts w:ascii="Times New Roman" w:hAnsi="Times New Roman"/>
        </w:rPr>
        <w:t xml:space="preserve">.   A p value of 0.05 was considered statistically </w:t>
      </w:r>
      <w:r w:rsidR="002D550E">
        <w:rPr>
          <w:rFonts w:ascii="Times New Roman" w:hAnsi="Times New Roman"/>
        </w:rPr>
        <w:t>significant</w:t>
      </w:r>
      <w:r>
        <w:rPr>
          <w:rFonts w:ascii="Times New Roman" w:hAnsi="Times New Roman"/>
        </w:rPr>
        <w:t>.  Logistic regression analysis was performed and crude odds ratio</w:t>
      </w:r>
      <w:r w:rsidR="00C1236F">
        <w:rPr>
          <w:rFonts w:ascii="Times New Roman" w:hAnsi="Times New Roman"/>
        </w:rPr>
        <w:t>s</w:t>
      </w:r>
      <w:r>
        <w:rPr>
          <w:rFonts w:ascii="Times New Roman" w:hAnsi="Times New Roman"/>
        </w:rPr>
        <w:t xml:space="preserve"> (OR)</w:t>
      </w:r>
      <w:r w:rsidR="00C1236F">
        <w:rPr>
          <w:rFonts w:ascii="Times New Roman" w:hAnsi="Times New Roman"/>
        </w:rPr>
        <w:t xml:space="preserve"> were</w:t>
      </w:r>
      <w:r>
        <w:rPr>
          <w:rFonts w:ascii="Times New Roman" w:hAnsi="Times New Roman"/>
        </w:rPr>
        <w:t xml:space="preserve"> calculated for each exposure variable being considered.  </w:t>
      </w:r>
      <w:r w:rsidR="00FC04FF">
        <w:rPr>
          <w:rFonts w:ascii="Times New Roman" w:hAnsi="Times New Roman"/>
        </w:rPr>
        <w:t>Considering those results, a logistic regression model was created using</w:t>
      </w:r>
      <w:r>
        <w:rPr>
          <w:rFonts w:ascii="Times New Roman" w:hAnsi="Times New Roman"/>
        </w:rPr>
        <w:t xml:space="preserve"> variables </w:t>
      </w:r>
      <w:r w:rsidR="002D550E">
        <w:rPr>
          <w:rFonts w:ascii="Times New Roman" w:hAnsi="Times New Roman"/>
        </w:rPr>
        <w:t xml:space="preserve">that </w:t>
      </w:r>
      <w:r>
        <w:rPr>
          <w:rFonts w:ascii="Times New Roman" w:hAnsi="Times New Roman"/>
        </w:rPr>
        <w:t>wer</w:t>
      </w:r>
      <w:r w:rsidR="00FC04FF">
        <w:rPr>
          <w:rFonts w:ascii="Times New Roman" w:hAnsi="Times New Roman"/>
        </w:rPr>
        <w:t xml:space="preserve">e found to have significance and/or those with </w:t>
      </w:r>
      <w:r>
        <w:rPr>
          <w:rFonts w:ascii="Times New Roman" w:hAnsi="Times New Roman"/>
        </w:rPr>
        <w:t>st</w:t>
      </w:r>
      <w:r w:rsidR="002D550E">
        <w:rPr>
          <w:rFonts w:ascii="Times New Roman" w:hAnsi="Times New Roman"/>
        </w:rPr>
        <w:t xml:space="preserve">rong biological plausibility </w:t>
      </w:r>
      <w:r w:rsidR="00F24C55">
        <w:rPr>
          <w:rFonts w:ascii="Times New Roman" w:hAnsi="Times New Roman"/>
        </w:rPr>
        <w:t xml:space="preserve">which included:  </w:t>
      </w:r>
      <w:r w:rsidR="002D550E">
        <w:rPr>
          <w:rFonts w:ascii="Times New Roman" w:hAnsi="Times New Roman"/>
        </w:rPr>
        <w:t xml:space="preserve">primiparity, </w:t>
      </w:r>
      <w:r>
        <w:rPr>
          <w:rFonts w:ascii="Times New Roman" w:hAnsi="Times New Roman"/>
        </w:rPr>
        <w:t>obesity, excessive weight gain, delivery at less than 34 weeks, presence of severe disease, presence of a major complication, unfavorable cervix, fetal growth restriction, and oligohydramnios.  Data are presented as adjusted OR with 95% confidence intervals.</w:t>
      </w:r>
      <w:r w:rsidR="00F24C55" w:rsidRPr="00F24C55">
        <w:t xml:space="preserve"> </w:t>
      </w:r>
      <w:r w:rsidR="00F24C55" w:rsidRPr="00C1236F">
        <w:rPr>
          <w:rFonts w:ascii="Times" w:hAnsi="Times"/>
        </w:rPr>
        <w:t xml:space="preserve">All </w:t>
      </w:r>
      <w:r w:rsidR="00F24C55" w:rsidRPr="00C1236F">
        <w:rPr>
          <w:rFonts w:ascii="Times" w:hAnsi="Times"/>
        </w:rPr>
        <w:lastRenderedPageBreak/>
        <w:t>data analysis was performed using NCSS 8 statistical software (Release 8. NCSS LLC, Kaysville, Utah).</w:t>
      </w:r>
    </w:p>
    <w:p w:rsidR="008E747C" w:rsidRDefault="008E747C">
      <w:pPr>
        <w:rPr>
          <w:rFonts w:ascii="Times New Roman" w:hAnsi="Times New Roman"/>
        </w:rPr>
      </w:pPr>
    </w:p>
    <w:p w:rsidR="0011214D" w:rsidRPr="008E747C" w:rsidRDefault="0011214D">
      <w:pPr>
        <w:rPr>
          <w:rFonts w:ascii="Times New Roman" w:hAnsi="Times New Roman"/>
          <w:b/>
        </w:rPr>
      </w:pPr>
      <w:r w:rsidRPr="008E747C">
        <w:rPr>
          <w:rFonts w:ascii="Times New Roman" w:hAnsi="Times New Roman"/>
          <w:b/>
        </w:rPr>
        <w:t>Results:</w:t>
      </w:r>
    </w:p>
    <w:p w:rsidR="0011214D" w:rsidRDefault="0011214D">
      <w:pPr>
        <w:rPr>
          <w:rFonts w:ascii="Times New Roman" w:hAnsi="Times New Roman"/>
        </w:rPr>
      </w:pPr>
    </w:p>
    <w:p w:rsidR="0032029C" w:rsidRDefault="0032029C">
      <w:pPr>
        <w:rPr>
          <w:rFonts w:ascii="Times New Roman" w:hAnsi="Times New Roman"/>
        </w:rPr>
        <w:sectPr w:rsidR="0032029C" w:rsidSect="00FC3B34">
          <w:pgSz w:w="12240" w:h="15840"/>
          <w:pgMar w:top="1440" w:right="1800" w:bottom="1440" w:left="1800" w:header="720" w:footer="720" w:gutter="0"/>
          <w:cols w:space="720"/>
        </w:sectPr>
      </w:pPr>
    </w:p>
    <w:p w:rsidR="000C5ADF" w:rsidRPr="00F44C84" w:rsidRDefault="0011214D" w:rsidP="00401213">
      <w:pPr>
        <w:spacing w:line="480" w:lineRule="auto"/>
        <w:ind w:firstLine="720"/>
        <w:rPr>
          <w:rFonts w:ascii="Times New Roman" w:hAnsi="Times New Roman"/>
        </w:rPr>
      </w:pPr>
      <w:r>
        <w:rPr>
          <w:rFonts w:ascii="Times New Roman" w:hAnsi="Times New Roman"/>
        </w:rPr>
        <w:lastRenderedPageBreak/>
        <w:t xml:space="preserve">A total of </w:t>
      </w:r>
      <w:r w:rsidR="007428A8">
        <w:rPr>
          <w:rFonts w:ascii="Times New Roman" w:hAnsi="Times New Roman"/>
        </w:rPr>
        <w:t>7117</w:t>
      </w:r>
      <w:r>
        <w:rPr>
          <w:rFonts w:ascii="Times New Roman" w:hAnsi="Times New Roman"/>
        </w:rPr>
        <w:t xml:space="preserve"> women </w:t>
      </w:r>
      <w:r w:rsidR="00423082">
        <w:rPr>
          <w:rFonts w:ascii="Times New Roman" w:hAnsi="Times New Roman"/>
        </w:rPr>
        <w:t>delivered</w:t>
      </w:r>
      <w:r>
        <w:rPr>
          <w:rFonts w:ascii="Times New Roman" w:hAnsi="Times New Roman"/>
        </w:rPr>
        <w:t xml:space="preserve"> throughout the study period.  </w:t>
      </w:r>
      <w:r w:rsidR="00F24C55">
        <w:rPr>
          <w:rFonts w:ascii="Times New Roman" w:hAnsi="Times New Roman"/>
        </w:rPr>
        <w:t>A</w:t>
      </w:r>
      <w:r w:rsidR="00423082">
        <w:rPr>
          <w:rFonts w:ascii="Times New Roman" w:hAnsi="Times New Roman"/>
        </w:rPr>
        <w:t xml:space="preserve"> total of </w:t>
      </w:r>
      <w:r w:rsidR="007428A8">
        <w:rPr>
          <w:rFonts w:ascii="Times New Roman" w:hAnsi="Times New Roman"/>
        </w:rPr>
        <w:t>801</w:t>
      </w:r>
      <w:r w:rsidR="00423082">
        <w:rPr>
          <w:rFonts w:ascii="Times New Roman" w:hAnsi="Times New Roman"/>
        </w:rPr>
        <w:t xml:space="preserve"> patie</w:t>
      </w:r>
      <w:r w:rsidR="0075460E">
        <w:rPr>
          <w:rFonts w:ascii="Times New Roman" w:hAnsi="Times New Roman"/>
        </w:rPr>
        <w:t xml:space="preserve">nts </w:t>
      </w:r>
      <w:r w:rsidR="00F24C55">
        <w:rPr>
          <w:rFonts w:ascii="Times New Roman" w:hAnsi="Times New Roman"/>
        </w:rPr>
        <w:t>were diagnosed with</w:t>
      </w:r>
      <w:r w:rsidR="002D550E">
        <w:rPr>
          <w:rFonts w:ascii="Times New Roman" w:hAnsi="Times New Roman"/>
        </w:rPr>
        <w:t xml:space="preserve"> </w:t>
      </w:r>
      <w:r w:rsidR="0075460E">
        <w:rPr>
          <w:rFonts w:ascii="Times New Roman" w:hAnsi="Times New Roman"/>
        </w:rPr>
        <w:t>pre</w:t>
      </w:r>
      <w:r w:rsidR="002D550E">
        <w:rPr>
          <w:rFonts w:ascii="Times New Roman" w:hAnsi="Times New Roman"/>
        </w:rPr>
        <w:t>-</w:t>
      </w:r>
      <w:r w:rsidR="0075460E">
        <w:rPr>
          <w:rFonts w:ascii="Times New Roman" w:hAnsi="Times New Roman"/>
        </w:rPr>
        <w:t>eclampsia.  Among tho</w:t>
      </w:r>
      <w:r w:rsidR="00893849">
        <w:rPr>
          <w:rFonts w:ascii="Times New Roman" w:hAnsi="Times New Roman"/>
        </w:rPr>
        <w:t>se patients</w:t>
      </w:r>
      <w:r w:rsidR="00423082">
        <w:rPr>
          <w:rFonts w:ascii="Times New Roman" w:hAnsi="Times New Roman"/>
        </w:rPr>
        <w:t xml:space="preserve">, </w:t>
      </w:r>
      <w:r w:rsidR="007428A8">
        <w:rPr>
          <w:rFonts w:ascii="Times New Roman" w:hAnsi="Times New Roman"/>
        </w:rPr>
        <w:t xml:space="preserve">467 (58 </w:t>
      </w:r>
      <w:r w:rsidR="00423082">
        <w:rPr>
          <w:rFonts w:ascii="Times New Roman" w:hAnsi="Times New Roman"/>
        </w:rPr>
        <w:t xml:space="preserve">%) were induced </w:t>
      </w:r>
      <w:r w:rsidR="0012705E">
        <w:rPr>
          <w:rFonts w:ascii="Times New Roman" w:hAnsi="Times New Roman"/>
        </w:rPr>
        <w:t xml:space="preserve">and </w:t>
      </w:r>
      <w:r w:rsidR="007428A8">
        <w:rPr>
          <w:rFonts w:ascii="Times New Roman" w:hAnsi="Times New Roman"/>
        </w:rPr>
        <w:t>334</w:t>
      </w:r>
      <w:r w:rsidR="0012705E">
        <w:rPr>
          <w:rFonts w:ascii="Times New Roman" w:hAnsi="Times New Roman"/>
        </w:rPr>
        <w:t xml:space="preserve"> (</w:t>
      </w:r>
      <w:r w:rsidR="007428A8">
        <w:rPr>
          <w:rFonts w:ascii="Times New Roman" w:hAnsi="Times New Roman"/>
        </w:rPr>
        <w:t xml:space="preserve">42 </w:t>
      </w:r>
      <w:r w:rsidR="0012705E">
        <w:rPr>
          <w:rFonts w:ascii="Times New Roman" w:hAnsi="Times New Roman"/>
        </w:rPr>
        <w:t>%) were not induced (Figure 1)</w:t>
      </w:r>
      <w:r w:rsidR="00194B96">
        <w:rPr>
          <w:rFonts w:ascii="Times New Roman" w:hAnsi="Times New Roman"/>
        </w:rPr>
        <w:t>.</w:t>
      </w:r>
      <w:r w:rsidR="00F24C55">
        <w:rPr>
          <w:rFonts w:ascii="Times New Roman" w:hAnsi="Times New Roman"/>
        </w:rPr>
        <w:t xml:space="preserve">  </w:t>
      </w:r>
      <w:r w:rsidR="00893849">
        <w:rPr>
          <w:rFonts w:ascii="Times New Roman" w:hAnsi="Times New Roman"/>
        </w:rPr>
        <w:t xml:space="preserve"> </w:t>
      </w:r>
      <w:r w:rsidR="00F24C55">
        <w:rPr>
          <w:rFonts w:ascii="Times New Roman" w:hAnsi="Times New Roman"/>
        </w:rPr>
        <w:t>Of the</w:t>
      </w:r>
      <w:r w:rsidR="007428A8">
        <w:rPr>
          <w:rFonts w:ascii="Times New Roman" w:hAnsi="Times New Roman"/>
        </w:rPr>
        <w:t xml:space="preserve"> 334 </w:t>
      </w:r>
      <w:r w:rsidR="00F24C55">
        <w:rPr>
          <w:rFonts w:ascii="Times New Roman" w:hAnsi="Times New Roman"/>
        </w:rPr>
        <w:t xml:space="preserve">patients that were not induced, the most common indication was labor or </w:t>
      </w:r>
      <w:r w:rsidR="007428A8">
        <w:rPr>
          <w:rFonts w:ascii="Times New Roman" w:hAnsi="Times New Roman"/>
        </w:rPr>
        <w:t>premature rupture of membranes, n=84 (25</w:t>
      </w:r>
      <w:r w:rsidR="00F24C55">
        <w:rPr>
          <w:rFonts w:ascii="Times New Roman" w:hAnsi="Times New Roman"/>
        </w:rPr>
        <w:t>%) follo</w:t>
      </w:r>
      <w:r w:rsidR="007428A8">
        <w:rPr>
          <w:rFonts w:ascii="Times New Roman" w:hAnsi="Times New Roman"/>
        </w:rPr>
        <w:t>wed by repeat cesarean section, n=94 (28</w:t>
      </w:r>
      <w:r w:rsidR="00F24C55">
        <w:rPr>
          <w:rFonts w:ascii="Times New Roman" w:hAnsi="Times New Roman"/>
        </w:rPr>
        <w:t>%)</w:t>
      </w:r>
      <w:r w:rsidR="007428A8">
        <w:rPr>
          <w:rFonts w:ascii="Times New Roman" w:hAnsi="Times New Roman"/>
        </w:rPr>
        <w:t xml:space="preserve"> and breech fetal presentation, n=19 (6%)</w:t>
      </w:r>
      <w:r w:rsidR="00F24C55">
        <w:rPr>
          <w:rFonts w:ascii="Times New Roman" w:hAnsi="Times New Roman"/>
        </w:rPr>
        <w:t>.  Pre-eclampsia was the sole indicati</w:t>
      </w:r>
      <w:r w:rsidR="00F44C84">
        <w:rPr>
          <w:rFonts w:ascii="Times New Roman" w:hAnsi="Times New Roman"/>
        </w:rPr>
        <w:t>on documented for not being induced in</w:t>
      </w:r>
      <w:r w:rsidR="00F24C55">
        <w:rPr>
          <w:rFonts w:ascii="Times New Roman" w:hAnsi="Times New Roman"/>
        </w:rPr>
        <w:t xml:space="preserve"> </w:t>
      </w:r>
      <w:r w:rsidR="007428A8">
        <w:rPr>
          <w:rFonts w:ascii="Times New Roman" w:hAnsi="Times New Roman"/>
        </w:rPr>
        <w:t>31 (</w:t>
      </w:r>
      <w:r w:rsidR="00F24C55">
        <w:rPr>
          <w:rFonts w:ascii="Times New Roman" w:hAnsi="Times New Roman"/>
        </w:rPr>
        <w:t>6%</w:t>
      </w:r>
      <w:r w:rsidR="007428A8">
        <w:rPr>
          <w:rFonts w:ascii="Times New Roman" w:hAnsi="Times New Roman"/>
        </w:rPr>
        <w:t>)</w:t>
      </w:r>
      <w:r w:rsidR="00F24C55">
        <w:rPr>
          <w:rFonts w:ascii="Times New Roman" w:hAnsi="Times New Roman"/>
        </w:rPr>
        <w:t xml:space="preserve"> of patients.  </w:t>
      </w:r>
      <w:r w:rsidR="00436E21">
        <w:rPr>
          <w:rFonts w:ascii="Times New Roman" w:hAnsi="Times New Roman"/>
        </w:rPr>
        <w:t>Demographics of all patients with pre</w:t>
      </w:r>
      <w:r w:rsidR="002D550E">
        <w:rPr>
          <w:rFonts w:ascii="Times New Roman" w:hAnsi="Times New Roman"/>
        </w:rPr>
        <w:t>-</w:t>
      </w:r>
      <w:r w:rsidR="00436E21">
        <w:rPr>
          <w:rFonts w:ascii="Times New Roman" w:hAnsi="Times New Roman"/>
        </w:rPr>
        <w:t>eclamps</w:t>
      </w:r>
      <w:r w:rsidR="000D2B38">
        <w:rPr>
          <w:rFonts w:ascii="Times New Roman" w:hAnsi="Times New Roman"/>
        </w:rPr>
        <w:t>ia (n=</w:t>
      </w:r>
      <w:r w:rsidR="007428A8">
        <w:rPr>
          <w:rFonts w:ascii="Times New Roman" w:hAnsi="Times New Roman"/>
        </w:rPr>
        <w:t>801</w:t>
      </w:r>
      <w:r w:rsidR="000D2B38">
        <w:rPr>
          <w:rFonts w:ascii="Times New Roman" w:hAnsi="Times New Roman"/>
        </w:rPr>
        <w:t xml:space="preserve">) are </w:t>
      </w:r>
      <w:r w:rsidR="00F44C84">
        <w:rPr>
          <w:rFonts w:ascii="Times New Roman" w:hAnsi="Times New Roman"/>
        </w:rPr>
        <w:t>outlined</w:t>
      </w:r>
      <w:r w:rsidR="000D2B38">
        <w:rPr>
          <w:rFonts w:ascii="Times New Roman" w:hAnsi="Times New Roman"/>
        </w:rPr>
        <w:t xml:space="preserve"> in T</w:t>
      </w:r>
      <w:r w:rsidR="00436E21">
        <w:rPr>
          <w:rFonts w:ascii="Times New Roman" w:hAnsi="Times New Roman"/>
        </w:rPr>
        <w:t xml:space="preserve">able 1. </w:t>
      </w:r>
      <w:r w:rsidR="00D644DD">
        <w:rPr>
          <w:rFonts w:ascii="Times New Roman" w:hAnsi="Times New Roman"/>
        </w:rPr>
        <w:t xml:space="preserve"> </w:t>
      </w:r>
      <w:r w:rsidR="00F44C84">
        <w:rPr>
          <w:rFonts w:ascii="Times New Roman" w:hAnsi="Times New Roman"/>
        </w:rPr>
        <w:t xml:space="preserve">With respect to decision to induce, those induced were slightly older statistically, </w:t>
      </w:r>
      <w:r w:rsidR="006F2C17">
        <w:rPr>
          <w:rFonts w:ascii="Times New Roman" w:hAnsi="Times New Roman"/>
        </w:rPr>
        <w:t>and more likely to be black or Hispanic</w:t>
      </w:r>
      <w:r w:rsidR="00D373FC">
        <w:rPr>
          <w:rFonts w:ascii="Times New Roman" w:hAnsi="Times New Roman"/>
        </w:rPr>
        <w:t xml:space="preserve">.  </w:t>
      </w:r>
      <w:r w:rsidR="00F44C84">
        <w:rPr>
          <w:rFonts w:ascii="Times New Roman" w:hAnsi="Times New Roman"/>
        </w:rPr>
        <w:t>Parity tended to be higher in the patients not induced, p</w:t>
      </w:r>
      <w:r w:rsidR="006047B1">
        <w:rPr>
          <w:rFonts w:ascii="Times New Roman" w:hAnsi="Times New Roman"/>
        </w:rPr>
        <w:t>&lt;</w:t>
      </w:r>
      <w:r w:rsidR="006F2C17">
        <w:rPr>
          <w:rFonts w:ascii="Times New Roman" w:hAnsi="Times New Roman"/>
        </w:rPr>
        <w:t>0.001</w:t>
      </w:r>
      <w:r w:rsidR="00F44C84">
        <w:rPr>
          <w:rFonts w:ascii="Times New Roman" w:hAnsi="Times New Roman"/>
        </w:rPr>
        <w:t xml:space="preserve">.  </w:t>
      </w:r>
      <w:r w:rsidR="00D373FC">
        <w:rPr>
          <w:rFonts w:ascii="Times New Roman" w:hAnsi="Times New Roman"/>
        </w:rPr>
        <w:t xml:space="preserve">There </w:t>
      </w:r>
      <w:r w:rsidR="00D644DD">
        <w:rPr>
          <w:rFonts w:ascii="Times New Roman" w:hAnsi="Times New Roman"/>
        </w:rPr>
        <w:t xml:space="preserve">were </w:t>
      </w:r>
      <w:r w:rsidR="006F2C17">
        <w:rPr>
          <w:rFonts w:ascii="Times New Roman" w:hAnsi="Times New Roman"/>
        </w:rPr>
        <w:t>248</w:t>
      </w:r>
      <w:r w:rsidR="00D373FC">
        <w:rPr>
          <w:rFonts w:ascii="Times New Roman" w:hAnsi="Times New Roman"/>
        </w:rPr>
        <w:t xml:space="preserve"> patients less than 34 weeks gestation and 40% were induced</w:t>
      </w:r>
      <w:r w:rsidR="00F44C84">
        <w:rPr>
          <w:rFonts w:ascii="Times New Roman" w:hAnsi="Times New Roman"/>
        </w:rPr>
        <w:t>, p&lt; 0.001.</w:t>
      </w:r>
      <w:r w:rsidR="002D550E">
        <w:rPr>
          <w:rFonts w:ascii="Times New Roman" w:hAnsi="Times New Roman"/>
        </w:rPr>
        <w:t xml:space="preserve"> </w:t>
      </w:r>
      <w:r w:rsidR="00F44C84">
        <w:rPr>
          <w:rFonts w:ascii="Times New Roman" w:hAnsi="Times New Roman"/>
        </w:rPr>
        <w:t xml:space="preserve"> </w:t>
      </w:r>
      <w:r w:rsidR="002D550E">
        <w:rPr>
          <w:rFonts w:ascii="Times New Roman" w:hAnsi="Times New Roman"/>
        </w:rPr>
        <w:t>The Bi</w:t>
      </w:r>
      <w:r w:rsidR="00B41CED">
        <w:rPr>
          <w:rFonts w:ascii="Times New Roman" w:hAnsi="Times New Roman"/>
        </w:rPr>
        <w:t>s</w:t>
      </w:r>
      <w:r w:rsidR="002D550E">
        <w:rPr>
          <w:rFonts w:ascii="Times New Roman" w:hAnsi="Times New Roman"/>
        </w:rPr>
        <w:t>hop</w:t>
      </w:r>
      <w:r w:rsidR="00F44C84">
        <w:rPr>
          <w:rFonts w:ascii="Times New Roman" w:hAnsi="Times New Roman"/>
        </w:rPr>
        <w:t xml:space="preserve"> score between those </w:t>
      </w:r>
      <w:r w:rsidR="006047B1">
        <w:rPr>
          <w:rFonts w:ascii="Times New Roman" w:hAnsi="Times New Roman"/>
        </w:rPr>
        <w:t xml:space="preserve">not </w:t>
      </w:r>
      <w:r w:rsidR="00F44C84">
        <w:rPr>
          <w:rFonts w:ascii="Times New Roman" w:hAnsi="Times New Roman"/>
        </w:rPr>
        <w:t>induced and induced was similar, median (IQR) of 1 (0</w:t>
      </w:r>
      <w:r w:rsidR="006435E5">
        <w:rPr>
          <w:rFonts w:ascii="Times New Roman" w:hAnsi="Times New Roman"/>
        </w:rPr>
        <w:t>, 3</w:t>
      </w:r>
      <w:r w:rsidR="00AD33C7">
        <w:rPr>
          <w:rFonts w:ascii="Times New Roman" w:hAnsi="Times New Roman"/>
        </w:rPr>
        <w:t xml:space="preserve">) </w:t>
      </w:r>
      <w:r w:rsidR="006F2C17">
        <w:rPr>
          <w:rFonts w:ascii="Times New Roman" w:hAnsi="Times New Roman"/>
        </w:rPr>
        <w:t xml:space="preserve">in those not induced </w:t>
      </w:r>
      <w:r w:rsidR="00F44C84">
        <w:rPr>
          <w:rFonts w:ascii="Times New Roman" w:hAnsi="Times New Roman"/>
        </w:rPr>
        <w:t>versus 2</w:t>
      </w:r>
      <w:r w:rsidR="00C777AC">
        <w:rPr>
          <w:rFonts w:ascii="Times New Roman" w:hAnsi="Times New Roman"/>
        </w:rPr>
        <w:t xml:space="preserve"> </w:t>
      </w:r>
      <w:r w:rsidR="00F44C84">
        <w:rPr>
          <w:rFonts w:ascii="Times New Roman" w:hAnsi="Times New Roman"/>
        </w:rPr>
        <w:t>(2,</w:t>
      </w:r>
      <w:r w:rsidR="006435E5">
        <w:rPr>
          <w:rFonts w:ascii="Times New Roman" w:hAnsi="Times New Roman"/>
        </w:rPr>
        <w:t xml:space="preserve"> </w:t>
      </w:r>
      <w:r w:rsidR="00F44C84">
        <w:rPr>
          <w:rFonts w:ascii="Times New Roman" w:hAnsi="Times New Roman"/>
        </w:rPr>
        <w:t xml:space="preserve">2) in those induced, p=0.91.  </w:t>
      </w:r>
      <w:r w:rsidR="007509BB">
        <w:rPr>
          <w:rFonts w:ascii="Times New Roman" w:hAnsi="Times New Roman"/>
        </w:rPr>
        <w:t>Patient</w:t>
      </w:r>
      <w:r w:rsidR="00AD33C7">
        <w:rPr>
          <w:rFonts w:ascii="Times New Roman" w:hAnsi="Times New Roman"/>
        </w:rPr>
        <w:t>s</w:t>
      </w:r>
      <w:r w:rsidR="007509BB">
        <w:rPr>
          <w:rFonts w:ascii="Times New Roman" w:hAnsi="Times New Roman"/>
        </w:rPr>
        <w:t xml:space="preserve"> with fetal growth restriction were less likely to be induced:  there were </w:t>
      </w:r>
      <w:r w:rsidR="006F2C17">
        <w:rPr>
          <w:rFonts w:ascii="Times New Roman" w:hAnsi="Times New Roman"/>
        </w:rPr>
        <w:t>106</w:t>
      </w:r>
      <w:r w:rsidR="00436E21">
        <w:rPr>
          <w:rFonts w:ascii="Times New Roman" w:hAnsi="Times New Roman"/>
        </w:rPr>
        <w:t xml:space="preserve"> patients </w:t>
      </w:r>
      <w:r w:rsidR="002D550E">
        <w:rPr>
          <w:rFonts w:ascii="Times New Roman" w:hAnsi="Times New Roman"/>
        </w:rPr>
        <w:t xml:space="preserve">with </w:t>
      </w:r>
      <w:r w:rsidR="006435E5">
        <w:rPr>
          <w:rFonts w:ascii="Times New Roman" w:hAnsi="Times New Roman"/>
        </w:rPr>
        <w:t xml:space="preserve">known </w:t>
      </w:r>
      <w:r w:rsidR="002D550E">
        <w:rPr>
          <w:rFonts w:ascii="Times New Roman" w:hAnsi="Times New Roman"/>
        </w:rPr>
        <w:t>fetal</w:t>
      </w:r>
      <w:r w:rsidR="006F2C17">
        <w:rPr>
          <w:rFonts w:ascii="Times New Roman" w:hAnsi="Times New Roman"/>
        </w:rPr>
        <w:t xml:space="preserve"> growth restriction, 40</w:t>
      </w:r>
      <w:r w:rsidR="00436E21">
        <w:rPr>
          <w:rFonts w:ascii="Times New Roman" w:hAnsi="Times New Roman"/>
        </w:rPr>
        <w:t>% of those patients were induced</w:t>
      </w:r>
      <w:r w:rsidR="007509BB">
        <w:rPr>
          <w:rFonts w:ascii="Times New Roman" w:hAnsi="Times New Roman"/>
        </w:rPr>
        <w:t>, p</w:t>
      </w:r>
      <w:r w:rsidR="006F2C17">
        <w:rPr>
          <w:rFonts w:ascii="Times New Roman" w:hAnsi="Times New Roman"/>
        </w:rPr>
        <w:t>&lt;0.001</w:t>
      </w:r>
      <w:r w:rsidR="00436E21">
        <w:rPr>
          <w:rFonts w:ascii="Times New Roman" w:hAnsi="Times New Roman"/>
        </w:rPr>
        <w:t xml:space="preserve">. </w:t>
      </w:r>
      <w:r w:rsidR="00D032C2">
        <w:rPr>
          <w:rFonts w:ascii="Times New Roman" w:hAnsi="Times New Roman"/>
        </w:rPr>
        <w:t xml:space="preserve"> </w:t>
      </w:r>
    </w:p>
    <w:p w:rsidR="007509BB" w:rsidRDefault="000C5ADF" w:rsidP="00401213">
      <w:pPr>
        <w:spacing w:line="480" w:lineRule="auto"/>
        <w:rPr>
          <w:rFonts w:ascii="Times New Roman" w:hAnsi="Times New Roman"/>
        </w:rPr>
      </w:pPr>
      <w:r>
        <w:rPr>
          <w:rFonts w:ascii="Times New Roman" w:hAnsi="Times New Roman"/>
        </w:rPr>
        <w:tab/>
      </w:r>
      <w:r w:rsidR="000524AE">
        <w:rPr>
          <w:rFonts w:ascii="Times New Roman" w:hAnsi="Times New Roman"/>
        </w:rPr>
        <w:t>Results of our primary</w:t>
      </w:r>
      <w:r w:rsidR="00FE3A16">
        <w:rPr>
          <w:rFonts w:ascii="Times New Roman" w:hAnsi="Times New Roman"/>
        </w:rPr>
        <w:t xml:space="preserve"> analysis can be seen in Table </w:t>
      </w:r>
      <w:r w:rsidR="000524AE">
        <w:rPr>
          <w:rFonts w:ascii="Times New Roman" w:hAnsi="Times New Roman"/>
        </w:rPr>
        <w:t xml:space="preserve">2.  </w:t>
      </w:r>
      <w:r w:rsidR="00252827">
        <w:rPr>
          <w:rFonts w:ascii="Times New Roman" w:hAnsi="Times New Roman"/>
        </w:rPr>
        <w:t>Maternal factors that were associated with a failed induction included</w:t>
      </w:r>
      <w:r w:rsidR="007509BB">
        <w:rPr>
          <w:rFonts w:ascii="Times New Roman" w:hAnsi="Times New Roman"/>
        </w:rPr>
        <w:t xml:space="preserve">: </w:t>
      </w:r>
      <w:r w:rsidR="00252827">
        <w:rPr>
          <w:rFonts w:ascii="Times New Roman" w:hAnsi="Times New Roman"/>
        </w:rPr>
        <w:t xml:space="preserve"> </w:t>
      </w:r>
      <w:r w:rsidR="005E5B78">
        <w:rPr>
          <w:rFonts w:ascii="Times New Roman" w:hAnsi="Times New Roman"/>
        </w:rPr>
        <w:t>primiparity</w:t>
      </w:r>
      <w:r w:rsidR="00D644DD">
        <w:rPr>
          <w:rFonts w:ascii="Times New Roman" w:hAnsi="Times New Roman"/>
        </w:rPr>
        <w:t xml:space="preserve"> (</w:t>
      </w:r>
      <w:r w:rsidR="00252827">
        <w:rPr>
          <w:rFonts w:ascii="Times New Roman" w:hAnsi="Times New Roman"/>
        </w:rPr>
        <w:t xml:space="preserve">OR </w:t>
      </w:r>
      <w:r w:rsidR="00542D83">
        <w:rPr>
          <w:rFonts w:ascii="Times New Roman" w:hAnsi="Times New Roman"/>
        </w:rPr>
        <w:t>1.62</w:t>
      </w:r>
      <w:r w:rsidR="00252827">
        <w:rPr>
          <w:rFonts w:ascii="Times New Roman" w:hAnsi="Times New Roman"/>
        </w:rPr>
        <w:t xml:space="preserve">, </w:t>
      </w:r>
      <w:r w:rsidR="006C2A48">
        <w:rPr>
          <w:rFonts w:ascii="Times New Roman" w:hAnsi="Times New Roman"/>
        </w:rPr>
        <w:t>95%</w:t>
      </w:r>
      <w:r w:rsidR="000524AE">
        <w:rPr>
          <w:rFonts w:ascii="Times New Roman" w:hAnsi="Times New Roman"/>
        </w:rPr>
        <w:t xml:space="preserve">CI </w:t>
      </w:r>
      <w:r w:rsidR="00542D83">
        <w:rPr>
          <w:rFonts w:ascii="Times New Roman" w:hAnsi="Times New Roman"/>
        </w:rPr>
        <w:t>1.31-2.00</w:t>
      </w:r>
      <w:r w:rsidR="000524AE">
        <w:rPr>
          <w:rFonts w:ascii="Times New Roman" w:hAnsi="Times New Roman"/>
        </w:rPr>
        <w:t>), unfavorable B</w:t>
      </w:r>
      <w:r w:rsidR="00252827">
        <w:rPr>
          <w:rFonts w:ascii="Times New Roman" w:hAnsi="Times New Roman"/>
        </w:rPr>
        <w:t xml:space="preserve">ishop score (OR </w:t>
      </w:r>
      <w:r w:rsidR="00542D83">
        <w:rPr>
          <w:rFonts w:ascii="Times New Roman" w:hAnsi="Times New Roman"/>
        </w:rPr>
        <w:t>1.33</w:t>
      </w:r>
      <w:r w:rsidR="00252827">
        <w:rPr>
          <w:rFonts w:ascii="Times New Roman" w:hAnsi="Times New Roman"/>
        </w:rPr>
        <w:t xml:space="preserve">, </w:t>
      </w:r>
      <w:r w:rsidR="006C2A48">
        <w:rPr>
          <w:rFonts w:ascii="Times New Roman" w:hAnsi="Times New Roman"/>
        </w:rPr>
        <w:t>95%</w:t>
      </w:r>
      <w:r w:rsidR="00252827">
        <w:rPr>
          <w:rFonts w:ascii="Times New Roman" w:hAnsi="Times New Roman"/>
        </w:rPr>
        <w:t xml:space="preserve">CI </w:t>
      </w:r>
      <w:r w:rsidR="00542D83">
        <w:rPr>
          <w:rFonts w:ascii="Times New Roman" w:hAnsi="Times New Roman"/>
        </w:rPr>
        <w:t>1.10-1.62</w:t>
      </w:r>
      <w:r w:rsidR="00252827">
        <w:rPr>
          <w:rFonts w:ascii="Times New Roman" w:hAnsi="Times New Roman"/>
        </w:rPr>
        <w:t xml:space="preserve">), closed cervix (OR </w:t>
      </w:r>
      <w:r w:rsidR="00542D83">
        <w:rPr>
          <w:rFonts w:ascii="Times New Roman" w:hAnsi="Times New Roman"/>
        </w:rPr>
        <w:t>1.57</w:t>
      </w:r>
      <w:r w:rsidR="00252827">
        <w:rPr>
          <w:rFonts w:ascii="Times New Roman" w:hAnsi="Times New Roman"/>
        </w:rPr>
        <w:t xml:space="preserve">, </w:t>
      </w:r>
      <w:r w:rsidR="00D644DD">
        <w:rPr>
          <w:rFonts w:ascii="Times New Roman" w:hAnsi="Times New Roman"/>
        </w:rPr>
        <w:t>95%</w:t>
      </w:r>
      <w:r w:rsidR="00252827">
        <w:rPr>
          <w:rFonts w:ascii="Times New Roman" w:hAnsi="Times New Roman"/>
        </w:rPr>
        <w:t xml:space="preserve">CI </w:t>
      </w:r>
      <w:r w:rsidR="00542D83">
        <w:rPr>
          <w:rFonts w:ascii="Times New Roman" w:hAnsi="Times New Roman"/>
        </w:rPr>
        <w:t>1.29-1.92</w:t>
      </w:r>
      <w:r w:rsidR="006047B1">
        <w:rPr>
          <w:rFonts w:ascii="Times New Roman" w:hAnsi="Times New Roman"/>
        </w:rPr>
        <w:t xml:space="preserve">), </w:t>
      </w:r>
      <w:r w:rsidR="00252827">
        <w:rPr>
          <w:rFonts w:ascii="Times New Roman" w:hAnsi="Times New Roman"/>
        </w:rPr>
        <w:t xml:space="preserve">uneffaced cervix (OR </w:t>
      </w:r>
      <w:r w:rsidR="00542D83">
        <w:rPr>
          <w:rFonts w:ascii="Times New Roman" w:hAnsi="Times New Roman"/>
        </w:rPr>
        <w:t>1.63</w:t>
      </w:r>
      <w:r w:rsidR="00252827">
        <w:rPr>
          <w:rFonts w:ascii="Times New Roman" w:hAnsi="Times New Roman"/>
        </w:rPr>
        <w:t xml:space="preserve">, </w:t>
      </w:r>
      <w:r w:rsidR="006C2A48">
        <w:rPr>
          <w:rFonts w:ascii="Times New Roman" w:hAnsi="Times New Roman"/>
        </w:rPr>
        <w:t>95%</w:t>
      </w:r>
      <w:r w:rsidR="00252827">
        <w:rPr>
          <w:rFonts w:ascii="Times New Roman" w:hAnsi="Times New Roman"/>
        </w:rPr>
        <w:t>CI</w:t>
      </w:r>
      <w:r w:rsidR="00C81BC2">
        <w:rPr>
          <w:rFonts w:ascii="Times New Roman" w:hAnsi="Times New Roman"/>
        </w:rPr>
        <w:t xml:space="preserve"> </w:t>
      </w:r>
      <w:r w:rsidR="006047B1">
        <w:rPr>
          <w:rFonts w:ascii="Times New Roman" w:hAnsi="Times New Roman"/>
        </w:rPr>
        <w:t>1.32-2.01)</w:t>
      </w:r>
      <w:r w:rsidR="00542D83">
        <w:rPr>
          <w:rFonts w:ascii="Times New Roman" w:hAnsi="Times New Roman"/>
        </w:rPr>
        <w:t xml:space="preserve"> g</w:t>
      </w:r>
      <w:r w:rsidR="00252827">
        <w:rPr>
          <w:rFonts w:ascii="Times New Roman" w:hAnsi="Times New Roman"/>
        </w:rPr>
        <w:t>estational age less than 34 weeks</w:t>
      </w:r>
      <w:r w:rsidR="00BE3450">
        <w:rPr>
          <w:rFonts w:ascii="Times New Roman" w:hAnsi="Times New Roman"/>
        </w:rPr>
        <w:t xml:space="preserve"> (OR </w:t>
      </w:r>
      <w:r w:rsidR="00542D83">
        <w:rPr>
          <w:rFonts w:ascii="Times New Roman" w:hAnsi="Times New Roman"/>
        </w:rPr>
        <w:t>1.40</w:t>
      </w:r>
      <w:r w:rsidR="006C2A48">
        <w:rPr>
          <w:rFonts w:ascii="Times New Roman" w:hAnsi="Times New Roman"/>
        </w:rPr>
        <w:t>, 95%</w:t>
      </w:r>
      <w:r w:rsidR="00BE3450">
        <w:rPr>
          <w:rFonts w:ascii="Times New Roman" w:hAnsi="Times New Roman"/>
        </w:rPr>
        <w:t xml:space="preserve">CI </w:t>
      </w:r>
      <w:r w:rsidR="00542D83">
        <w:rPr>
          <w:rFonts w:ascii="Times New Roman" w:hAnsi="Times New Roman"/>
        </w:rPr>
        <w:t>1.11-1.75</w:t>
      </w:r>
      <w:r w:rsidR="00BE3450">
        <w:rPr>
          <w:rFonts w:ascii="Times New Roman" w:hAnsi="Times New Roman"/>
        </w:rPr>
        <w:t>)</w:t>
      </w:r>
      <w:r w:rsidR="00542D83">
        <w:rPr>
          <w:rFonts w:ascii="Times New Roman" w:hAnsi="Times New Roman"/>
        </w:rPr>
        <w:t xml:space="preserve"> and severe disease</w:t>
      </w:r>
      <w:r w:rsidR="00BE3450">
        <w:rPr>
          <w:rFonts w:ascii="Times New Roman" w:hAnsi="Times New Roman"/>
        </w:rPr>
        <w:t xml:space="preserve"> (OR 1.</w:t>
      </w:r>
      <w:r w:rsidR="00542D83">
        <w:rPr>
          <w:rFonts w:ascii="Times New Roman" w:hAnsi="Times New Roman"/>
        </w:rPr>
        <w:t>28</w:t>
      </w:r>
      <w:r w:rsidR="006C2A48">
        <w:rPr>
          <w:rFonts w:ascii="Times New Roman" w:hAnsi="Times New Roman"/>
        </w:rPr>
        <w:t>, 95%</w:t>
      </w:r>
      <w:r w:rsidR="00BE3450">
        <w:rPr>
          <w:rFonts w:ascii="Times New Roman" w:hAnsi="Times New Roman"/>
        </w:rPr>
        <w:t xml:space="preserve">CI </w:t>
      </w:r>
      <w:r w:rsidR="00542D83">
        <w:rPr>
          <w:rFonts w:ascii="Times New Roman" w:hAnsi="Times New Roman"/>
        </w:rPr>
        <w:t xml:space="preserve">1.03-1.60).  </w:t>
      </w:r>
      <w:r w:rsidR="00542D83">
        <w:rPr>
          <w:rFonts w:ascii="Times New Roman" w:hAnsi="Times New Roman"/>
        </w:rPr>
        <w:lastRenderedPageBreak/>
        <w:t xml:space="preserve">Patients with a </w:t>
      </w:r>
      <w:r w:rsidR="000524AE">
        <w:rPr>
          <w:rFonts w:ascii="Times New Roman" w:hAnsi="Times New Roman"/>
        </w:rPr>
        <w:t>major maternal complication</w:t>
      </w:r>
      <w:r w:rsidR="00542D83">
        <w:rPr>
          <w:rFonts w:ascii="Times New Roman" w:hAnsi="Times New Roman"/>
        </w:rPr>
        <w:t xml:space="preserve"> of pre-eclampsia</w:t>
      </w:r>
      <w:r w:rsidR="000524AE">
        <w:rPr>
          <w:rFonts w:ascii="Times New Roman" w:hAnsi="Times New Roman"/>
        </w:rPr>
        <w:t xml:space="preserve"> </w:t>
      </w:r>
      <w:r w:rsidR="00252827">
        <w:rPr>
          <w:rFonts w:ascii="Times New Roman" w:hAnsi="Times New Roman"/>
        </w:rPr>
        <w:t>demonstrated a trend towards being associated with a failed induction</w:t>
      </w:r>
      <w:r w:rsidR="006C2A48">
        <w:rPr>
          <w:rFonts w:ascii="Times New Roman" w:hAnsi="Times New Roman"/>
        </w:rPr>
        <w:t xml:space="preserve"> (OR 1.21, 95%</w:t>
      </w:r>
      <w:r w:rsidR="00542D83">
        <w:rPr>
          <w:rFonts w:ascii="Times New Roman" w:hAnsi="Times New Roman"/>
        </w:rPr>
        <w:t>CI 0.98-1.47)</w:t>
      </w:r>
      <w:r w:rsidR="00252827">
        <w:rPr>
          <w:rFonts w:ascii="Times New Roman" w:hAnsi="Times New Roman"/>
        </w:rPr>
        <w:t xml:space="preserve">, however this was </w:t>
      </w:r>
      <w:r w:rsidR="00BE3450">
        <w:rPr>
          <w:rFonts w:ascii="Times New Roman" w:hAnsi="Times New Roman"/>
        </w:rPr>
        <w:t xml:space="preserve">not statistically significant.  </w:t>
      </w:r>
      <w:r w:rsidR="007509BB">
        <w:rPr>
          <w:rFonts w:ascii="Times New Roman" w:hAnsi="Times New Roman"/>
        </w:rPr>
        <w:t xml:space="preserve">Maternal </w:t>
      </w:r>
      <w:r w:rsidR="00542D83">
        <w:rPr>
          <w:rFonts w:ascii="Times New Roman" w:hAnsi="Times New Roman"/>
        </w:rPr>
        <w:t>factors such as obesity (OR 1.04</w:t>
      </w:r>
      <w:r w:rsidR="006C2A48">
        <w:rPr>
          <w:rFonts w:ascii="Times New Roman" w:hAnsi="Times New Roman"/>
        </w:rPr>
        <w:t>, 95%</w:t>
      </w:r>
      <w:r w:rsidR="007509BB">
        <w:rPr>
          <w:rFonts w:ascii="Times New Roman" w:hAnsi="Times New Roman"/>
        </w:rPr>
        <w:t xml:space="preserve">CI </w:t>
      </w:r>
      <w:r w:rsidR="002713C8">
        <w:rPr>
          <w:rFonts w:ascii="Times New Roman" w:hAnsi="Times New Roman"/>
        </w:rPr>
        <w:t>0.85-1.26</w:t>
      </w:r>
      <w:r w:rsidR="007509BB">
        <w:rPr>
          <w:rFonts w:ascii="Times New Roman" w:hAnsi="Times New Roman"/>
        </w:rPr>
        <w:t xml:space="preserve">) and </w:t>
      </w:r>
      <w:r w:rsidR="002713C8">
        <w:rPr>
          <w:rFonts w:ascii="Times New Roman" w:hAnsi="Times New Roman"/>
        </w:rPr>
        <w:t xml:space="preserve">excessive </w:t>
      </w:r>
      <w:r w:rsidR="007509BB">
        <w:rPr>
          <w:rFonts w:ascii="Times New Roman" w:hAnsi="Times New Roman"/>
        </w:rPr>
        <w:t xml:space="preserve">weight gain (OR </w:t>
      </w:r>
      <w:r w:rsidR="002713C8">
        <w:rPr>
          <w:rFonts w:ascii="Times New Roman" w:hAnsi="Times New Roman"/>
        </w:rPr>
        <w:t>1.05</w:t>
      </w:r>
      <w:r w:rsidR="006C2A48">
        <w:rPr>
          <w:rFonts w:ascii="Times New Roman" w:hAnsi="Times New Roman"/>
        </w:rPr>
        <w:t>, 95%</w:t>
      </w:r>
      <w:r w:rsidR="007509BB">
        <w:rPr>
          <w:rFonts w:ascii="Times New Roman" w:hAnsi="Times New Roman"/>
        </w:rPr>
        <w:t xml:space="preserve">CI </w:t>
      </w:r>
      <w:r w:rsidR="002713C8">
        <w:rPr>
          <w:rFonts w:ascii="Times New Roman" w:hAnsi="Times New Roman"/>
        </w:rPr>
        <w:t>0.87-1.28</w:t>
      </w:r>
      <w:r w:rsidR="007509BB">
        <w:rPr>
          <w:rFonts w:ascii="Times New Roman" w:hAnsi="Times New Roman"/>
        </w:rPr>
        <w:t xml:space="preserve">) were not associated with a failed induction. </w:t>
      </w:r>
      <w:r w:rsidR="007509BB" w:rsidRPr="00BE3450">
        <w:rPr>
          <w:rFonts w:ascii="Times New Roman" w:hAnsi="Times New Roman"/>
        </w:rPr>
        <w:t xml:space="preserve"> </w:t>
      </w:r>
      <w:r w:rsidR="007509BB">
        <w:rPr>
          <w:rFonts w:ascii="Times New Roman" w:hAnsi="Times New Roman"/>
        </w:rPr>
        <w:t xml:space="preserve">Fetal growth restriction (OR </w:t>
      </w:r>
      <w:r w:rsidR="002713C8">
        <w:rPr>
          <w:rFonts w:ascii="Times New Roman" w:hAnsi="Times New Roman"/>
        </w:rPr>
        <w:t>1.18</w:t>
      </w:r>
      <w:r w:rsidR="006C2A48">
        <w:rPr>
          <w:rFonts w:ascii="Times New Roman" w:hAnsi="Times New Roman"/>
        </w:rPr>
        <w:t>, 95%</w:t>
      </w:r>
      <w:r w:rsidR="007509BB">
        <w:rPr>
          <w:rFonts w:ascii="Times New Roman" w:hAnsi="Times New Roman"/>
        </w:rPr>
        <w:t xml:space="preserve">CI </w:t>
      </w:r>
      <w:r w:rsidR="002713C8">
        <w:rPr>
          <w:rFonts w:ascii="Times New Roman" w:hAnsi="Times New Roman"/>
        </w:rPr>
        <w:t>0.85-1.63</w:t>
      </w:r>
      <w:r w:rsidR="007509BB">
        <w:rPr>
          <w:rFonts w:ascii="Times New Roman" w:hAnsi="Times New Roman"/>
        </w:rPr>
        <w:t>), oligohydramnios (OR 0.</w:t>
      </w:r>
      <w:r w:rsidR="002713C8">
        <w:rPr>
          <w:rFonts w:ascii="Times New Roman" w:hAnsi="Times New Roman"/>
        </w:rPr>
        <w:t>96</w:t>
      </w:r>
      <w:r w:rsidR="006C2A48">
        <w:rPr>
          <w:rFonts w:ascii="Times New Roman" w:hAnsi="Times New Roman"/>
        </w:rPr>
        <w:t>, 95%</w:t>
      </w:r>
      <w:r w:rsidR="007509BB">
        <w:rPr>
          <w:rFonts w:ascii="Times New Roman" w:hAnsi="Times New Roman"/>
        </w:rPr>
        <w:t xml:space="preserve">CI </w:t>
      </w:r>
      <w:r w:rsidR="002713C8">
        <w:rPr>
          <w:rFonts w:ascii="Times New Roman" w:hAnsi="Times New Roman"/>
        </w:rPr>
        <w:t>0.67-1.38</w:t>
      </w:r>
      <w:r w:rsidR="007509BB">
        <w:rPr>
          <w:rFonts w:ascii="Times New Roman" w:hAnsi="Times New Roman"/>
        </w:rPr>
        <w:t xml:space="preserve">), and abnormal Doppler (OR </w:t>
      </w:r>
      <w:r w:rsidR="002713C8">
        <w:rPr>
          <w:rFonts w:ascii="Times New Roman" w:hAnsi="Times New Roman"/>
        </w:rPr>
        <w:t>1.18</w:t>
      </w:r>
      <w:r w:rsidR="006C2A48">
        <w:rPr>
          <w:rFonts w:ascii="Times New Roman" w:hAnsi="Times New Roman"/>
        </w:rPr>
        <w:t>, 95%</w:t>
      </w:r>
      <w:r w:rsidR="007509BB">
        <w:rPr>
          <w:rFonts w:ascii="Times New Roman" w:hAnsi="Times New Roman"/>
        </w:rPr>
        <w:t xml:space="preserve">CI </w:t>
      </w:r>
      <w:r w:rsidR="002713C8">
        <w:rPr>
          <w:rFonts w:ascii="Times New Roman" w:hAnsi="Times New Roman"/>
        </w:rPr>
        <w:t>0.74-1.90</w:t>
      </w:r>
      <w:r w:rsidR="007509BB">
        <w:rPr>
          <w:rFonts w:ascii="Times New Roman" w:hAnsi="Times New Roman"/>
        </w:rPr>
        <w:t>) were not associated with a failed induction.</w:t>
      </w:r>
    </w:p>
    <w:p w:rsidR="000D2B38" w:rsidRDefault="00BE3450" w:rsidP="00401213">
      <w:pPr>
        <w:spacing w:line="480" w:lineRule="auto"/>
        <w:ind w:firstLine="720"/>
        <w:rPr>
          <w:rFonts w:ascii="Times New Roman" w:hAnsi="Times New Roman"/>
          <w:b/>
        </w:rPr>
      </w:pPr>
      <w:r>
        <w:rPr>
          <w:rFonts w:ascii="Times New Roman" w:hAnsi="Times New Roman"/>
        </w:rPr>
        <w:t>Post hoc analysis was performed to control for confounding variables</w:t>
      </w:r>
      <w:r w:rsidR="007509BB">
        <w:rPr>
          <w:rFonts w:ascii="Times New Roman" w:hAnsi="Times New Roman"/>
        </w:rPr>
        <w:t xml:space="preserve"> and these results are presented in Table 3.</w:t>
      </w:r>
      <w:r>
        <w:rPr>
          <w:rFonts w:ascii="Times New Roman" w:hAnsi="Times New Roman"/>
        </w:rPr>
        <w:t xml:space="preserve"> </w:t>
      </w:r>
      <w:r w:rsidR="007509BB">
        <w:rPr>
          <w:rFonts w:ascii="Times New Roman" w:hAnsi="Times New Roman"/>
        </w:rPr>
        <w:t xml:space="preserve"> Prim</w:t>
      </w:r>
      <w:r w:rsidR="005D3081">
        <w:rPr>
          <w:rFonts w:ascii="Times New Roman" w:hAnsi="Times New Roman"/>
        </w:rPr>
        <w:t>ip</w:t>
      </w:r>
      <w:r w:rsidR="007509BB">
        <w:rPr>
          <w:rFonts w:ascii="Times New Roman" w:hAnsi="Times New Roman"/>
        </w:rPr>
        <w:t xml:space="preserve">arity and unfavorable cervix remained most strongly associated </w:t>
      </w:r>
      <w:r w:rsidR="005D3081">
        <w:rPr>
          <w:rFonts w:ascii="Times New Roman" w:hAnsi="Times New Roman"/>
        </w:rPr>
        <w:t>with failed induction:  aOR 1.</w:t>
      </w:r>
      <w:r w:rsidR="002713C8">
        <w:rPr>
          <w:rFonts w:ascii="Times New Roman" w:hAnsi="Times New Roman"/>
        </w:rPr>
        <w:t>54</w:t>
      </w:r>
      <w:r w:rsidR="007509BB">
        <w:rPr>
          <w:rFonts w:ascii="Times New Roman" w:hAnsi="Times New Roman"/>
        </w:rPr>
        <w:t xml:space="preserve"> (95%CI </w:t>
      </w:r>
      <w:r w:rsidR="002713C8">
        <w:rPr>
          <w:rFonts w:ascii="Times New Roman" w:hAnsi="Times New Roman"/>
        </w:rPr>
        <w:t>1.20-1.99</w:t>
      </w:r>
      <w:r w:rsidR="007509BB">
        <w:rPr>
          <w:rFonts w:ascii="Times New Roman" w:hAnsi="Times New Roman"/>
        </w:rPr>
        <w:t>) and aOR (</w:t>
      </w:r>
      <w:r w:rsidR="002713C8">
        <w:rPr>
          <w:rFonts w:ascii="Times New Roman" w:hAnsi="Times New Roman"/>
        </w:rPr>
        <w:t>1.38</w:t>
      </w:r>
      <w:r w:rsidR="007509BB">
        <w:rPr>
          <w:rFonts w:ascii="Times New Roman" w:hAnsi="Times New Roman"/>
        </w:rPr>
        <w:t xml:space="preserve"> (95%CI </w:t>
      </w:r>
      <w:r w:rsidR="002713C8">
        <w:rPr>
          <w:rFonts w:ascii="Times New Roman" w:hAnsi="Times New Roman"/>
        </w:rPr>
        <w:t>1.09-1.75</w:t>
      </w:r>
      <w:r w:rsidR="007509BB">
        <w:rPr>
          <w:rFonts w:ascii="Times New Roman" w:hAnsi="Times New Roman"/>
        </w:rPr>
        <w:t>) respectively</w:t>
      </w:r>
      <w:r w:rsidR="00D606ED">
        <w:rPr>
          <w:rFonts w:ascii="Times New Roman" w:hAnsi="Times New Roman"/>
        </w:rPr>
        <w:t xml:space="preserve"> (Figure 2).  T</w:t>
      </w:r>
      <w:r w:rsidR="00851B95">
        <w:rPr>
          <w:rFonts w:ascii="Times New Roman" w:hAnsi="Times New Roman"/>
        </w:rPr>
        <w:t>here was a trend toward an association between early preterm delivery less than 34 weeks and failed inducti</w:t>
      </w:r>
      <w:r w:rsidR="00C777AC">
        <w:rPr>
          <w:rFonts w:ascii="Times New Roman" w:hAnsi="Times New Roman"/>
        </w:rPr>
        <w:t xml:space="preserve">on, aOR </w:t>
      </w:r>
      <w:r w:rsidR="002713C8">
        <w:rPr>
          <w:rFonts w:ascii="Times New Roman" w:hAnsi="Times New Roman"/>
        </w:rPr>
        <w:t>1.27</w:t>
      </w:r>
      <w:r w:rsidR="006C2A48">
        <w:rPr>
          <w:rFonts w:ascii="Times New Roman" w:hAnsi="Times New Roman"/>
        </w:rPr>
        <w:t xml:space="preserve"> (95%</w:t>
      </w:r>
      <w:r w:rsidR="00851B95">
        <w:rPr>
          <w:rFonts w:ascii="Times New Roman" w:hAnsi="Times New Roman"/>
        </w:rPr>
        <w:t>CI 0.</w:t>
      </w:r>
      <w:r w:rsidR="002713C8">
        <w:rPr>
          <w:rFonts w:ascii="Times New Roman" w:hAnsi="Times New Roman"/>
        </w:rPr>
        <w:t>95-1.68</w:t>
      </w:r>
      <w:r w:rsidR="00851B95">
        <w:rPr>
          <w:rFonts w:ascii="Times New Roman" w:hAnsi="Times New Roman"/>
        </w:rPr>
        <w:t xml:space="preserve">).  The other variables did not seem to be associated </w:t>
      </w:r>
      <w:r w:rsidR="002713C8">
        <w:rPr>
          <w:rFonts w:ascii="Times New Roman" w:hAnsi="Times New Roman"/>
        </w:rPr>
        <w:t xml:space="preserve">with failed induction </w:t>
      </w:r>
      <w:r w:rsidR="00851B95">
        <w:rPr>
          <w:rFonts w:ascii="Times New Roman" w:hAnsi="Times New Roman"/>
        </w:rPr>
        <w:t xml:space="preserve">once data was controlled for confounding variables. </w:t>
      </w:r>
    </w:p>
    <w:p w:rsidR="00EC02FC" w:rsidRPr="008E747C" w:rsidRDefault="000D2B38">
      <w:pPr>
        <w:rPr>
          <w:rFonts w:ascii="Times New Roman" w:hAnsi="Times New Roman"/>
          <w:b/>
        </w:rPr>
      </w:pPr>
      <w:r w:rsidRPr="008E747C">
        <w:rPr>
          <w:rFonts w:ascii="Times New Roman" w:hAnsi="Times New Roman"/>
          <w:b/>
        </w:rPr>
        <w:t>Discussion</w:t>
      </w:r>
      <w:r w:rsidR="00927578" w:rsidRPr="008E747C">
        <w:rPr>
          <w:rFonts w:ascii="Times New Roman" w:hAnsi="Times New Roman"/>
          <w:b/>
        </w:rPr>
        <w:t>:</w:t>
      </w:r>
    </w:p>
    <w:p w:rsidR="00927578" w:rsidRDefault="00927578">
      <w:pPr>
        <w:rPr>
          <w:rFonts w:ascii="Times New Roman" w:hAnsi="Times New Roman"/>
        </w:rPr>
      </w:pPr>
    </w:p>
    <w:p w:rsidR="00386F10" w:rsidRDefault="00927578" w:rsidP="00401213">
      <w:pPr>
        <w:spacing w:line="480" w:lineRule="auto"/>
        <w:rPr>
          <w:rFonts w:ascii="Times New Roman" w:hAnsi="Times New Roman"/>
        </w:rPr>
      </w:pPr>
      <w:r>
        <w:rPr>
          <w:rFonts w:ascii="Times New Roman" w:hAnsi="Times New Roman"/>
        </w:rPr>
        <w:tab/>
      </w:r>
      <w:r w:rsidR="00832CBE">
        <w:rPr>
          <w:rFonts w:ascii="Times New Roman" w:hAnsi="Times New Roman"/>
        </w:rPr>
        <w:t xml:space="preserve">It </w:t>
      </w:r>
      <w:r w:rsidR="0075739B">
        <w:rPr>
          <w:rFonts w:ascii="Times New Roman" w:hAnsi="Times New Roman"/>
        </w:rPr>
        <w:t xml:space="preserve">has been reported </w:t>
      </w:r>
      <w:r w:rsidR="00832CBE">
        <w:rPr>
          <w:rFonts w:ascii="Times New Roman" w:hAnsi="Times New Roman"/>
        </w:rPr>
        <w:t xml:space="preserve">that patients </w:t>
      </w:r>
      <w:r w:rsidR="0075739B">
        <w:rPr>
          <w:rFonts w:ascii="Times New Roman" w:hAnsi="Times New Roman"/>
        </w:rPr>
        <w:t xml:space="preserve">being induced </w:t>
      </w:r>
      <w:r w:rsidR="00832CBE">
        <w:rPr>
          <w:rFonts w:ascii="Times New Roman" w:hAnsi="Times New Roman"/>
        </w:rPr>
        <w:t>with pre</w:t>
      </w:r>
      <w:r w:rsidR="002D550E">
        <w:rPr>
          <w:rFonts w:ascii="Times New Roman" w:hAnsi="Times New Roman"/>
        </w:rPr>
        <w:t>-</w:t>
      </w:r>
      <w:r w:rsidR="00832CBE">
        <w:rPr>
          <w:rFonts w:ascii="Times New Roman" w:hAnsi="Times New Roman"/>
        </w:rPr>
        <w:t>eclampsia have a h</w:t>
      </w:r>
      <w:r w:rsidR="005B7F55">
        <w:rPr>
          <w:rFonts w:ascii="Times New Roman" w:hAnsi="Times New Roman"/>
        </w:rPr>
        <w:t>igher rate of cesarean section.</w:t>
      </w:r>
      <w:r w:rsidR="005103D5">
        <w:rPr>
          <w:rFonts w:ascii="Times New Roman" w:hAnsi="Times New Roman"/>
          <w:vertAlign w:val="superscript"/>
        </w:rPr>
        <w:t>5,6,1</w:t>
      </w:r>
      <w:r w:rsidR="006A758A">
        <w:rPr>
          <w:rFonts w:ascii="Times New Roman" w:hAnsi="Times New Roman"/>
          <w:vertAlign w:val="superscript"/>
        </w:rPr>
        <w:t>3</w:t>
      </w:r>
      <w:r w:rsidR="005B7F55">
        <w:rPr>
          <w:rFonts w:ascii="Times New Roman" w:hAnsi="Times New Roman"/>
          <w:vertAlign w:val="superscript"/>
        </w:rPr>
        <w:t xml:space="preserve"> </w:t>
      </w:r>
      <w:r w:rsidR="005103D5">
        <w:rPr>
          <w:rFonts w:ascii="Times New Roman" w:hAnsi="Times New Roman"/>
          <w:vertAlign w:val="superscript"/>
        </w:rPr>
        <w:t xml:space="preserve"> </w:t>
      </w:r>
      <w:r w:rsidR="005B7F55">
        <w:rPr>
          <w:rFonts w:ascii="Times New Roman" w:hAnsi="Times New Roman"/>
          <w:vertAlign w:val="superscript"/>
        </w:rPr>
        <w:t xml:space="preserve"> </w:t>
      </w:r>
      <w:r w:rsidR="00851B95">
        <w:rPr>
          <w:rFonts w:ascii="Times New Roman" w:hAnsi="Times New Roman"/>
        </w:rPr>
        <w:t>Physician reluctance to induce likely contributes to the overall higher cesarean rate in these patients.  In general,</w:t>
      </w:r>
      <w:r w:rsidR="00386F10">
        <w:rPr>
          <w:rFonts w:ascii="Times New Roman" w:hAnsi="Times New Roman"/>
        </w:rPr>
        <w:t xml:space="preserve"> many </w:t>
      </w:r>
      <w:r w:rsidR="00851B95">
        <w:rPr>
          <w:rFonts w:ascii="Times New Roman" w:hAnsi="Times New Roman"/>
        </w:rPr>
        <w:t>factors</w:t>
      </w:r>
      <w:r w:rsidR="00386F10">
        <w:rPr>
          <w:rFonts w:ascii="Times New Roman" w:hAnsi="Times New Roman"/>
        </w:rPr>
        <w:t xml:space="preserve"> </w:t>
      </w:r>
      <w:r w:rsidR="0075739B">
        <w:rPr>
          <w:rFonts w:ascii="Times New Roman" w:hAnsi="Times New Roman"/>
        </w:rPr>
        <w:t xml:space="preserve">may </w:t>
      </w:r>
      <w:r w:rsidR="00386F10">
        <w:rPr>
          <w:rFonts w:ascii="Times New Roman" w:hAnsi="Times New Roman"/>
        </w:rPr>
        <w:t>contribute</w:t>
      </w:r>
      <w:r w:rsidR="00C650E7">
        <w:rPr>
          <w:rFonts w:ascii="Times New Roman" w:hAnsi="Times New Roman"/>
        </w:rPr>
        <w:t xml:space="preserve"> to higher rates of failed </w:t>
      </w:r>
      <w:r w:rsidR="0075739B">
        <w:rPr>
          <w:rFonts w:ascii="Times New Roman" w:hAnsi="Times New Roman"/>
        </w:rPr>
        <w:t>induction</w:t>
      </w:r>
      <w:r w:rsidR="001425EE">
        <w:rPr>
          <w:rFonts w:ascii="Times New Roman" w:hAnsi="Times New Roman"/>
        </w:rPr>
        <w:t xml:space="preserve"> including primiparity</w:t>
      </w:r>
      <w:r w:rsidR="00386F10">
        <w:rPr>
          <w:rFonts w:ascii="Times New Roman" w:hAnsi="Times New Roman"/>
        </w:rPr>
        <w:t xml:space="preserve">, obesity, unfavorable </w:t>
      </w:r>
      <w:r w:rsidR="00C650E7">
        <w:rPr>
          <w:rFonts w:ascii="Times New Roman" w:hAnsi="Times New Roman"/>
        </w:rPr>
        <w:t>cervical characteristics</w:t>
      </w:r>
      <w:r w:rsidR="00386F10">
        <w:rPr>
          <w:rFonts w:ascii="Times New Roman" w:hAnsi="Times New Roman"/>
        </w:rPr>
        <w:t xml:space="preserve">, and </w:t>
      </w:r>
      <w:r w:rsidR="00C650E7">
        <w:rPr>
          <w:rFonts w:ascii="Times New Roman" w:hAnsi="Times New Roman"/>
        </w:rPr>
        <w:t>underlying fetal compromise</w:t>
      </w:r>
      <w:r w:rsidR="00386F10">
        <w:rPr>
          <w:rFonts w:ascii="Times New Roman" w:hAnsi="Times New Roman"/>
        </w:rPr>
        <w:t xml:space="preserve">. </w:t>
      </w:r>
      <w:r w:rsidR="00851B95">
        <w:rPr>
          <w:rFonts w:ascii="Times New Roman" w:hAnsi="Times New Roman"/>
        </w:rPr>
        <w:t xml:space="preserve"> </w:t>
      </w:r>
      <w:r w:rsidR="0075739B">
        <w:rPr>
          <w:rFonts w:ascii="Times New Roman" w:hAnsi="Times New Roman"/>
        </w:rPr>
        <w:t>Little is</w:t>
      </w:r>
      <w:r w:rsidR="00851B95">
        <w:rPr>
          <w:rFonts w:ascii="Times New Roman" w:hAnsi="Times New Roman"/>
        </w:rPr>
        <w:t xml:space="preserve"> known about how certain characteristics of pre-eclampsia such as gestational age at indicated delivery, severity</w:t>
      </w:r>
      <w:r w:rsidR="0075739B">
        <w:rPr>
          <w:rFonts w:ascii="Times New Roman" w:hAnsi="Times New Roman"/>
        </w:rPr>
        <w:t>, presence of m</w:t>
      </w:r>
      <w:r w:rsidR="00851B95">
        <w:rPr>
          <w:rFonts w:ascii="Times New Roman" w:hAnsi="Times New Roman"/>
        </w:rPr>
        <w:t>ajor complications</w:t>
      </w:r>
      <w:r w:rsidR="0075739B">
        <w:rPr>
          <w:rFonts w:ascii="Times New Roman" w:hAnsi="Times New Roman"/>
        </w:rPr>
        <w:t>, and fetal conditions such as growth restriction and oligohydramnios affect the ability to successfully in</w:t>
      </w:r>
      <w:r w:rsidR="00851B95">
        <w:rPr>
          <w:rFonts w:ascii="Times New Roman" w:hAnsi="Times New Roman"/>
        </w:rPr>
        <w:t>duce patients</w:t>
      </w:r>
      <w:r w:rsidR="00B65ABF">
        <w:rPr>
          <w:rFonts w:ascii="Times New Roman" w:hAnsi="Times New Roman"/>
        </w:rPr>
        <w:t xml:space="preserve"> with pre-eclampsia</w:t>
      </w:r>
      <w:r w:rsidR="0075739B">
        <w:rPr>
          <w:rFonts w:ascii="Times New Roman" w:hAnsi="Times New Roman"/>
        </w:rPr>
        <w:t xml:space="preserve">.  </w:t>
      </w:r>
      <w:r w:rsidR="00386F10">
        <w:rPr>
          <w:rFonts w:ascii="Times New Roman" w:hAnsi="Times New Roman"/>
        </w:rPr>
        <w:lastRenderedPageBreak/>
        <w:t>Our study has demonstrated that the factors most associated with a failed induction in the setting of pre</w:t>
      </w:r>
      <w:r w:rsidR="001425EE">
        <w:rPr>
          <w:rFonts w:ascii="Times New Roman" w:hAnsi="Times New Roman"/>
        </w:rPr>
        <w:t>-</w:t>
      </w:r>
      <w:r w:rsidR="00386F10">
        <w:rPr>
          <w:rFonts w:ascii="Times New Roman" w:hAnsi="Times New Roman"/>
        </w:rPr>
        <w:t xml:space="preserve">eclampsia are </w:t>
      </w:r>
      <w:r w:rsidR="00C650E7">
        <w:rPr>
          <w:rFonts w:ascii="Times New Roman" w:hAnsi="Times New Roman"/>
        </w:rPr>
        <w:t xml:space="preserve">similar to those that predict failed induction in </w:t>
      </w:r>
      <w:r w:rsidR="0075460E">
        <w:rPr>
          <w:rFonts w:ascii="Times New Roman" w:hAnsi="Times New Roman"/>
        </w:rPr>
        <w:t>the general obstetrical population.</w:t>
      </w:r>
    </w:p>
    <w:p w:rsidR="00747140" w:rsidRDefault="00386F10" w:rsidP="00401213">
      <w:pPr>
        <w:spacing w:line="480" w:lineRule="auto"/>
        <w:rPr>
          <w:rFonts w:ascii="Times New Roman" w:hAnsi="Times New Roman"/>
        </w:rPr>
      </w:pPr>
      <w:r>
        <w:rPr>
          <w:rFonts w:ascii="Times New Roman" w:hAnsi="Times New Roman"/>
        </w:rPr>
        <w:tab/>
      </w:r>
      <w:r w:rsidR="00C650E7">
        <w:rPr>
          <w:rFonts w:ascii="Times New Roman" w:hAnsi="Times New Roman"/>
        </w:rPr>
        <w:t>We found t</w:t>
      </w:r>
      <w:r>
        <w:rPr>
          <w:rFonts w:ascii="Times New Roman" w:hAnsi="Times New Roman"/>
        </w:rPr>
        <w:t xml:space="preserve">he </w:t>
      </w:r>
      <w:r w:rsidR="00CC43F9">
        <w:rPr>
          <w:rFonts w:ascii="Times New Roman" w:hAnsi="Times New Roman"/>
        </w:rPr>
        <w:t xml:space="preserve">maternal </w:t>
      </w:r>
      <w:r>
        <w:rPr>
          <w:rFonts w:ascii="Times New Roman" w:hAnsi="Times New Roman"/>
        </w:rPr>
        <w:t xml:space="preserve">factors </w:t>
      </w:r>
      <w:r w:rsidR="00C650E7">
        <w:rPr>
          <w:rFonts w:ascii="Times New Roman" w:hAnsi="Times New Roman"/>
        </w:rPr>
        <w:t>with the strongest associations</w:t>
      </w:r>
      <w:r>
        <w:rPr>
          <w:rFonts w:ascii="Times New Roman" w:hAnsi="Times New Roman"/>
        </w:rPr>
        <w:t xml:space="preserve"> with a failed induction</w:t>
      </w:r>
      <w:r w:rsidR="0075739B">
        <w:rPr>
          <w:rFonts w:ascii="Times New Roman" w:hAnsi="Times New Roman"/>
        </w:rPr>
        <w:t xml:space="preserve"> in the setting of pre-eclampsia</w:t>
      </w:r>
      <w:r w:rsidR="00851B95">
        <w:rPr>
          <w:rFonts w:ascii="Times New Roman" w:hAnsi="Times New Roman"/>
        </w:rPr>
        <w:t xml:space="preserve"> were primiparit</w:t>
      </w:r>
      <w:r>
        <w:rPr>
          <w:rFonts w:ascii="Times New Roman" w:hAnsi="Times New Roman"/>
        </w:rPr>
        <w:t xml:space="preserve">y </w:t>
      </w:r>
      <w:r w:rsidR="00CC43F9">
        <w:rPr>
          <w:rFonts w:ascii="Times New Roman" w:hAnsi="Times New Roman"/>
        </w:rPr>
        <w:t xml:space="preserve">and </w:t>
      </w:r>
      <w:r>
        <w:rPr>
          <w:rFonts w:ascii="Times New Roman" w:hAnsi="Times New Roman"/>
        </w:rPr>
        <w:t>an unfavorable cervix</w:t>
      </w:r>
      <w:r w:rsidR="00C650E7">
        <w:rPr>
          <w:rFonts w:ascii="Times New Roman" w:hAnsi="Times New Roman"/>
        </w:rPr>
        <w:t xml:space="preserve">.  </w:t>
      </w:r>
      <w:r w:rsidR="00CC43F9">
        <w:rPr>
          <w:rFonts w:ascii="Times New Roman" w:hAnsi="Times New Roman"/>
        </w:rPr>
        <w:t xml:space="preserve">It has been shown that an unfavorable </w:t>
      </w:r>
      <w:r w:rsidR="00C650E7">
        <w:rPr>
          <w:rFonts w:ascii="Times New Roman" w:hAnsi="Times New Roman"/>
        </w:rPr>
        <w:t>B</w:t>
      </w:r>
      <w:r w:rsidR="00CC43F9">
        <w:rPr>
          <w:rFonts w:ascii="Times New Roman" w:hAnsi="Times New Roman"/>
        </w:rPr>
        <w:t xml:space="preserve">ishop score in </w:t>
      </w:r>
      <w:r w:rsidR="00C650E7">
        <w:rPr>
          <w:rFonts w:ascii="Times New Roman" w:hAnsi="Times New Roman"/>
        </w:rPr>
        <w:t>general</w:t>
      </w:r>
      <w:r w:rsidR="00CC43F9">
        <w:rPr>
          <w:rFonts w:ascii="Times New Roman" w:hAnsi="Times New Roman"/>
        </w:rPr>
        <w:t xml:space="preserve"> and </w:t>
      </w:r>
      <w:r w:rsidR="00C650E7">
        <w:rPr>
          <w:rFonts w:ascii="Times New Roman" w:hAnsi="Times New Roman"/>
        </w:rPr>
        <w:t xml:space="preserve">in the setting of </w:t>
      </w:r>
      <w:r w:rsidR="00CC43F9">
        <w:rPr>
          <w:rFonts w:ascii="Times New Roman" w:hAnsi="Times New Roman"/>
        </w:rPr>
        <w:t>pre</w:t>
      </w:r>
      <w:r w:rsidR="00C650E7">
        <w:rPr>
          <w:rFonts w:ascii="Times New Roman" w:hAnsi="Times New Roman"/>
        </w:rPr>
        <w:t>-e</w:t>
      </w:r>
      <w:r w:rsidR="00CC43F9">
        <w:rPr>
          <w:rFonts w:ascii="Times New Roman" w:hAnsi="Times New Roman"/>
        </w:rPr>
        <w:t>clamp</w:t>
      </w:r>
      <w:r w:rsidR="00C650E7">
        <w:rPr>
          <w:rFonts w:ascii="Times New Roman" w:hAnsi="Times New Roman"/>
        </w:rPr>
        <w:t>sia</w:t>
      </w:r>
      <w:r w:rsidR="00CC43F9">
        <w:rPr>
          <w:rFonts w:ascii="Times New Roman" w:hAnsi="Times New Roman"/>
        </w:rPr>
        <w:t xml:space="preserve"> is associated with </w:t>
      </w:r>
      <w:r w:rsidR="0075739B">
        <w:rPr>
          <w:rFonts w:ascii="Times New Roman" w:hAnsi="Times New Roman"/>
        </w:rPr>
        <w:t>higher rates of</w:t>
      </w:r>
      <w:r w:rsidR="00CC43F9">
        <w:rPr>
          <w:rFonts w:ascii="Times New Roman" w:hAnsi="Times New Roman"/>
        </w:rPr>
        <w:t xml:space="preserve"> fa</w:t>
      </w:r>
      <w:r w:rsidR="005B7F55">
        <w:rPr>
          <w:rFonts w:ascii="Times New Roman" w:hAnsi="Times New Roman"/>
        </w:rPr>
        <w:t>iled induction.</w:t>
      </w:r>
      <w:r w:rsidR="001A5DBE">
        <w:rPr>
          <w:rFonts w:ascii="Times New Roman" w:hAnsi="Times New Roman"/>
          <w:vertAlign w:val="superscript"/>
        </w:rPr>
        <w:t>6,1</w:t>
      </w:r>
      <w:r w:rsidR="006A758A">
        <w:rPr>
          <w:rFonts w:ascii="Times New Roman" w:hAnsi="Times New Roman"/>
          <w:vertAlign w:val="superscript"/>
        </w:rPr>
        <w:t>3</w:t>
      </w:r>
      <w:r w:rsidR="00E1404F">
        <w:rPr>
          <w:rFonts w:ascii="Times New Roman" w:hAnsi="Times New Roman"/>
        </w:rPr>
        <w:t xml:space="preserve">  Our study supports that an unfavorable cervix in the setting of pre</w:t>
      </w:r>
      <w:r w:rsidR="001425EE">
        <w:rPr>
          <w:rFonts w:ascii="Times New Roman" w:hAnsi="Times New Roman"/>
        </w:rPr>
        <w:t>-</w:t>
      </w:r>
      <w:r w:rsidR="00E1404F">
        <w:rPr>
          <w:rFonts w:ascii="Times New Roman" w:hAnsi="Times New Roman"/>
        </w:rPr>
        <w:t xml:space="preserve">eclampsia is one of the strongest risk </w:t>
      </w:r>
      <w:r w:rsidR="0075460E">
        <w:rPr>
          <w:rFonts w:ascii="Times New Roman" w:hAnsi="Times New Roman"/>
        </w:rPr>
        <w:t>factors for a fail</w:t>
      </w:r>
      <w:r w:rsidR="0075739B">
        <w:rPr>
          <w:rFonts w:ascii="Times New Roman" w:hAnsi="Times New Roman"/>
        </w:rPr>
        <w:t>ed</w:t>
      </w:r>
      <w:r w:rsidR="0075460E">
        <w:rPr>
          <w:rFonts w:ascii="Times New Roman" w:hAnsi="Times New Roman"/>
        </w:rPr>
        <w:t xml:space="preserve"> induction</w:t>
      </w:r>
      <w:r w:rsidR="00C650E7">
        <w:rPr>
          <w:rFonts w:ascii="Times New Roman" w:hAnsi="Times New Roman"/>
        </w:rPr>
        <w:t>; we found a</w:t>
      </w:r>
      <w:r w:rsidR="001A7201">
        <w:rPr>
          <w:rFonts w:ascii="Times New Roman" w:hAnsi="Times New Roman"/>
        </w:rPr>
        <w:t xml:space="preserve"> </w:t>
      </w:r>
      <w:r w:rsidR="00FF6F1D">
        <w:rPr>
          <w:rFonts w:ascii="Times New Roman" w:hAnsi="Times New Roman"/>
        </w:rPr>
        <w:t>38</w:t>
      </w:r>
      <w:r w:rsidR="00C650E7">
        <w:rPr>
          <w:rFonts w:ascii="Times New Roman" w:hAnsi="Times New Roman"/>
        </w:rPr>
        <w:t xml:space="preserve">% increase in cesarean delivery when the </w:t>
      </w:r>
      <w:r w:rsidR="001A7201">
        <w:rPr>
          <w:rFonts w:ascii="Times New Roman" w:hAnsi="Times New Roman"/>
        </w:rPr>
        <w:t>cervix was unf</w:t>
      </w:r>
      <w:r w:rsidR="00FF6F1D">
        <w:rPr>
          <w:rFonts w:ascii="Times New Roman" w:hAnsi="Times New Roman"/>
        </w:rPr>
        <w:t>avorable, aOR 1.3</w:t>
      </w:r>
      <w:r w:rsidR="001A7201">
        <w:rPr>
          <w:rFonts w:ascii="Times New Roman" w:hAnsi="Times New Roman"/>
        </w:rPr>
        <w:t>8</w:t>
      </w:r>
      <w:r w:rsidR="00C650E7">
        <w:rPr>
          <w:rFonts w:ascii="Times New Roman" w:hAnsi="Times New Roman"/>
        </w:rPr>
        <w:t xml:space="preserve"> (</w:t>
      </w:r>
      <w:r w:rsidR="006C2A48">
        <w:rPr>
          <w:rFonts w:ascii="Times New Roman" w:hAnsi="Times New Roman"/>
        </w:rPr>
        <w:t>95%</w:t>
      </w:r>
      <w:r w:rsidR="0075739B">
        <w:rPr>
          <w:rFonts w:ascii="Times New Roman" w:hAnsi="Times New Roman"/>
        </w:rPr>
        <w:t xml:space="preserve">CI </w:t>
      </w:r>
      <w:r w:rsidR="00FF6F1D">
        <w:rPr>
          <w:rFonts w:ascii="Times New Roman" w:hAnsi="Times New Roman"/>
        </w:rPr>
        <w:t>1.09-1.75</w:t>
      </w:r>
      <w:r w:rsidR="00C650E7">
        <w:rPr>
          <w:rFonts w:ascii="Times New Roman" w:hAnsi="Times New Roman"/>
        </w:rPr>
        <w:t>)</w:t>
      </w:r>
      <w:r w:rsidR="0075460E">
        <w:rPr>
          <w:rFonts w:ascii="Times New Roman" w:hAnsi="Times New Roman"/>
        </w:rPr>
        <w:t>.</w:t>
      </w:r>
      <w:r w:rsidR="005C2097">
        <w:rPr>
          <w:rFonts w:ascii="Times New Roman" w:hAnsi="Times New Roman"/>
        </w:rPr>
        <w:t xml:space="preserve">  Another important maternal factor that is associated with failed induction is primiparity</w:t>
      </w:r>
      <w:r w:rsidR="001425EE">
        <w:rPr>
          <w:rFonts w:ascii="Times New Roman" w:hAnsi="Times New Roman"/>
        </w:rPr>
        <w:t>,</w:t>
      </w:r>
      <w:r w:rsidR="005C2097">
        <w:rPr>
          <w:rFonts w:ascii="Times New Roman" w:hAnsi="Times New Roman"/>
        </w:rPr>
        <w:t xml:space="preserve"> which increased the risk for cesarean</w:t>
      </w:r>
      <w:r w:rsidR="0075739B">
        <w:rPr>
          <w:rFonts w:ascii="Times New Roman" w:hAnsi="Times New Roman"/>
        </w:rPr>
        <w:t xml:space="preserve"> delivery by</w:t>
      </w:r>
      <w:r w:rsidR="006E732A">
        <w:rPr>
          <w:rFonts w:ascii="Times New Roman" w:hAnsi="Times New Roman"/>
        </w:rPr>
        <w:t xml:space="preserve"> </w:t>
      </w:r>
      <w:r w:rsidR="006C2A48">
        <w:rPr>
          <w:rFonts w:ascii="Times New Roman" w:hAnsi="Times New Roman"/>
        </w:rPr>
        <w:t>54</w:t>
      </w:r>
      <w:r w:rsidR="00D644DD">
        <w:rPr>
          <w:rFonts w:ascii="Times New Roman" w:hAnsi="Times New Roman"/>
        </w:rPr>
        <w:t>%, aOR 1.</w:t>
      </w:r>
      <w:r w:rsidR="00FF6F1D">
        <w:rPr>
          <w:rFonts w:ascii="Times New Roman" w:hAnsi="Times New Roman"/>
        </w:rPr>
        <w:t>54</w:t>
      </w:r>
      <w:r w:rsidR="00F2268C">
        <w:rPr>
          <w:rFonts w:ascii="Times New Roman" w:hAnsi="Times New Roman"/>
        </w:rPr>
        <w:t xml:space="preserve"> (95%CI </w:t>
      </w:r>
      <w:r w:rsidR="00FF6F1D">
        <w:rPr>
          <w:rFonts w:ascii="Times New Roman" w:hAnsi="Times New Roman"/>
        </w:rPr>
        <w:t>1.20-1.99</w:t>
      </w:r>
      <w:r w:rsidR="005C2097">
        <w:rPr>
          <w:rFonts w:ascii="Times New Roman" w:hAnsi="Times New Roman"/>
        </w:rPr>
        <w:t>).  This is also consistent with data</w:t>
      </w:r>
      <w:r w:rsidR="001425EE">
        <w:rPr>
          <w:rFonts w:ascii="Times New Roman" w:hAnsi="Times New Roman"/>
        </w:rPr>
        <w:t xml:space="preserve"> regarding failed induction in the general obstetrical population.</w:t>
      </w:r>
      <w:r w:rsidR="001A5DBE">
        <w:rPr>
          <w:rFonts w:ascii="Times New Roman" w:hAnsi="Times New Roman"/>
          <w:vertAlign w:val="superscript"/>
        </w:rPr>
        <w:t xml:space="preserve">6  </w:t>
      </w:r>
      <w:r w:rsidR="005B7F55">
        <w:rPr>
          <w:rFonts w:ascii="Times New Roman" w:hAnsi="Times New Roman"/>
          <w:vertAlign w:val="superscript"/>
        </w:rPr>
        <w:t xml:space="preserve"> </w:t>
      </w:r>
      <w:r w:rsidR="0075739B">
        <w:rPr>
          <w:rFonts w:ascii="Times New Roman" w:hAnsi="Times New Roman"/>
        </w:rPr>
        <w:t>Several maternal factors were not associated with failed labor induction including o</w:t>
      </w:r>
      <w:r w:rsidR="00E1404F">
        <w:rPr>
          <w:rFonts w:ascii="Times New Roman" w:hAnsi="Times New Roman"/>
        </w:rPr>
        <w:t>besity</w:t>
      </w:r>
      <w:r w:rsidR="0075739B">
        <w:rPr>
          <w:rFonts w:ascii="Times New Roman" w:hAnsi="Times New Roman"/>
        </w:rPr>
        <w:t xml:space="preserve"> and excessive weight gain.  </w:t>
      </w:r>
      <w:r w:rsidR="00F2268C">
        <w:rPr>
          <w:rFonts w:ascii="Times New Roman" w:hAnsi="Times New Roman"/>
        </w:rPr>
        <w:t>Our study did not find a significant association between obesity and failed labor in the setting of pre-eclamps</w:t>
      </w:r>
      <w:r w:rsidR="001A7201">
        <w:rPr>
          <w:rFonts w:ascii="Times New Roman" w:hAnsi="Times New Roman"/>
        </w:rPr>
        <w:t xml:space="preserve">ia (aOR </w:t>
      </w:r>
      <w:r w:rsidR="00FF6F1D">
        <w:rPr>
          <w:rFonts w:ascii="Times New Roman" w:hAnsi="Times New Roman"/>
        </w:rPr>
        <w:t>1.01</w:t>
      </w:r>
      <w:r w:rsidR="006C2A48">
        <w:rPr>
          <w:rFonts w:ascii="Times New Roman" w:hAnsi="Times New Roman"/>
        </w:rPr>
        <w:t>, 95%</w:t>
      </w:r>
      <w:r w:rsidR="00F2268C">
        <w:rPr>
          <w:rFonts w:ascii="Times New Roman" w:hAnsi="Times New Roman"/>
        </w:rPr>
        <w:t xml:space="preserve">CI </w:t>
      </w:r>
      <w:r w:rsidR="00FF6F1D">
        <w:rPr>
          <w:rFonts w:ascii="Times New Roman" w:hAnsi="Times New Roman"/>
        </w:rPr>
        <w:t>0.80-1.28</w:t>
      </w:r>
      <w:r w:rsidR="00F2268C">
        <w:rPr>
          <w:rFonts w:ascii="Times New Roman" w:hAnsi="Times New Roman"/>
        </w:rPr>
        <w:t>), however o</w:t>
      </w:r>
      <w:r w:rsidR="0075739B">
        <w:rPr>
          <w:rFonts w:ascii="Times New Roman" w:hAnsi="Times New Roman"/>
        </w:rPr>
        <w:t>besity has been previously reported to increase the risk for failed</w:t>
      </w:r>
      <w:r w:rsidR="00F2268C">
        <w:rPr>
          <w:rFonts w:ascii="Times New Roman" w:hAnsi="Times New Roman"/>
        </w:rPr>
        <w:t xml:space="preserve"> induction</w:t>
      </w:r>
      <w:r w:rsidR="00851B95">
        <w:rPr>
          <w:rFonts w:ascii="Times New Roman" w:hAnsi="Times New Roman"/>
        </w:rPr>
        <w:t xml:space="preserve"> in pre-eclampsia, but</w:t>
      </w:r>
      <w:r w:rsidR="00F2268C">
        <w:rPr>
          <w:rFonts w:ascii="Times New Roman" w:hAnsi="Times New Roman"/>
        </w:rPr>
        <w:t xml:space="preserve"> with </w:t>
      </w:r>
      <w:r w:rsidR="002974DF">
        <w:rPr>
          <w:rFonts w:ascii="Times New Roman" w:hAnsi="Times New Roman"/>
        </w:rPr>
        <w:t>only a modest increase</w:t>
      </w:r>
      <w:r w:rsidR="00A12A64">
        <w:rPr>
          <w:rFonts w:ascii="Times New Roman" w:hAnsi="Times New Roman"/>
        </w:rPr>
        <w:t xml:space="preserve"> in risk</w:t>
      </w:r>
      <w:r w:rsidR="006C2A48">
        <w:rPr>
          <w:rFonts w:ascii="Times New Roman" w:hAnsi="Times New Roman"/>
        </w:rPr>
        <w:t xml:space="preserve"> (aOR 1.16, 95%</w:t>
      </w:r>
      <w:r w:rsidR="002974DF">
        <w:rPr>
          <w:rFonts w:ascii="Times New Roman" w:hAnsi="Times New Roman"/>
        </w:rPr>
        <w:t>CI 1.04-1.31)</w:t>
      </w:r>
      <w:r w:rsidR="00F2268C">
        <w:rPr>
          <w:rFonts w:ascii="Times New Roman" w:hAnsi="Times New Roman"/>
        </w:rPr>
        <w:t>.</w:t>
      </w:r>
      <w:r w:rsidR="001A5DBE">
        <w:rPr>
          <w:rFonts w:ascii="Times New Roman" w:hAnsi="Times New Roman"/>
          <w:vertAlign w:val="superscript"/>
        </w:rPr>
        <w:t>8</w:t>
      </w:r>
      <w:r w:rsidR="00F2268C">
        <w:rPr>
          <w:rFonts w:ascii="Times New Roman" w:hAnsi="Times New Roman"/>
        </w:rPr>
        <w:t xml:space="preserve">  A key difference between our analysis and this study is that Robinson et al</w:t>
      </w:r>
      <w:r w:rsidR="00FF6F1D">
        <w:rPr>
          <w:rFonts w:ascii="Times New Roman" w:hAnsi="Times New Roman"/>
        </w:rPr>
        <w:t xml:space="preserve"> categorized obesity in five </w:t>
      </w:r>
      <w:r w:rsidR="002974DF">
        <w:rPr>
          <w:rFonts w:ascii="Times New Roman" w:hAnsi="Times New Roman"/>
        </w:rPr>
        <w:t xml:space="preserve">unit increasing increments, </w:t>
      </w:r>
      <w:r w:rsidR="00F2268C">
        <w:rPr>
          <w:rFonts w:ascii="Times New Roman" w:hAnsi="Times New Roman"/>
        </w:rPr>
        <w:t xml:space="preserve">while we classified </w:t>
      </w:r>
      <w:r w:rsidR="001425EE">
        <w:rPr>
          <w:rFonts w:ascii="Times New Roman" w:hAnsi="Times New Roman"/>
        </w:rPr>
        <w:t>categorically</w:t>
      </w:r>
      <w:r w:rsidR="00F2268C">
        <w:rPr>
          <w:rFonts w:ascii="Times New Roman" w:hAnsi="Times New Roman"/>
        </w:rPr>
        <w:t xml:space="preserve"> as</w:t>
      </w:r>
      <w:r w:rsidR="002974DF">
        <w:rPr>
          <w:rFonts w:ascii="Times New Roman" w:hAnsi="Times New Roman"/>
        </w:rPr>
        <w:t xml:space="preserve"> obese versus non-obese.  We know of no prior studies looking at excessive weight gain and induction failure in the setting of pre-eclampsia.</w:t>
      </w:r>
    </w:p>
    <w:p w:rsidR="00FE2E65" w:rsidRDefault="00747140" w:rsidP="00401213">
      <w:pPr>
        <w:spacing w:line="480" w:lineRule="auto"/>
        <w:rPr>
          <w:rFonts w:ascii="Times New Roman" w:hAnsi="Times New Roman"/>
        </w:rPr>
      </w:pPr>
      <w:r>
        <w:rPr>
          <w:rFonts w:ascii="Times New Roman" w:hAnsi="Times New Roman"/>
        </w:rPr>
        <w:lastRenderedPageBreak/>
        <w:tab/>
      </w:r>
      <w:r w:rsidR="002974DF">
        <w:rPr>
          <w:rFonts w:ascii="Times New Roman" w:hAnsi="Times New Roman"/>
        </w:rPr>
        <w:t>Complication</w:t>
      </w:r>
      <w:r w:rsidR="00650944">
        <w:rPr>
          <w:rFonts w:ascii="Times New Roman" w:hAnsi="Times New Roman"/>
        </w:rPr>
        <w:t>s</w:t>
      </w:r>
      <w:r w:rsidR="002974DF">
        <w:rPr>
          <w:rFonts w:ascii="Times New Roman" w:hAnsi="Times New Roman"/>
        </w:rPr>
        <w:t xml:space="preserve"> unique to pre-eclampsia, such as </w:t>
      </w:r>
      <w:r w:rsidR="00BC4DDF">
        <w:rPr>
          <w:rFonts w:ascii="Times New Roman" w:hAnsi="Times New Roman"/>
        </w:rPr>
        <w:t>severity of disease, need for intravenous</w:t>
      </w:r>
      <w:r w:rsidR="002974DF">
        <w:rPr>
          <w:rFonts w:ascii="Times New Roman" w:hAnsi="Times New Roman"/>
        </w:rPr>
        <w:t xml:space="preserve"> </w:t>
      </w:r>
      <w:r w:rsidR="00650944">
        <w:rPr>
          <w:rFonts w:ascii="Times New Roman" w:hAnsi="Times New Roman"/>
        </w:rPr>
        <w:t>anti</w:t>
      </w:r>
      <w:r w:rsidR="00054AAF">
        <w:rPr>
          <w:rFonts w:ascii="Times New Roman" w:hAnsi="Times New Roman"/>
        </w:rPr>
        <w:t>-</w:t>
      </w:r>
      <w:r w:rsidR="00650944">
        <w:rPr>
          <w:rFonts w:ascii="Times New Roman" w:hAnsi="Times New Roman"/>
        </w:rPr>
        <w:t>hypertensives</w:t>
      </w:r>
      <w:r w:rsidR="002974DF">
        <w:rPr>
          <w:rFonts w:ascii="Times New Roman" w:hAnsi="Times New Roman"/>
        </w:rPr>
        <w:t xml:space="preserve"> for severe hypertension, and major complications such as eclampsia, renal failure, HELLP </w:t>
      </w:r>
      <w:r w:rsidR="00F51119">
        <w:rPr>
          <w:rFonts w:ascii="Times New Roman" w:hAnsi="Times New Roman"/>
        </w:rPr>
        <w:t xml:space="preserve">syndrome, pulmonary edema, </w:t>
      </w:r>
      <w:r w:rsidR="002974DF">
        <w:rPr>
          <w:rFonts w:ascii="Times New Roman" w:hAnsi="Times New Roman"/>
        </w:rPr>
        <w:t xml:space="preserve">may also influence the rate of successful induction.  </w:t>
      </w:r>
      <w:r w:rsidR="00650944">
        <w:rPr>
          <w:rFonts w:ascii="Times New Roman" w:hAnsi="Times New Roman"/>
        </w:rPr>
        <w:t>Some</w:t>
      </w:r>
      <w:r w:rsidR="002974DF">
        <w:rPr>
          <w:rFonts w:ascii="Times New Roman" w:hAnsi="Times New Roman"/>
        </w:rPr>
        <w:t xml:space="preserve"> patients with these co-morbidities were not induced at the discretion of their managing provider, however our analysis only included those that initiated the induction process. </w:t>
      </w:r>
      <w:r w:rsidR="00650944">
        <w:rPr>
          <w:rFonts w:ascii="Times New Roman" w:hAnsi="Times New Roman"/>
        </w:rPr>
        <w:t xml:space="preserve"> </w:t>
      </w:r>
      <w:r w:rsidR="00650944" w:rsidRPr="00650944">
        <w:rPr>
          <w:rFonts w:ascii="Times New Roman" w:hAnsi="Times New Roman"/>
        </w:rPr>
        <w:t>It als</w:t>
      </w:r>
      <w:r w:rsidR="00851B95">
        <w:rPr>
          <w:rFonts w:ascii="Times New Roman" w:hAnsi="Times New Roman"/>
        </w:rPr>
        <w:t>o should be noted out of the</w:t>
      </w:r>
      <w:r w:rsidR="00650944" w:rsidRPr="00650944">
        <w:rPr>
          <w:rFonts w:ascii="Times New Roman" w:hAnsi="Times New Roman"/>
        </w:rPr>
        <w:t xml:space="preserve"> patients who were not induced, pre</w:t>
      </w:r>
      <w:r w:rsidR="00377DD5">
        <w:rPr>
          <w:rFonts w:ascii="Times New Roman" w:hAnsi="Times New Roman"/>
        </w:rPr>
        <w:t>-</w:t>
      </w:r>
      <w:r w:rsidR="00650944" w:rsidRPr="00650944">
        <w:rPr>
          <w:rFonts w:ascii="Times New Roman" w:hAnsi="Times New Roman"/>
        </w:rPr>
        <w:t>eclampsia wa</w:t>
      </w:r>
      <w:r w:rsidR="00C1793E">
        <w:rPr>
          <w:rFonts w:ascii="Times New Roman" w:hAnsi="Times New Roman"/>
        </w:rPr>
        <w:t>s the sole indication for only 9</w:t>
      </w:r>
      <w:r w:rsidR="00650944" w:rsidRPr="00650944">
        <w:rPr>
          <w:rFonts w:ascii="Times New Roman" w:hAnsi="Times New Roman"/>
        </w:rPr>
        <w:t>% of these patients</w:t>
      </w:r>
      <w:r w:rsidR="00650944">
        <w:rPr>
          <w:rFonts w:ascii="Times New Roman" w:hAnsi="Times New Roman"/>
        </w:rPr>
        <w:t>, indicating a high rate of attempted induction regardless of severity of disease</w:t>
      </w:r>
      <w:r w:rsidR="00650944" w:rsidRPr="00650944">
        <w:rPr>
          <w:rFonts w:ascii="Times New Roman" w:hAnsi="Times New Roman"/>
        </w:rPr>
        <w:t xml:space="preserve">. </w:t>
      </w:r>
      <w:r w:rsidR="002974DF">
        <w:rPr>
          <w:rFonts w:ascii="Times New Roman" w:hAnsi="Times New Roman"/>
        </w:rPr>
        <w:t xml:space="preserve">  We did not find the pre</w:t>
      </w:r>
      <w:r w:rsidR="00650944">
        <w:rPr>
          <w:rFonts w:ascii="Times New Roman" w:hAnsi="Times New Roman"/>
        </w:rPr>
        <w:t>sence of severe</w:t>
      </w:r>
      <w:r w:rsidR="002974DF">
        <w:rPr>
          <w:rFonts w:ascii="Times New Roman" w:hAnsi="Times New Roman"/>
        </w:rPr>
        <w:t xml:space="preserve"> pre-eclampsia</w:t>
      </w:r>
      <w:r w:rsidR="00650944">
        <w:rPr>
          <w:rFonts w:ascii="Times New Roman" w:hAnsi="Times New Roman"/>
        </w:rPr>
        <w:t xml:space="preserve"> or major complications of pre-eclampsia</w:t>
      </w:r>
      <w:r w:rsidR="002974DF">
        <w:rPr>
          <w:rFonts w:ascii="Times New Roman" w:hAnsi="Times New Roman"/>
        </w:rPr>
        <w:t xml:space="preserve"> to increase the rate of failed induction significantly.  </w:t>
      </w:r>
      <w:r w:rsidR="00650944">
        <w:rPr>
          <w:rFonts w:ascii="Times New Roman" w:hAnsi="Times New Roman"/>
        </w:rPr>
        <w:t>Severity of disease demonstrat</w:t>
      </w:r>
      <w:r w:rsidR="006E732A">
        <w:rPr>
          <w:rFonts w:ascii="Times New Roman" w:hAnsi="Times New Roman"/>
        </w:rPr>
        <w:t xml:space="preserve">ed significance </w:t>
      </w:r>
      <w:r w:rsidR="00650944">
        <w:rPr>
          <w:rFonts w:ascii="Times New Roman" w:hAnsi="Times New Roman"/>
        </w:rPr>
        <w:t xml:space="preserve">OR </w:t>
      </w:r>
      <w:r w:rsidR="00650944" w:rsidRPr="00650944">
        <w:rPr>
          <w:rFonts w:ascii="Times New Roman" w:hAnsi="Times New Roman"/>
        </w:rPr>
        <w:t>1.</w:t>
      </w:r>
      <w:r w:rsidR="00C1793E">
        <w:rPr>
          <w:rFonts w:ascii="Times New Roman" w:hAnsi="Times New Roman"/>
        </w:rPr>
        <w:t>28</w:t>
      </w:r>
      <w:r w:rsidR="00BC4DDF">
        <w:rPr>
          <w:rFonts w:ascii="Times New Roman" w:hAnsi="Times New Roman"/>
        </w:rPr>
        <w:t xml:space="preserve"> (95%</w:t>
      </w:r>
      <w:r w:rsidR="00650944">
        <w:rPr>
          <w:rFonts w:ascii="Times New Roman" w:hAnsi="Times New Roman"/>
        </w:rPr>
        <w:t>CI</w:t>
      </w:r>
      <w:r w:rsidR="001A5DBE">
        <w:rPr>
          <w:rFonts w:ascii="Times New Roman" w:hAnsi="Times New Roman"/>
        </w:rPr>
        <w:t xml:space="preserve"> </w:t>
      </w:r>
      <w:r w:rsidR="00C1793E">
        <w:rPr>
          <w:rFonts w:ascii="Times New Roman" w:hAnsi="Times New Roman"/>
        </w:rPr>
        <w:t>1.03-1.60</w:t>
      </w:r>
      <w:r w:rsidR="00650944">
        <w:rPr>
          <w:rFonts w:ascii="Times New Roman" w:hAnsi="Times New Roman"/>
        </w:rPr>
        <w:t>) until post hoc analysis controlling for confoundin</w:t>
      </w:r>
      <w:r w:rsidR="006E732A">
        <w:rPr>
          <w:rFonts w:ascii="Times New Roman" w:hAnsi="Times New Roman"/>
        </w:rPr>
        <w:t>g variables negated this trend aOR</w:t>
      </w:r>
      <w:r w:rsidR="00C81BC2">
        <w:rPr>
          <w:rFonts w:ascii="Times New Roman" w:hAnsi="Times New Roman"/>
        </w:rPr>
        <w:t xml:space="preserve"> </w:t>
      </w:r>
      <w:r w:rsidR="00C1793E">
        <w:rPr>
          <w:rFonts w:ascii="Times New Roman" w:hAnsi="Times New Roman"/>
        </w:rPr>
        <w:t>1.14</w:t>
      </w:r>
      <w:r w:rsidR="00BC4DDF">
        <w:rPr>
          <w:rFonts w:ascii="Times New Roman" w:hAnsi="Times New Roman"/>
        </w:rPr>
        <w:t xml:space="preserve"> (95%</w:t>
      </w:r>
      <w:r w:rsidR="006E732A">
        <w:rPr>
          <w:rFonts w:ascii="Times New Roman" w:hAnsi="Times New Roman"/>
        </w:rPr>
        <w:t xml:space="preserve">CI </w:t>
      </w:r>
      <w:r w:rsidR="00C1793E">
        <w:rPr>
          <w:rFonts w:ascii="Times New Roman" w:hAnsi="Times New Roman"/>
        </w:rPr>
        <w:t>0.85-1.53</w:t>
      </w:r>
      <w:r w:rsidR="00650944">
        <w:rPr>
          <w:rFonts w:ascii="Times New Roman" w:hAnsi="Times New Roman"/>
        </w:rPr>
        <w:t>).   A similar effect was found with major complications of pre-eclampsia such as those listed above.</w:t>
      </w:r>
      <w:r w:rsidR="002B2628">
        <w:rPr>
          <w:rFonts w:ascii="Times New Roman" w:hAnsi="Times New Roman"/>
        </w:rPr>
        <w:t xml:space="preserve"> </w:t>
      </w:r>
    </w:p>
    <w:p w:rsidR="00CC43F9" w:rsidRPr="00E1404F" w:rsidRDefault="00FE2E65" w:rsidP="00401213">
      <w:pPr>
        <w:spacing w:line="480" w:lineRule="auto"/>
        <w:rPr>
          <w:rFonts w:ascii="Times New Roman" w:hAnsi="Times New Roman"/>
        </w:rPr>
      </w:pPr>
      <w:r>
        <w:rPr>
          <w:rFonts w:ascii="Times New Roman" w:hAnsi="Times New Roman"/>
        </w:rPr>
        <w:tab/>
        <w:t xml:space="preserve">Another obstacle in inducing </w:t>
      </w:r>
      <w:r w:rsidR="00F51119">
        <w:rPr>
          <w:rFonts w:ascii="Times New Roman" w:hAnsi="Times New Roman"/>
        </w:rPr>
        <w:t xml:space="preserve">patients with pre-eclampsia </w:t>
      </w:r>
      <w:r>
        <w:rPr>
          <w:rFonts w:ascii="Times New Roman" w:hAnsi="Times New Roman"/>
        </w:rPr>
        <w:t>is often the premature gestational age</w:t>
      </w:r>
      <w:r w:rsidR="00650944">
        <w:rPr>
          <w:rFonts w:ascii="Times New Roman" w:hAnsi="Times New Roman"/>
        </w:rPr>
        <w:t xml:space="preserve"> at the time delivery is indicated</w:t>
      </w:r>
      <w:r>
        <w:rPr>
          <w:rFonts w:ascii="Times New Roman" w:hAnsi="Times New Roman"/>
        </w:rPr>
        <w:t xml:space="preserve">.  Nassar et al demonstrated that 48% of patients </w:t>
      </w:r>
      <w:r w:rsidR="00EE0F74">
        <w:rPr>
          <w:rFonts w:ascii="Times New Roman" w:hAnsi="Times New Roman"/>
        </w:rPr>
        <w:t>at less than 34 weeks being induced for pre-eclampsia</w:t>
      </w:r>
      <w:r>
        <w:rPr>
          <w:rFonts w:ascii="Times New Roman" w:hAnsi="Times New Roman"/>
        </w:rPr>
        <w:t xml:space="preserve"> </w:t>
      </w:r>
      <w:r w:rsidR="00077CEE">
        <w:rPr>
          <w:rFonts w:ascii="Times New Roman" w:hAnsi="Times New Roman"/>
        </w:rPr>
        <w:t>had a successful vaginal delivery</w:t>
      </w:r>
      <w:r w:rsidR="00EE0F74">
        <w:rPr>
          <w:rFonts w:ascii="Times New Roman" w:hAnsi="Times New Roman"/>
        </w:rPr>
        <w:t>,</w:t>
      </w:r>
      <w:r w:rsidR="00077CEE">
        <w:rPr>
          <w:rFonts w:ascii="Times New Roman" w:hAnsi="Times New Roman"/>
        </w:rPr>
        <w:t xml:space="preserve"> and that a favorable Bishop score was best predictor of success.</w:t>
      </w:r>
      <w:r w:rsidR="00F51119">
        <w:rPr>
          <w:rFonts w:ascii="Times New Roman" w:hAnsi="Times New Roman"/>
          <w:vertAlign w:val="superscript"/>
        </w:rPr>
        <w:t>1</w:t>
      </w:r>
      <w:r w:rsidR="006A758A">
        <w:rPr>
          <w:rFonts w:ascii="Times New Roman" w:hAnsi="Times New Roman"/>
          <w:vertAlign w:val="superscript"/>
        </w:rPr>
        <w:t>5</w:t>
      </w:r>
      <w:r w:rsidR="00077CEE">
        <w:rPr>
          <w:rFonts w:ascii="Times New Roman" w:hAnsi="Times New Roman"/>
        </w:rPr>
        <w:t xml:space="preserve">  Our study demonstrated that </w:t>
      </w:r>
      <w:r w:rsidR="00EE0F74">
        <w:rPr>
          <w:rFonts w:ascii="Times New Roman" w:hAnsi="Times New Roman"/>
        </w:rPr>
        <w:t>preterm delivery</w:t>
      </w:r>
      <w:r w:rsidR="00077CEE">
        <w:rPr>
          <w:rFonts w:ascii="Times New Roman" w:hAnsi="Times New Roman"/>
        </w:rPr>
        <w:t xml:space="preserve"> (&lt;37 weeks)</w:t>
      </w:r>
      <w:r w:rsidR="00EE0F74">
        <w:rPr>
          <w:rFonts w:ascii="Times New Roman" w:hAnsi="Times New Roman"/>
        </w:rPr>
        <w:t xml:space="preserve"> and early preterm delivery (&lt;34 weeks)</w:t>
      </w:r>
      <w:r w:rsidR="00077CEE">
        <w:rPr>
          <w:rFonts w:ascii="Times New Roman" w:hAnsi="Times New Roman"/>
        </w:rPr>
        <w:t xml:space="preserve"> w</w:t>
      </w:r>
      <w:r w:rsidR="00F2268C">
        <w:rPr>
          <w:rFonts w:ascii="Times New Roman" w:hAnsi="Times New Roman"/>
        </w:rPr>
        <w:t>ere</w:t>
      </w:r>
      <w:r w:rsidR="00077CEE">
        <w:rPr>
          <w:rFonts w:ascii="Times New Roman" w:hAnsi="Times New Roman"/>
        </w:rPr>
        <w:t xml:space="preserve"> not associated with a</w:t>
      </w:r>
      <w:r w:rsidR="00EE0F74">
        <w:rPr>
          <w:rFonts w:ascii="Times New Roman" w:hAnsi="Times New Roman"/>
        </w:rPr>
        <w:t xml:space="preserve"> higher rate of</w:t>
      </w:r>
      <w:r w:rsidR="00077CEE">
        <w:rPr>
          <w:rFonts w:ascii="Times New Roman" w:hAnsi="Times New Roman"/>
        </w:rPr>
        <w:t xml:space="preserve"> failed induction. Blackwell et al found a 68% rate of successful inductions in preterm patients from 32-34 weeks gestation</w:t>
      </w:r>
      <w:r w:rsidR="00EE0F74">
        <w:rPr>
          <w:rFonts w:ascii="Times New Roman" w:hAnsi="Times New Roman"/>
        </w:rPr>
        <w:t>, with higher rates of failure at earlier gestational ages</w:t>
      </w:r>
      <w:r w:rsidR="00077CEE">
        <w:rPr>
          <w:rFonts w:ascii="Times New Roman" w:hAnsi="Times New Roman"/>
        </w:rPr>
        <w:t>.</w:t>
      </w:r>
      <w:r w:rsidR="00F51119">
        <w:rPr>
          <w:rFonts w:ascii="Times New Roman" w:hAnsi="Times New Roman"/>
          <w:vertAlign w:val="superscript"/>
        </w:rPr>
        <w:t>1</w:t>
      </w:r>
      <w:r w:rsidR="006A758A">
        <w:rPr>
          <w:rFonts w:ascii="Times New Roman" w:hAnsi="Times New Roman"/>
          <w:vertAlign w:val="superscript"/>
        </w:rPr>
        <w:t>6</w:t>
      </w:r>
      <w:r w:rsidR="00077CEE">
        <w:rPr>
          <w:rFonts w:ascii="Times New Roman" w:hAnsi="Times New Roman"/>
        </w:rPr>
        <w:t xml:space="preserve"> Our data are similar, with a </w:t>
      </w:r>
      <w:r w:rsidR="00C1793E">
        <w:rPr>
          <w:rFonts w:ascii="Times New Roman" w:hAnsi="Times New Roman"/>
        </w:rPr>
        <w:t>54</w:t>
      </w:r>
      <w:r w:rsidR="00077CEE">
        <w:rPr>
          <w:rFonts w:ascii="Times New Roman" w:hAnsi="Times New Roman"/>
        </w:rPr>
        <w:t xml:space="preserve">% </w:t>
      </w:r>
      <w:r w:rsidR="00EE0F74">
        <w:rPr>
          <w:rFonts w:ascii="Times New Roman" w:hAnsi="Times New Roman"/>
        </w:rPr>
        <w:t xml:space="preserve">rate </w:t>
      </w:r>
      <w:r w:rsidR="00077CEE">
        <w:rPr>
          <w:rFonts w:ascii="Times New Roman" w:hAnsi="Times New Roman"/>
        </w:rPr>
        <w:t>of succe</w:t>
      </w:r>
      <w:r w:rsidR="00456515">
        <w:rPr>
          <w:rFonts w:ascii="Times New Roman" w:hAnsi="Times New Roman"/>
        </w:rPr>
        <w:t>ssful induction</w:t>
      </w:r>
      <w:r w:rsidR="00EE0F74">
        <w:rPr>
          <w:rFonts w:ascii="Times New Roman" w:hAnsi="Times New Roman"/>
        </w:rPr>
        <w:t xml:space="preserve"> </w:t>
      </w:r>
      <w:r w:rsidR="00F2268C">
        <w:rPr>
          <w:rFonts w:ascii="Times New Roman" w:hAnsi="Times New Roman"/>
        </w:rPr>
        <w:t xml:space="preserve">in all patients delivered at </w:t>
      </w:r>
      <w:r w:rsidR="00EE0F74">
        <w:rPr>
          <w:rFonts w:ascii="Times New Roman" w:hAnsi="Times New Roman"/>
        </w:rPr>
        <w:t xml:space="preserve">less than 34 weeks, however this rate was </w:t>
      </w:r>
      <w:r w:rsidR="00EE0F74">
        <w:rPr>
          <w:rFonts w:ascii="Times New Roman" w:hAnsi="Times New Roman"/>
        </w:rPr>
        <w:lastRenderedPageBreak/>
        <w:t xml:space="preserve">not statistically significant when compared to those over 34 weeks, </w:t>
      </w:r>
      <w:r w:rsidR="00F2268C">
        <w:rPr>
          <w:rFonts w:ascii="Times New Roman" w:hAnsi="Times New Roman"/>
        </w:rPr>
        <w:t>a</w:t>
      </w:r>
      <w:r w:rsidR="00EE0F74">
        <w:rPr>
          <w:rFonts w:ascii="Times New Roman" w:hAnsi="Times New Roman"/>
        </w:rPr>
        <w:t>OR</w:t>
      </w:r>
      <w:r w:rsidR="00EE0F74" w:rsidRPr="00EE0F74">
        <w:t xml:space="preserve"> </w:t>
      </w:r>
      <w:r w:rsidR="00C1793E">
        <w:rPr>
          <w:rFonts w:ascii="Times New Roman" w:hAnsi="Times New Roman"/>
        </w:rPr>
        <w:t>1.27</w:t>
      </w:r>
      <w:r w:rsidR="00EE0F74">
        <w:rPr>
          <w:rFonts w:ascii="Times New Roman" w:hAnsi="Times New Roman"/>
        </w:rPr>
        <w:t xml:space="preserve"> (95% CI </w:t>
      </w:r>
      <w:r w:rsidR="00C1793E">
        <w:rPr>
          <w:rFonts w:ascii="Times New Roman" w:hAnsi="Times New Roman"/>
        </w:rPr>
        <w:t>0.95-1.68</w:t>
      </w:r>
      <w:r w:rsidR="00EE0F74">
        <w:rPr>
          <w:rFonts w:ascii="Times New Roman" w:hAnsi="Times New Roman"/>
        </w:rPr>
        <w:t xml:space="preserve">).  </w:t>
      </w:r>
      <w:r w:rsidR="00456515">
        <w:rPr>
          <w:rFonts w:ascii="Times New Roman" w:hAnsi="Times New Roman"/>
        </w:rPr>
        <w:t xml:space="preserve"> </w:t>
      </w:r>
    </w:p>
    <w:p w:rsidR="00B92735" w:rsidRDefault="00456515" w:rsidP="00401213">
      <w:pPr>
        <w:spacing w:line="480" w:lineRule="auto"/>
        <w:rPr>
          <w:rFonts w:ascii="Times New Roman" w:hAnsi="Times New Roman"/>
        </w:rPr>
      </w:pPr>
      <w:r>
        <w:rPr>
          <w:rFonts w:ascii="Times New Roman" w:hAnsi="Times New Roman"/>
        </w:rPr>
        <w:tab/>
      </w:r>
      <w:r w:rsidR="000D6A9C">
        <w:rPr>
          <w:rFonts w:ascii="Times New Roman" w:hAnsi="Times New Roman"/>
        </w:rPr>
        <w:t xml:space="preserve">Fetal </w:t>
      </w:r>
      <w:r w:rsidR="00F2268C">
        <w:rPr>
          <w:rFonts w:ascii="Times New Roman" w:hAnsi="Times New Roman"/>
        </w:rPr>
        <w:t>complications of pre-eclampsia such as</w:t>
      </w:r>
      <w:r w:rsidR="00F2268C" w:rsidRPr="00F2268C">
        <w:rPr>
          <w:rFonts w:ascii="Times New Roman" w:hAnsi="Times New Roman"/>
        </w:rPr>
        <w:t xml:space="preserve"> </w:t>
      </w:r>
      <w:r w:rsidR="00F2268C">
        <w:rPr>
          <w:rFonts w:ascii="Times New Roman" w:hAnsi="Times New Roman"/>
        </w:rPr>
        <w:t xml:space="preserve">growth restriction, abnormal Doppler, oligohydramnios, and a non-reassuring fetal status can also hinder induction success.  </w:t>
      </w:r>
      <w:r w:rsidR="00165380">
        <w:rPr>
          <w:rFonts w:ascii="Times New Roman" w:hAnsi="Times New Roman"/>
        </w:rPr>
        <w:t xml:space="preserve">Fetal </w:t>
      </w:r>
      <w:r w:rsidR="000D6A9C">
        <w:rPr>
          <w:rFonts w:ascii="Times New Roman" w:hAnsi="Times New Roman"/>
        </w:rPr>
        <w:t xml:space="preserve">growth </w:t>
      </w:r>
      <w:r w:rsidR="00315A3D">
        <w:rPr>
          <w:rFonts w:ascii="Times New Roman" w:hAnsi="Times New Roman"/>
        </w:rPr>
        <w:t>restriction</w:t>
      </w:r>
      <w:r w:rsidR="000D6A9C">
        <w:rPr>
          <w:rFonts w:ascii="Times New Roman" w:hAnsi="Times New Roman"/>
        </w:rPr>
        <w:t xml:space="preserve"> and olig</w:t>
      </w:r>
      <w:r w:rsidR="00B92735">
        <w:rPr>
          <w:rFonts w:ascii="Times New Roman" w:hAnsi="Times New Roman"/>
        </w:rPr>
        <w:t>o</w:t>
      </w:r>
      <w:r w:rsidR="000D6A9C">
        <w:rPr>
          <w:rFonts w:ascii="Times New Roman" w:hAnsi="Times New Roman"/>
        </w:rPr>
        <w:t xml:space="preserve">hydramnios are </w:t>
      </w:r>
      <w:r w:rsidR="00165380">
        <w:rPr>
          <w:rFonts w:ascii="Times New Roman" w:hAnsi="Times New Roman"/>
        </w:rPr>
        <w:t>secondary to</w:t>
      </w:r>
      <w:r w:rsidR="000D6A9C">
        <w:rPr>
          <w:rFonts w:ascii="Times New Roman" w:hAnsi="Times New Roman"/>
        </w:rPr>
        <w:t xml:space="preserve"> placental insuffi</w:t>
      </w:r>
      <w:r w:rsidR="00165380">
        <w:rPr>
          <w:rFonts w:ascii="Times New Roman" w:hAnsi="Times New Roman"/>
        </w:rPr>
        <w:t>ci</w:t>
      </w:r>
      <w:r w:rsidR="000D6A9C">
        <w:rPr>
          <w:rFonts w:ascii="Times New Roman" w:hAnsi="Times New Roman"/>
        </w:rPr>
        <w:t>ency in</w:t>
      </w:r>
      <w:r w:rsidR="00315A3D">
        <w:rPr>
          <w:rFonts w:ascii="Times New Roman" w:hAnsi="Times New Roman"/>
        </w:rPr>
        <w:t xml:space="preserve"> the setting of pre</w:t>
      </w:r>
      <w:r w:rsidR="00377DD5">
        <w:rPr>
          <w:rFonts w:ascii="Times New Roman" w:hAnsi="Times New Roman"/>
        </w:rPr>
        <w:t>-</w:t>
      </w:r>
      <w:r w:rsidR="00F51119">
        <w:rPr>
          <w:rFonts w:ascii="Times New Roman" w:hAnsi="Times New Roman"/>
        </w:rPr>
        <w:t>eclampsia.</w:t>
      </w:r>
      <w:r w:rsidR="00F51119">
        <w:rPr>
          <w:rFonts w:ascii="Times New Roman" w:hAnsi="Times New Roman"/>
          <w:vertAlign w:val="superscript"/>
        </w:rPr>
        <w:t>2</w:t>
      </w:r>
      <w:r w:rsidR="00315A3D">
        <w:rPr>
          <w:rFonts w:ascii="Times New Roman" w:hAnsi="Times New Roman"/>
        </w:rPr>
        <w:t xml:space="preserve"> </w:t>
      </w:r>
      <w:r w:rsidR="00F51119">
        <w:rPr>
          <w:rFonts w:ascii="Times New Roman" w:hAnsi="Times New Roman"/>
        </w:rPr>
        <w:t xml:space="preserve"> </w:t>
      </w:r>
      <w:r w:rsidR="00315A3D">
        <w:rPr>
          <w:rFonts w:ascii="Times New Roman" w:hAnsi="Times New Roman"/>
        </w:rPr>
        <w:t xml:space="preserve">During induction, </w:t>
      </w:r>
      <w:r w:rsidR="00EC02FC">
        <w:rPr>
          <w:rFonts w:ascii="Times New Roman" w:hAnsi="Times New Roman"/>
        </w:rPr>
        <w:t xml:space="preserve">placental hypoperfusion likely </w:t>
      </w:r>
      <w:r w:rsidR="00315A3D">
        <w:rPr>
          <w:rFonts w:ascii="Times New Roman" w:hAnsi="Times New Roman"/>
        </w:rPr>
        <w:t>contribute</w:t>
      </w:r>
      <w:r w:rsidR="00EC02FC">
        <w:rPr>
          <w:rFonts w:ascii="Times New Roman" w:hAnsi="Times New Roman"/>
        </w:rPr>
        <w:t>s</w:t>
      </w:r>
      <w:r w:rsidR="00315A3D">
        <w:rPr>
          <w:rFonts w:ascii="Times New Roman" w:hAnsi="Times New Roman"/>
        </w:rPr>
        <w:t xml:space="preserve"> to a non-reassuring fetal status or fetal intolerance of labor, thus increa</w:t>
      </w:r>
      <w:r w:rsidR="00EC02FC">
        <w:rPr>
          <w:rFonts w:ascii="Times New Roman" w:hAnsi="Times New Roman"/>
        </w:rPr>
        <w:t xml:space="preserve">sing </w:t>
      </w:r>
      <w:r w:rsidR="00F51119">
        <w:rPr>
          <w:rFonts w:ascii="Times New Roman" w:hAnsi="Times New Roman"/>
        </w:rPr>
        <w:t>the cesarean section rate in patients with pre-eclampsia</w:t>
      </w:r>
      <w:r w:rsidR="00EC02FC">
        <w:rPr>
          <w:rFonts w:ascii="Times New Roman" w:hAnsi="Times New Roman"/>
        </w:rPr>
        <w:t xml:space="preserve">.  </w:t>
      </w:r>
      <w:r w:rsidR="00315A3D">
        <w:rPr>
          <w:rFonts w:ascii="Times New Roman" w:hAnsi="Times New Roman"/>
        </w:rPr>
        <w:t>Surprisingly, we did not find a</w:t>
      </w:r>
      <w:r w:rsidR="00165380">
        <w:rPr>
          <w:rFonts w:ascii="Times New Roman" w:hAnsi="Times New Roman"/>
        </w:rPr>
        <w:t>n</w:t>
      </w:r>
      <w:r w:rsidR="00315A3D">
        <w:rPr>
          <w:rFonts w:ascii="Times New Roman" w:hAnsi="Times New Roman"/>
        </w:rPr>
        <w:t xml:space="preserve"> association with failed induction </w:t>
      </w:r>
      <w:r w:rsidR="00165380">
        <w:rPr>
          <w:rFonts w:ascii="Times New Roman" w:hAnsi="Times New Roman"/>
        </w:rPr>
        <w:t xml:space="preserve">in patients with </w:t>
      </w:r>
      <w:r w:rsidR="00315A3D">
        <w:rPr>
          <w:rFonts w:ascii="Times New Roman" w:hAnsi="Times New Roman"/>
        </w:rPr>
        <w:t xml:space="preserve">fetal growth restriction, oligohydramnios, or abnormal </w:t>
      </w:r>
      <w:r w:rsidR="00165380">
        <w:rPr>
          <w:rFonts w:ascii="Times New Roman" w:hAnsi="Times New Roman"/>
        </w:rPr>
        <w:t>D</w:t>
      </w:r>
      <w:r w:rsidR="00315A3D">
        <w:rPr>
          <w:rFonts w:ascii="Times New Roman" w:hAnsi="Times New Roman"/>
        </w:rPr>
        <w:t xml:space="preserve">oppler. The rate of failed induction was approximately </w:t>
      </w:r>
      <w:r w:rsidR="00C1793E">
        <w:rPr>
          <w:rFonts w:ascii="Times New Roman" w:hAnsi="Times New Roman"/>
        </w:rPr>
        <w:t>31</w:t>
      </w:r>
      <w:r w:rsidR="00165380">
        <w:rPr>
          <w:rFonts w:ascii="Times New Roman" w:hAnsi="Times New Roman"/>
        </w:rPr>
        <w:t xml:space="preserve">% in patients with oligohydramnios and </w:t>
      </w:r>
      <w:r w:rsidR="00C1793E">
        <w:rPr>
          <w:rFonts w:ascii="Times New Roman" w:hAnsi="Times New Roman"/>
        </w:rPr>
        <w:t>40.5</w:t>
      </w:r>
      <w:r w:rsidR="00315A3D">
        <w:rPr>
          <w:rFonts w:ascii="Times New Roman" w:hAnsi="Times New Roman"/>
        </w:rPr>
        <w:t>%</w:t>
      </w:r>
      <w:r w:rsidR="00165380">
        <w:rPr>
          <w:rFonts w:ascii="Times New Roman" w:hAnsi="Times New Roman"/>
        </w:rPr>
        <w:t xml:space="preserve"> in patients with fetal growth restriction</w:t>
      </w:r>
      <w:r w:rsidR="00315A3D">
        <w:rPr>
          <w:rFonts w:ascii="Times New Roman" w:hAnsi="Times New Roman"/>
        </w:rPr>
        <w:t>, w</w:t>
      </w:r>
      <w:r w:rsidR="0075460E">
        <w:rPr>
          <w:rFonts w:ascii="Times New Roman" w:hAnsi="Times New Roman"/>
        </w:rPr>
        <w:t>hich is similar to the overall rate</w:t>
      </w:r>
      <w:r w:rsidR="00165380">
        <w:rPr>
          <w:rFonts w:ascii="Times New Roman" w:hAnsi="Times New Roman"/>
        </w:rPr>
        <w:t xml:space="preserve"> of failed </w:t>
      </w:r>
      <w:r w:rsidR="00B92735">
        <w:rPr>
          <w:rFonts w:ascii="Times New Roman" w:hAnsi="Times New Roman"/>
        </w:rPr>
        <w:t>induction</w:t>
      </w:r>
      <w:r w:rsidR="0075460E">
        <w:rPr>
          <w:rFonts w:ascii="Times New Roman" w:hAnsi="Times New Roman"/>
        </w:rPr>
        <w:t xml:space="preserve"> in </w:t>
      </w:r>
      <w:r w:rsidR="00165380">
        <w:rPr>
          <w:rFonts w:ascii="Times New Roman" w:hAnsi="Times New Roman"/>
        </w:rPr>
        <w:t>this cohort</w:t>
      </w:r>
      <w:r w:rsidR="00315A3D">
        <w:rPr>
          <w:rFonts w:ascii="Times New Roman" w:hAnsi="Times New Roman"/>
        </w:rPr>
        <w:t xml:space="preserve">.  It has been shown that low birth weight </w:t>
      </w:r>
      <w:r w:rsidR="00165380">
        <w:rPr>
          <w:rFonts w:ascii="Times New Roman" w:hAnsi="Times New Roman"/>
        </w:rPr>
        <w:t xml:space="preserve">secondary to extreme prematurity </w:t>
      </w:r>
      <w:r w:rsidR="00315A3D">
        <w:rPr>
          <w:rFonts w:ascii="Times New Roman" w:hAnsi="Times New Roman"/>
        </w:rPr>
        <w:t xml:space="preserve">is associated with </w:t>
      </w:r>
      <w:r w:rsidR="00165380">
        <w:rPr>
          <w:rFonts w:ascii="Times New Roman" w:hAnsi="Times New Roman"/>
        </w:rPr>
        <w:t xml:space="preserve">higher rates of </w:t>
      </w:r>
      <w:r w:rsidR="00315A3D">
        <w:rPr>
          <w:rFonts w:ascii="Times New Roman" w:hAnsi="Times New Roman"/>
        </w:rPr>
        <w:t>cesarean section</w:t>
      </w:r>
      <w:r w:rsidR="00BA34FF">
        <w:rPr>
          <w:rFonts w:ascii="Times New Roman" w:hAnsi="Times New Roman"/>
          <w:vertAlign w:val="superscript"/>
        </w:rPr>
        <w:t>7,1</w:t>
      </w:r>
      <w:r w:rsidR="006A758A">
        <w:rPr>
          <w:rFonts w:ascii="Times New Roman" w:hAnsi="Times New Roman"/>
          <w:vertAlign w:val="superscript"/>
        </w:rPr>
        <w:t>6</w:t>
      </w:r>
      <w:r w:rsidR="00315A3D">
        <w:rPr>
          <w:rFonts w:ascii="Times New Roman" w:hAnsi="Times New Roman"/>
        </w:rPr>
        <w:t xml:space="preserve">, however these studies do not </w:t>
      </w:r>
      <w:r w:rsidR="00747140">
        <w:rPr>
          <w:rFonts w:ascii="Times New Roman" w:hAnsi="Times New Roman"/>
        </w:rPr>
        <w:t>typically compare growth restricted fetuses to appropriately grown fetus</w:t>
      </w:r>
      <w:r w:rsidR="002B2628">
        <w:rPr>
          <w:rFonts w:ascii="Times New Roman" w:hAnsi="Times New Roman"/>
        </w:rPr>
        <w:t>es at the same gestational age.</w:t>
      </w:r>
      <w:r w:rsidR="00EC02FC">
        <w:rPr>
          <w:rFonts w:ascii="Times New Roman" w:hAnsi="Times New Roman"/>
        </w:rPr>
        <w:t xml:space="preserve">  Our study demonstrates that </w:t>
      </w:r>
      <w:r w:rsidR="00165380">
        <w:rPr>
          <w:rFonts w:ascii="Times New Roman" w:hAnsi="Times New Roman"/>
        </w:rPr>
        <w:t xml:space="preserve">fetal </w:t>
      </w:r>
      <w:r w:rsidR="00EC02FC">
        <w:rPr>
          <w:rFonts w:ascii="Times New Roman" w:hAnsi="Times New Roman"/>
        </w:rPr>
        <w:t>growth restriction in the setting of pre</w:t>
      </w:r>
      <w:r w:rsidR="00FF6514">
        <w:rPr>
          <w:rFonts w:ascii="Times New Roman" w:hAnsi="Times New Roman"/>
        </w:rPr>
        <w:t>-</w:t>
      </w:r>
      <w:r w:rsidR="00EC02FC">
        <w:rPr>
          <w:rFonts w:ascii="Times New Roman" w:hAnsi="Times New Roman"/>
        </w:rPr>
        <w:t xml:space="preserve">eclampsia does not increase the risk of </w:t>
      </w:r>
      <w:r w:rsidR="00165380">
        <w:rPr>
          <w:rFonts w:ascii="Times New Roman" w:hAnsi="Times New Roman"/>
        </w:rPr>
        <w:t>failed induction, nor does the presence of oligohydramnios.</w:t>
      </w:r>
    </w:p>
    <w:p w:rsidR="00EC02FC" w:rsidRDefault="00EC02FC" w:rsidP="00401213">
      <w:pPr>
        <w:spacing w:line="480" w:lineRule="auto"/>
        <w:ind w:firstLine="720"/>
        <w:rPr>
          <w:rFonts w:ascii="Times New Roman" w:hAnsi="Times New Roman"/>
        </w:rPr>
      </w:pPr>
      <w:r>
        <w:rPr>
          <w:rFonts w:ascii="Times New Roman" w:hAnsi="Times New Roman"/>
        </w:rPr>
        <w:t>Strengths of our study include a single center institution that is protocol</w:t>
      </w:r>
      <w:r w:rsidR="00165380">
        <w:rPr>
          <w:rFonts w:ascii="Times New Roman" w:hAnsi="Times New Roman"/>
        </w:rPr>
        <w:t>-</w:t>
      </w:r>
      <w:r>
        <w:rPr>
          <w:rFonts w:ascii="Times New Roman" w:hAnsi="Times New Roman"/>
        </w:rPr>
        <w:t xml:space="preserve">driven by ACOG </w:t>
      </w:r>
      <w:r w:rsidR="00016AC6">
        <w:rPr>
          <w:rFonts w:ascii="Times New Roman" w:hAnsi="Times New Roman"/>
        </w:rPr>
        <w:t xml:space="preserve">guidelines. While many studies </w:t>
      </w:r>
      <w:r>
        <w:rPr>
          <w:rFonts w:ascii="Times New Roman" w:hAnsi="Times New Roman"/>
        </w:rPr>
        <w:t>investigate manage</w:t>
      </w:r>
      <w:r w:rsidR="00016AC6">
        <w:rPr>
          <w:rFonts w:ascii="Times New Roman" w:hAnsi="Times New Roman"/>
        </w:rPr>
        <w:t>ment of pre-e</w:t>
      </w:r>
      <w:r>
        <w:rPr>
          <w:rFonts w:ascii="Times New Roman" w:hAnsi="Times New Roman"/>
        </w:rPr>
        <w:t>clampsia in labor, it is often difficult to sta</w:t>
      </w:r>
      <w:r w:rsidR="0075460E">
        <w:rPr>
          <w:rFonts w:ascii="Times New Roman" w:hAnsi="Times New Roman"/>
        </w:rPr>
        <w:t xml:space="preserve">ndardize </w:t>
      </w:r>
      <w:r w:rsidR="00BA34FF">
        <w:rPr>
          <w:rFonts w:ascii="Times New Roman" w:hAnsi="Times New Roman"/>
        </w:rPr>
        <w:t>management</w:t>
      </w:r>
      <w:r w:rsidR="0075460E">
        <w:rPr>
          <w:rFonts w:ascii="Times New Roman" w:hAnsi="Times New Roman"/>
        </w:rPr>
        <w:t xml:space="preserve"> as individual</w:t>
      </w:r>
      <w:r>
        <w:rPr>
          <w:rFonts w:ascii="Times New Roman" w:hAnsi="Times New Roman"/>
        </w:rPr>
        <w:t xml:space="preserve"> practice patterns may vary based on </w:t>
      </w:r>
      <w:r w:rsidR="0075460E">
        <w:rPr>
          <w:rFonts w:ascii="Times New Roman" w:hAnsi="Times New Roman"/>
        </w:rPr>
        <w:t xml:space="preserve">personal </w:t>
      </w:r>
      <w:r>
        <w:rPr>
          <w:rFonts w:ascii="Times New Roman" w:hAnsi="Times New Roman"/>
        </w:rPr>
        <w:t>experience.  Another strength to our study is the large number of patients in the study population</w:t>
      </w:r>
      <w:r w:rsidR="00BC4DDF">
        <w:rPr>
          <w:rFonts w:ascii="Times New Roman" w:hAnsi="Times New Roman"/>
        </w:rPr>
        <w:t xml:space="preserve"> and the low rate of planned cesarean section solely for pre-eclampsia.  Finally</w:t>
      </w:r>
      <w:r>
        <w:rPr>
          <w:rFonts w:ascii="Times New Roman" w:hAnsi="Times New Roman"/>
        </w:rPr>
        <w:t xml:space="preserve">, while many studies look at individual factors and the cesarean </w:t>
      </w:r>
      <w:r>
        <w:rPr>
          <w:rFonts w:ascii="Times New Roman" w:hAnsi="Times New Roman"/>
        </w:rPr>
        <w:lastRenderedPageBreak/>
        <w:t xml:space="preserve">section rate, </w:t>
      </w:r>
      <w:r w:rsidR="00607C30">
        <w:rPr>
          <w:rFonts w:ascii="Times New Roman" w:hAnsi="Times New Roman"/>
        </w:rPr>
        <w:t>we considered multiple likely factors in one analysis.</w:t>
      </w:r>
      <w:r>
        <w:rPr>
          <w:rFonts w:ascii="Times New Roman" w:hAnsi="Times New Roman"/>
        </w:rPr>
        <w:t xml:space="preserve">  To our knowledge, this is the first study that looks at maternal, fetal, </w:t>
      </w:r>
      <w:r w:rsidR="00BA34FF">
        <w:rPr>
          <w:rFonts w:ascii="Times New Roman" w:hAnsi="Times New Roman"/>
        </w:rPr>
        <w:t xml:space="preserve">and pre-eclampsia characteristics </w:t>
      </w:r>
      <w:r>
        <w:rPr>
          <w:rFonts w:ascii="Times New Roman" w:hAnsi="Times New Roman"/>
        </w:rPr>
        <w:t>in the same patient population and the subsequent risk of failed induction.</w:t>
      </w:r>
    </w:p>
    <w:p w:rsidR="00673EEB" w:rsidRDefault="00EC02FC" w:rsidP="00401213">
      <w:pPr>
        <w:spacing w:line="480" w:lineRule="auto"/>
        <w:rPr>
          <w:rFonts w:ascii="Times New Roman" w:hAnsi="Times New Roman"/>
        </w:rPr>
      </w:pPr>
      <w:r>
        <w:rPr>
          <w:rFonts w:ascii="Times New Roman" w:hAnsi="Times New Roman"/>
        </w:rPr>
        <w:tab/>
        <w:t>There are several limitations to our stud</w:t>
      </w:r>
      <w:r w:rsidR="0075460E">
        <w:rPr>
          <w:rFonts w:ascii="Times New Roman" w:hAnsi="Times New Roman"/>
        </w:rPr>
        <w:t xml:space="preserve">y.  </w:t>
      </w:r>
      <w:r w:rsidR="00BC4DDF">
        <w:rPr>
          <w:rFonts w:ascii="Times New Roman" w:hAnsi="Times New Roman"/>
        </w:rPr>
        <w:t>Some</w:t>
      </w:r>
      <w:r w:rsidR="00607C30">
        <w:rPr>
          <w:rFonts w:ascii="Times New Roman" w:hAnsi="Times New Roman"/>
        </w:rPr>
        <w:t xml:space="preserve"> of our patients had incomplete records</w:t>
      </w:r>
      <w:r w:rsidR="00BC4DDF">
        <w:rPr>
          <w:rFonts w:ascii="Times New Roman" w:hAnsi="Times New Roman"/>
        </w:rPr>
        <w:t>, most notably</w:t>
      </w:r>
      <w:r w:rsidR="00607C30">
        <w:rPr>
          <w:rFonts w:ascii="Times New Roman" w:hAnsi="Times New Roman"/>
        </w:rPr>
        <w:t xml:space="preserve"> with respect to presence of fetal growth </w:t>
      </w:r>
      <w:r w:rsidR="001A7201">
        <w:rPr>
          <w:rFonts w:ascii="Times New Roman" w:hAnsi="Times New Roman"/>
        </w:rPr>
        <w:t>restriction,</w:t>
      </w:r>
      <w:r w:rsidR="00607C30">
        <w:rPr>
          <w:rFonts w:ascii="Times New Roman" w:hAnsi="Times New Roman"/>
        </w:rPr>
        <w:t xml:space="preserve"> oligohydramnios and Doppler evaluation as all did not all undergo an ultrasound immediately prior to delivery</w:t>
      </w:r>
      <w:r w:rsidR="00F86196">
        <w:rPr>
          <w:rFonts w:ascii="Times New Roman" w:hAnsi="Times New Roman"/>
        </w:rPr>
        <w:t xml:space="preserve">.  </w:t>
      </w:r>
      <w:r w:rsidR="00607C30">
        <w:rPr>
          <w:rFonts w:ascii="Times New Roman" w:hAnsi="Times New Roman"/>
        </w:rPr>
        <w:t>Many variables assessed were somewhat subjective such as cervical scoring, categorization of the fetal tracing, and neurological symptoms and we relied on the interpretations and diagnosis made by the team caring for each individual patient.</w:t>
      </w:r>
      <w:r w:rsidR="00F86196">
        <w:rPr>
          <w:rFonts w:ascii="Times New Roman" w:hAnsi="Times New Roman"/>
        </w:rPr>
        <w:t xml:space="preserve"> </w:t>
      </w:r>
      <w:r w:rsidR="00402EE7">
        <w:rPr>
          <w:rFonts w:ascii="Times New Roman" w:hAnsi="Times New Roman"/>
        </w:rPr>
        <w:t>Finally, not all patients that were candidates for vaginal delivery underwent a</w:t>
      </w:r>
      <w:r w:rsidR="006A758A">
        <w:rPr>
          <w:rFonts w:ascii="Times New Roman" w:hAnsi="Times New Roman"/>
        </w:rPr>
        <w:t>n attempt at labor induction, 9</w:t>
      </w:r>
      <w:r w:rsidR="00402EE7">
        <w:rPr>
          <w:rFonts w:ascii="Times New Roman" w:hAnsi="Times New Roman"/>
        </w:rPr>
        <w:t>% of women underwent cesarean section solely for pre-eclampsia, and inclusion of these patients with the most severe disease would likely alter our results to some degree.</w:t>
      </w:r>
      <w:r w:rsidR="00F86196">
        <w:rPr>
          <w:rFonts w:ascii="Times New Roman" w:hAnsi="Times New Roman"/>
        </w:rPr>
        <w:t xml:space="preserve"> </w:t>
      </w:r>
      <w:r w:rsidR="00402EE7">
        <w:rPr>
          <w:rFonts w:ascii="Times New Roman" w:hAnsi="Times New Roman"/>
        </w:rPr>
        <w:t xml:space="preserve"> </w:t>
      </w:r>
      <w:r w:rsidR="00607C30">
        <w:rPr>
          <w:rFonts w:ascii="Times New Roman" w:hAnsi="Times New Roman"/>
        </w:rPr>
        <w:t>Ideally</w:t>
      </w:r>
      <w:r w:rsidR="00F86196">
        <w:rPr>
          <w:rFonts w:ascii="Times New Roman" w:hAnsi="Times New Roman"/>
        </w:rPr>
        <w:t xml:space="preserve"> a prospective study </w:t>
      </w:r>
      <w:r w:rsidR="00402EE7">
        <w:rPr>
          <w:rFonts w:ascii="Times New Roman" w:hAnsi="Times New Roman"/>
        </w:rPr>
        <w:t>in which all women without contraindications</w:t>
      </w:r>
      <w:r w:rsidR="00BC4DDF">
        <w:rPr>
          <w:rFonts w:ascii="Times New Roman" w:hAnsi="Times New Roman"/>
        </w:rPr>
        <w:t xml:space="preserve"> to labor undergo attempted induction w</w:t>
      </w:r>
      <w:r w:rsidR="00402EE7">
        <w:rPr>
          <w:rFonts w:ascii="Times New Roman" w:hAnsi="Times New Roman"/>
        </w:rPr>
        <w:t xml:space="preserve">ould </w:t>
      </w:r>
      <w:r w:rsidR="00BC4DDF">
        <w:rPr>
          <w:rFonts w:ascii="Times New Roman" w:hAnsi="Times New Roman"/>
        </w:rPr>
        <w:t>more accurately quantitate any association between these characteristics and failed induction</w:t>
      </w:r>
      <w:r w:rsidR="00402EE7">
        <w:rPr>
          <w:rFonts w:ascii="Times New Roman" w:hAnsi="Times New Roman"/>
        </w:rPr>
        <w:t>.</w:t>
      </w:r>
      <w:r w:rsidR="00F86196">
        <w:rPr>
          <w:rFonts w:ascii="Times New Roman" w:hAnsi="Times New Roman"/>
        </w:rPr>
        <w:t xml:space="preserve"> </w:t>
      </w:r>
    </w:p>
    <w:p w:rsidR="000D2B38" w:rsidRDefault="00673EEB" w:rsidP="00401213">
      <w:pPr>
        <w:spacing w:line="480" w:lineRule="auto"/>
        <w:rPr>
          <w:rFonts w:ascii="Times New Roman" w:hAnsi="Times New Roman"/>
          <w:b/>
        </w:rPr>
      </w:pPr>
      <w:r>
        <w:rPr>
          <w:rFonts w:ascii="Times New Roman" w:hAnsi="Times New Roman"/>
        </w:rPr>
        <w:tab/>
      </w:r>
      <w:r w:rsidR="00023170">
        <w:rPr>
          <w:rFonts w:ascii="Times New Roman" w:hAnsi="Times New Roman"/>
        </w:rPr>
        <w:t xml:space="preserve">There are many obstacles that obstetricians face when deciding </w:t>
      </w:r>
      <w:r w:rsidR="003A71A2">
        <w:rPr>
          <w:rFonts w:ascii="Times New Roman" w:hAnsi="Times New Roman"/>
        </w:rPr>
        <w:t xml:space="preserve">how to proceed forth with delivery </w:t>
      </w:r>
      <w:r w:rsidR="005B7F55">
        <w:rPr>
          <w:rFonts w:ascii="Times New Roman" w:hAnsi="Times New Roman"/>
        </w:rPr>
        <w:t>in patients with pre-eclampsia</w:t>
      </w:r>
      <w:r w:rsidR="00023170">
        <w:rPr>
          <w:rFonts w:ascii="Times New Roman" w:hAnsi="Times New Roman"/>
        </w:rPr>
        <w:t>.</w:t>
      </w:r>
      <w:r w:rsidR="002202A7">
        <w:rPr>
          <w:rFonts w:ascii="Times New Roman" w:hAnsi="Times New Roman"/>
        </w:rPr>
        <w:t xml:space="preserve">  Concerns for both maternal safety and fetal ability to tolerate labor especially in the setting of premature gestation and growth restriction </w:t>
      </w:r>
      <w:r w:rsidR="003A71A2">
        <w:rPr>
          <w:rFonts w:ascii="Times New Roman" w:hAnsi="Times New Roman"/>
        </w:rPr>
        <w:t>may lead</w:t>
      </w:r>
      <w:r w:rsidR="002202A7">
        <w:rPr>
          <w:rFonts w:ascii="Times New Roman" w:hAnsi="Times New Roman"/>
        </w:rPr>
        <w:t xml:space="preserve"> some to advocate for primary cesarean section in these patients.  Our study has demonstrated that while obstetricians tend to view </w:t>
      </w:r>
      <w:r w:rsidR="005B7F55">
        <w:rPr>
          <w:rFonts w:ascii="Times New Roman" w:hAnsi="Times New Roman"/>
        </w:rPr>
        <w:t xml:space="preserve">patients with pre-eclampsia </w:t>
      </w:r>
      <w:r w:rsidR="002202A7">
        <w:rPr>
          <w:rFonts w:ascii="Times New Roman" w:hAnsi="Times New Roman"/>
        </w:rPr>
        <w:t>as a challenging cohort of p</w:t>
      </w:r>
      <w:r w:rsidR="005B7F55">
        <w:rPr>
          <w:rFonts w:ascii="Times New Roman" w:hAnsi="Times New Roman"/>
        </w:rPr>
        <w:t xml:space="preserve">atients because of maternal, fetal, and pre-eclampsia characteristics, </w:t>
      </w:r>
      <w:r w:rsidR="002202A7">
        <w:rPr>
          <w:rFonts w:ascii="Times New Roman" w:hAnsi="Times New Roman"/>
        </w:rPr>
        <w:t xml:space="preserve">this may not be the case. </w:t>
      </w:r>
      <w:r w:rsidR="001A7201">
        <w:rPr>
          <w:rFonts w:ascii="Times New Roman" w:hAnsi="Times New Roman"/>
        </w:rPr>
        <w:t xml:space="preserve"> </w:t>
      </w:r>
      <w:r w:rsidR="002202A7">
        <w:rPr>
          <w:rFonts w:ascii="Times New Roman" w:hAnsi="Times New Roman"/>
        </w:rPr>
        <w:t xml:space="preserve">In fact, we found that factors most associated with a failed induction in the setting of pre-eclampsia are similar to those that predict a </w:t>
      </w:r>
      <w:r w:rsidR="002202A7">
        <w:rPr>
          <w:rFonts w:ascii="Times New Roman" w:hAnsi="Times New Roman"/>
        </w:rPr>
        <w:lastRenderedPageBreak/>
        <w:t xml:space="preserve">failed induction in the general obstetrical population. </w:t>
      </w:r>
      <w:r w:rsidR="00693597">
        <w:rPr>
          <w:rFonts w:ascii="Times New Roman" w:hAnsi="Times New Roman"/>
        </w:rPr>
        <w:t xml:space="preserve"> Our evidence supports that predictors of a failed induction in pre-eclampsia are similar to those reported in the general population and that factors specifically related to pre-eclampsia do not have significant influence on the rate of success. </w:t>
      </w:r>
      <w:r w:rsidR="002202A7">
        <w:rPr>
          <w:rFonts w:ascii="Times New Roman" w:hAnsi="Times New Roman"/>
        </w:rPr>
        <w:t xml:space="preserve"> </w:t>
      </w:r>
    </w:p>
    <w:p w:rsidR="000D2B38" w:rsidRDefault="000D2B38" w:rsidP="00401213">
      <w:pPr>
        <w:spacing w:line="480" w:lineRule="auto"/>
        <w:rPr>
          <w:rFonts w:ascii="Times New Roman" w:hAnsi="Times New Roman"/>
          <w:b/>
        </w:rPr>
      </w:pPr>
    </w:p>
    <w:p w:rsidR="000D2B38" w:rsidRDefault="000D2B38">
      <w:pPr>
        <w:rPr>
          <w:rFonts w:ascii="Times New Roman" w:hAnsi="Times New Roman"/>
          <w:b/>
        </w:rPr>
      </w:pPr>
    </w:p>
    <w:p w:rsidR="000D2B38" w:rsidRDefault="000D2B38">
      <w:pPr>
        <w:rPr>
          <w:rFonts w:ascii="Times New Roman" w:hAnsi="Times New Roman"/>
          <w:b/>
        </w:rPr>
      </w:pPr>
    </w:p>
    <w:p w:rsidR="005B7F55" w:rsidRDefault="005B7F55">
      <w:pPr>
        <w:rPr>
          <w:rFonts w:ascii="Times New Roman" w:hAnsi="Times New Roman"/>
          <w:b/>
        </w:rPr>
      </w:pPr>
    </w:p>
    <w:p w:rsidR="000D2B38" w:rsidRDefault="000D2B38">
      <w:pPr>
        <w:rPr>
          <w:rFonts w:ascii="Times New Roman" w:hAnsi="Times New Roman"/>
          <w:b/>
        </w:rPr>
      </w:pPr>
    </w:p>
    <w:p w:rsidR="000D2B38" w:rsidRDefault="000D2B38">
      <w:pPr>
        <w:rPr>
          <w:rFonts w:ascii="Times New Roman" w:hAnsi="Times New Roman"/>
          <w:b/>
        </w:rPr>
      </w:pPr>
    </w:p>
    <w:p w:rsidR="0032029C" w:rsidRDefault="0032029C">
      <w:pPr>
        <w:rPr>
          <w:rFonts w:ascii="Times New Roman" w:hAnsi="Times New Roman"/>
        </w:rPr>
        <w:sectPr w:rsidR="0032029C" w:rsidSect="00FC3B34">
          <w:type w:val="continuous"/>
          <w:pgSz w:w="12240" w:h="15840"/>
          <w:pgMar w:top="1440" w:right="1800" w:bottom="1440" w:left="1800" w:header="720" w:footer="720" w:gutter="0"/>
          <w:cols w:space="720"/>
        </w:sectPr>
      </w:pPr>
    </w:p>
    <w:p w:rsidR="00CB7CE3" w:rsidRDefault="00CB7CE3" w:rsidP="008E747C">
      <w:pPr>
        <w:rPr>
          <w:rFonts w:ascii="Times" w:hAnsi="Times"/>
          <w:b/>
          <w:bCs/>
        </w:rPr>
      </w:pPr>
    </w:p>
    <w:p w:rsidR="00CB7CE3" w:rsidRDefault="00CB7CE3" w:rsidP="008E747C">
      <w:pPr>
        <w:rPr>
          <w:rFonts w:ascii="Times" w:hAnsi="Times"/>
          <w:b/>
          <w:bCs/>
        </w:rPr>
      </w:pPr>
    </w:p>
    <w:p w:rsidR="00CB7CE3" w:rsidRDefault="00CB7CE3" w:rsidP="008E747C">
      <w:pPr>
        <w:rPr>
          <w:rFonts w:ascii="Times" w:hAnsi="Times"/>
          <w:b/>
          <w:bCs/>
        </w:rPr>
      </w:pPr>
    </w:p>
    <w:p w:rsidR="00CB7CE3" w:rsidRDefault="00CB7CE3" w:rsidP="008E747C">
      <w:pPr>
        <w:rPr>
          <w:rFonts w:ascii="Times" w:hAnsi="Times"/>
          <w:b/>
          <w:bCs/>
        </w:rPr>
      </w:pPr>
    </w:p>
    <w:p w:rsidR="00C1793E" w:rsidRDefault="00C1793E">
      <w:pPr>
        <w:rPr>
          <w:rFonts w:ascii="Times" w:hAnsi="Times"/>
          <w:b/>
          <w:bCs/>
        </w:rPr>
      </w:pPr>
      <w:r>
        <w:rPr>
          <w:rFonts w:ascii="Times" w:hAnsi="Times"/>
          <w:b/>
          <w:bCs/>
        </w:rPr>
        <w:br w:type="page"/>
      </w:r>
    </w:p>
    <w:p w:rsidR="00CB7CE3" w:rsidRDefault="00CB7CE3" w:rsidP="008E747C">
      <w:pPr>
        <w:rPr>
          <w:rFonts w:ascii="Times" w:hAnsi="Times"/>
          <w:b/>
          <w:bCs/>
        </w:rPr>
      </w:pPr>
    </w:p>
    <w:p w:rsidR="00CB7CE3" w:rsidRDefault="00CB7CE3" w:rsidP="008E747C">
      <w:pPr>
        <w:rPr>
          <w:rFonts w:ascii="Times" w:hAnsi="Times"/>
          <w:b/>
          <w:bCs/>
        </w:rPr>
      </w:pPr>
    </w:p>
    <w:p w:rsidR="004E5977" w:rsidRPr="008E747C" w:rsidRDefault="004E5977" w:rsidP="00401213">
      <w:pPr>
        <w:spacing w:line="480" w:lineRule="auto"/>
        <w:rPr>
          <w:rFonts w:ascii="Times" w:hAnsi="Times"/>
        </w:rPr>
      </w:pPr>
      <w:r w:rsidRPr="008E747C">
        <w:rPr>
          <w:rFonts w:ascii="Times" w:hAnsi="Times"/>
          <w:b/>
          <w:bCs/>
        </w:rPr>
        <w:t>Acknowledgements:</w:t>
      </w:r>
    </w:p>
    <w:p w:rsidR="004E5977" w:rsidRPr="005B7F55" w:rsidRDefault="004E5977" w:rsidP="00401213">
      <w:pPr>
        <w:autoSpaceDE w:val="0"/>
        <w:autoSpaceDN w:val="0"/>
        <w:adjustRightInd w:val="0"/>
        <w:spacing w:line="480" w:lineRule="auto"/>
        <w:rPr>
          <w:rFonts w:ascii="Times" w:hAnsi="Times" w:cs="Times New Roman"/>
          <w:szCs w:val="20"/>
        </w:rPr>
      </w:pPr>
      <w:r w:rsidRPr="005B7F55">
        <w:rPr>
          <w:rFonts w:ascii="Times" w:hAnsi="Times" w:cs="Times New Roman"/>
          <w:szCs w:val="20"/>
        </w:rPr>
        <w:t>Study data were collected and managed with REDCap software (Research Electronic Data</w:t>
      </w:r>
      <w:r w:rsidR="005B7F55">
        <w:rPr>
          <w:rFonts w:ascii="Times" w:hAnsi="Times" w:cs="Times New Roman"/>
          <w:szCs w:val="20"/>
        </w:rPr>
        <w:t xml:space="preserve"> </w:t>
      </w:r>
      <w:r w:rsidRPr="005B7F55">
        <w:rPr>
          <w:rFonts w:ascii="Times" w:hAnsi="Times" w:cs="Times New Roman"/>
          <w:szCs w:val="20"/>
        </w:rPr>
        <w:t>Capture) which is hosted at Cincinnati Children’s Hospital Medical Center under the Center for Clinical and</w:t>
      </w:r>
      <w:r w:rsidR="005B7F55">
        <w:rPr>
          <w:rFonts w:ascii="Times" w:hAnsi="Times" w:cs="Times New Roman"/>
          <w:szCs w:val="20"/>
        </w:rPr>
        <w:t xml:space="preserve"> </w:t>
      </w:r>
      <w:r w:rsidRPr="005B7F55">
        <w:rPr>
          <w:rFonts w:ascii="Times" w:hAnsi="Times" w:cs="Times New Roman"/>
          <w:szCs w:val="20"/>
        </w:rPr>
        <w:t>Translational Science and Training grant support (UL1-RR026314-01 NCRR/NIH). REDCap is a secure, web-based</w:t>
      </w:r>
      <w:r w:rsidR="008E747C" w:rsidRPr="005B7F55">
        <w:rPr>
          <w:rFonts w:ascii="Times" w:hAnsi="Times" w:cs="Times New Roman"/>
          <w:szCs w:val="20"/>
        </w:rPr>
        <w:t xml:space="preserve"> </w:t>
      </w:r>
      <w:r w:rsidRPr="005B7F55">
        <w:rPr>
          <w:rFonts w:ascii="Times" w:hAnsi="Times" w:cs="Times New Roman"/>
          <w:szCs w:val="20"/>
        </w:rPr>
        <w:t>application that was designed to support data capture for research studies to provide (1) an intuitive interface</w:t>
      </w:r>
      <w:r w:rsidR="005B7F55">
        <w:rPr>
          <w:rFonts w:ascii="Times" w:hAnsi="Times" w:cs="Times New Roman"/>
          <w:szCs w:val="20"/>
        </w:rPr>
        <w:t xml:space="preserve"> </w:t>
      </w:r>
      <w:r w:rsidRPr="005B7F55">
        <w:rPr>
          <w:rFonts w:ascii="Times" w:hAnsi="Times" w:cs="Times New Roman"/>
          <w:szCs w:val="20"/>
        </w:rPr>
        <w:t>for validated data entry, (2) audit trails for tracking data manipulation and export procedures, (3) automated export</w:t>
      </w:r>
      <w:r w:rsidR="008E747C" w:rsidRPr="005B7F55">
        <w:rPr>
          <w:rFonts w:ascii="Times" w:hAnsi="Times" w:cs="Times New Roman"/>
          <w:szCs w:val="20"/>
        </w:rPr>
        <w:t xml:space="preserve"> </w:t>
      </w:r>
      <w:r w:rsidRPr="005B7F55">
        <w:rPr>
          <w:rFonts w:ascii="Times" w:hAnsi="Times" w:cs="Times New Roman"/>
          <w:szCs w:val="20"/>
        </w:rPr>
        <w:t>procedures for seamless data downloads to common statistical packages, and (4) procedures for importing data</w:t>
      </w:r>
      <w:r w:rsidR="005B7F55">
        <w:rPr>
          <w:rFonts w:ascii="Times" w:hAnsi="Times" w:cs="Times New Roman"/>
          <w:szCs w:val="20"/>
        </w:rPr>
        <w:t xml:space="preserve"> </w:t>
      </w:r>
      <w:r w:rsidRPr="005B7F55">
        <w:rPr>
          <w:rFonts w:ascii="Times" w:hAnsi="Times" w:cs="Times New Roman"/>
          <w:szCs w:val="20"/>
        </w:rPr>
        <w:t>from external sources.</w:t>
      </w:r>
    </w:p>
    <w:p w:rsidR="00FB35F1" w:rsidRDefault="00FB35F1" w:rsidP="00401213">
      <w:pPr>
        <w:spacing w:line="480" w:lineRule="auto"/>
        <w:rPr>
          <w:rFonts w:ascii="Times New Roman" w:hAnsi="Times New Roman"/>
        </w:rPr>
      </w:pPr>
    </w:p>
    <w:p w:rsidR="00FB35F1" w:rsidRDefault="00FB35F1">
      <w:pPr>
        <w:rPr>
          <w:rFonts w:ascii="Times New Roman" w:hAnsi="Times New Roman"/>
        </w:rPr>
      </w:pPr>
    </w:p>
    <w:p w:rsidR="00FB35F1" w:rsidRDefault="00FB35F1">
      <w:pPr>
        <w:rPr>
          <w:rFonts w:ascii="Times New Roman" w:hAnsi="Times New Roman"/>
        </w:rPr>
      </w:pPr>
    </w:p>
    <w:p w:rsidR="00FB35F1" w:rsidRDefault="00FB35F1">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8E747C" w:rsidRDefault="008E747C">
      <w:pPr>
        <w:rPr>
          <w:rFonts w:ascii="Times New Roman" w:hAnsi="Times New Roman"/>
        </w:rPr>
      </w:pPr>
    </w:p>
    <w:p w:rsidR="001E0959" w:rsidRDefault="001E0959">
      <w:pPr>
        <w:rPr>
          <w:rFonts w:ascii="Times New Roman" w:hAnsi="Times New Roman"/>
          <w:b/>
        </w:rPr>
      </w:pPr>
    </w:p>
    <w:p w:rsidR="001E0959" w:rsidRDefault="001E0959">
      <w:pPr>
        <w:rPr>
          <w:rFonts w:ascii="Times New Roman" w:hAnsi="Times New Roman"/>
          <w:b/>
        </w:rPr>
      </w:pPr>
    </w:p>
    <w:p w:rsidR="00C87505" w:rsidRPr="00C87505" w:rsidRDefault="00C767FE">
      <w:pPr>
        <w:rPr>
          <w:rFonts w:ascii="Times New Roman" w:hAnsi="Times New Roman"/>
          <w:b/>
        </w:rPr>
      </w:pPr>
      <w:r w:rsidRPr="00C87505">
        <w:rPr>
          <w:rFonts w:ascii="Times New Roman" w:hAnsi="Times New Roman"/>
          <w:b/>
        </w:rPr>
        <w:lastRenderedPageBreak/>
        <w:t>References:</w:t>
      </w:r>
    </w:p>
    <w:p w:rsidR="00C767FE" w:rsidRDefault="00C767FE">
      <w:pPr>
        <w:rPr>
          <w:rFonts w:ascii="Times New Roman" w:hAnsi="Times New Roman"/>
        </w:rPr>
      </w:pPr>
    </w:p>
    <w:p w:rsidR="00B02470" w:rsidRDefault="00B02470" w:rsidP="00B02470">
      <w:pPr>
        <w:rPr>
          <w:rFonts w:ascii="Times New Roman" w:hAnsi="Times New Roman"/>
        </w:rPr>
      </w:pPr>
      <w:bookmarkStart w:id="0" w:name="OLE_LINK1"/>
      <w:r>
        <w:rPr>
          <w:rFonts w:ascii="Times New Roman" w:hAnsi="Times New Roman"/>
        </w:rPr>
        <w:t xml:space="preserve">1. </w:t>
      </w:r>
      <w:r w:rsidR="00CC6448">
        <w:rPr>
          <w:rFonts w:ascii="Times New Roman" w:hAnsi="Times New Roman"/>
        </w:rPr>
        <w:t xml:space="preserve">  </w:t>
      </w:r>
      <w:r>
        <w:rPr>
          <w:rFonts w:ascii="Times New Roman" w:hAnsi="Times New Roman"/>
        </w:rPr>
        <w:t>Koopmans CM, Bijlenga D, Growen H, et al; Induction of labour verses expectant</w:t>
      </w:r>
    </w:p>
    <w:p w:rsidR="00B02470" w:rsidRDefault="00B02470" w:rsidP="00B02470">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monitoring for gestational hypertension or mild pre-eclampsia after 36 weeks’</w:t>
      </w:r>
    </w:p>
    <w:p w:rsidR="00B02470" w:rsidRDefault="00B02470" w:rsidP="00B02470">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 xml:space="preserve">gestation (HYPITAT): A multicentre, open-label randomized controlled trial. Lancet.  </w:t>
      </w:r>
    </w:p>
    <w:p w:rsidR="00B02470" w:rsidRDefault="00B02470" w:rsidP="00B02470">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2009;</w:t>
      </w:r>
      <w:r w:rsidR="0094569C">
        <w:rPr>
          <w:rFonts w:ascii="Times New Roman" w:hAnsi="Times New Roman"/>
        </w:rPr>
        <w:t>(374</w:t>
      </w:r>
      <w:r>
        <w:rPr>
          <w:rFonts w:ascii="Times New Roman" w:hAnsi="Times New Roman"/>
        </w:rPr>
        <w:t>):979-988.</w:t>
      </w:r>
    </w:p>
    <w:p w:rsidR="00B02470" w:rsidRDefault="00B02470" w:rsidP="00B02470">
      <w:pPr>
        <w:rPr>
          <w:rFonts w:ascii="Times New Roman" w:hAnsi="Times New Roman"/>
        </w:rPr>
      </w:pPr>
      <w:r>
        <w:rPr>
          <w:rFonts w:ascii="Times New Roman" w:hAnsi="Times New Roman"/>
        </w:rPr>
        <w:t xml:space="preserve">2. </w:t>
      </w:r>
      <w:r w:rsidR="00CC6448">
        <w:rPr>
          <w:rFonts w:ascii="Times New Roman" w:hAnsi="Times New Roman"/>
        </w:rPr>
        <w:t xml:space="preserve">  </w:t>
      </w:r>
      <w:r>
        <w:rPr>
          <w:rFonts w:ascii="Times New Roman" w:hAnsi="Times New Roman"/>
        </w:rPr>
        <w:t xml:space="preserve">Sibai, BM. Management of late term and early-term pregnancies complicated by mild </w:t>
      </w:r>
    </w:p>
    <w:p w:rsidR="00B02470" w:rsidRDefault="00B02470" w:rsidP="00B02470">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gestational hypertension/pre-eclampsia. Semin Perinatol 2011;(5):292-6.</w:t>
      </w:r>
    </w:p>
    <w:p w:rsidR="00B02470" w:rsidRDefault="00B02470" w:rsidP="00B02470">
      <w:pPr>
        <w:rPr>
          <w:rFonts w:ascii="Times New Roman" w:hAnsi="Times New Roman"/>
        </w:rPr>
      </w:pPr>
      <w:r>
        <w:rPr>
          <w:rFonts w:ascii="Times New Roman" w:hAnsi="Times New Roman"/>
        </w:rPr>
        <w:t xml:space="preserve">3. </w:t>
      </w:r>
      <w:r w:rsidR="00CC6448">
        <w:rPr>
          <w:rFonts w:ascii="Times New Roman" w:hAnsi="Times New Roman"/>
        </w:rPr>
        <w:t xml:space="preserve">  </w:t>
      </w:r>
      <w:r>
        <w:rPr>
          <w:rFonts w:ascii="Times New Roman" w:hAnsi="Times New Roman"/>
        </w:rPr>
        <w:t>Haddad B, Sibai BM. Expectant management in pregnancies with severe pre-</w:t>
      </w:r>
    </w:p>
    <w:p w:rsidR="004E1BF9" w:rsidRDefault="00B02470" w:rsidP="00B02470">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eclampsia. Semin Perinatol 2009;33(3):143-51.</w:t>
      </w:r>
    </w:p>
    <w:p w:rsidR="004E1BF9" w:rsidRDefault="004E1BF9" w:rsidP="004E1BF9">
      <w:pPr>
        <w:rPr>
          <w:rFonts w:ascii="Times New Roman" w:hAnsi="Times New Roman"/>
        </w:rPr>
      </w:pPr>
      <w:r>
        <w:rPr>
          <w:rFonts w:ascii="Times New Roman" w:hAnsi="Times New Roman"/>
        </w:rPr>
        <w:t xml:space="preserve">4. </w:t>
      </w:r>
      <w:r w:rsidR="00CC6448">
        <w:rPr>
          <w:rFonts w:ascii="Times New Roman" w:hAnsi="Times New Roman"/>
        </w:rPr>
        <w:t xml:space="preserve">  </w:t>
      </w:r>
      <w:r>
        <w:rPr>
          <w:rFonts w:ascii="Times New Roman" w:hAnsi="Times New Roman"/>
        </w:rPr>
        <w:t xml:space="preserve">Ananth CV, Vintzileos AM. Maternal-fetal conditions necessitating intervention </w:t>
      </w:r>
    </w:p>
    <w:p w:rsidR="004E1BF9" w:rsidRDefault="004E1BF9" w:rsidP="004E1BF9">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resulting in preterm birth. Am J Obstet Gynecol 2006;(195):1557-63.</w:t>
      </w:r>
    </w:p>
    <w:p w:rsidR="004E1BF9" w:rsidRDefault="004E1BF9" w:rsidP="004E1BF9">
      <w:pPr>
        <w:rPr>
          <w:rFonts w:ascii="Times New Roman" w:hAnsi="Times New Roman"/>
        </w:rPr>
      </w:pPr>
      <w:r>
        <w:rPr>
          <w:rFonts w:ascii="Times New Roman" w:hAnsi="Times New Roman"/>
        </w:rPr>
        <w:t xml:space="preserve">5. </w:t>
      </w:r>
      <w:r w:rsidR="00CC6448">
        <w:rPr>
          <w:rFonts w:ascii="Times New Roman" w:hAnsi="Times New Roman"/>
        </w:rPr>
        <w:t xml:space="preserve">  </w:t>
      </w:r>
      <w:r>
        <w:rPr>
          <w:rFonts w:ascii="Times New Roman" w:hAnsi="Times New Roman"/>
        </w:rPr>
        <w:t>Kim LH, Cheng YW, Delaney S, Jelin A, et al. Is preeclampsia associated with an</w:t>
      </w:r>
    </w:p>
    <w:p w:rsidR="004E1BF9" w:rsidRDefault="004E1BF9" w:rsidP="004E1BF9">
      <w:pPr>
        <w:rPr>
          <w:rFonts w:ascii="Times New Roman" w:hAnsi="Times New Roman"/>
        </w:rPr>
      </w:pPr>
      <w:r>
        <w:rPr>
          <w:rFonts w:ascii="Times New Roman" w:hAnsi="Times New Roman"/>
        </w:rPr>
        <w:t xml:space="preserve">    </w:t>
      </w:r>
      <w:r w:rsidR="00CC6448">
        <w:rPr>
          <w:rFonts w:ascii="Times New Roman" w:hAnsi="Times New Roman"/>
        </w:rPr>
        <w:t xml:space="preserve">  i</w:t>
      </w:r>
      <w:r>
        <w:rPr>
          <w:rFonts w:ascii="Times New Roman" w:hAnsi="Times New Roman"/>
        </w:rPr>
        <w:t xml:space="preserve">ncreased risk of cesarean delivery if labor is induced? J Matern Fetal and Neonatal </w:t>
      </w:r>
    </w:p>
    <w:p w:rsidR="004E1BF9" w:rsidRDefault="004E1BF9" w:rsidP="004E1BF9">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Med. 2010;(5):383-8.</w:t>
      </w:r>
    </w:p>
    <w:p w:rsidR="00CC6448" w:rsidRDefault="004E1BF9" w:rsidP="004E1BF9">
      <w:pPr>
        <w:rPr>
          <w:rFonts w:ascii="Times New Roman" w:hAnsi="Times New Roman"/>
        </w:rPr>
      </w:pPr>
      <w:r>
        <w:rPr>
          <w:rFonts w:ascii="Times New Roman" w:hAnsi="Times New Roman"/>
        </w:rPr>
        <w:t xml:space="preserve">6. </w:t>
      </w:r>
      <w:r w:rsidR="00CC6448">
        <w:rPr>
          <w:rFonts w:ascii="Times New Roman" w:hAnsi="Times New Roman"/>
        </w:rPr>
        <w:t xml:space="preserve">  </w:t>
      </w:r>
      <w:r>
        <w:rPr>
          <w:rFonts w:ascii="Times New Roman" w:hAnsi="Times New Roman"/>
        </w:rPr>
        <w:t>Emilio G, Ilisa C, Viviana M, et al. The Risk Factors f</w:t>
      </w:r>
      <w:r w:rsidR="00CC6448">
        <w:rPr>
          <w:rFonts w:ascii="Times New Roman" w:hAnsi="Times New Roman"/>
        </w:rPr>
        <w:t xml:space="preserve">or Failure of Labor Induction: </w:t>
      </w:r>
    </w:p>
    <w:p w:rsidR="00CC6448" w:rsidRDefault="00CC6448" w:rsidP="004E1BF9">
      <w:pPr>
        <w:rPr>
          <w:rFonts w:ascii="Times New Roman" w:hAnsi="Times New Roman"/>
        </w:rPr>
      </w:pPr>
      <w:r>
        <w:rPr>
          <w:rFonts w:ascii="Times New Roman" w:hAnsi="Times New Roman"/>
        </w:rPr>
        <w:t xml:space="preserve">      A </w:t>
      </w:r>
      <w:r w:rsidR="004E1BF9">
        <w:rPr>
          <w:rFonts w:ascii="Times New Roman" w:hAnsi="Times New Roman"/>
        </w:rPr>
        <w:t>Cohort Study. The Journal of Obstetrics and Gynecology of India 2012; (64):111-</w:t>
      </w:r>
    </w:p>
    <w:p w:rsidR="00D477F7" w:rsidRDefault="00CC6448" w:rsidP="004E1BF9">
      <w:pPr>
        <w:rPr>
          <w:rFonts w:ascii="Times New Roman" w:hAnsi="Times New Roman"/>
        </w:rPr>
      </w:pPr>
      <w:r>
        <w:rPr>
          <w:rFonts w:ascii="Times New Roman" w:hAnsi="Times New Roman"/>
        </w:rPr>
        <w:t xml:space="preserve">      </w:t>
      </w:r>
      <w:r w:rsidR="004E1BF9">
        <w:rPr>
          <w:rFonts w:ascii="Times New Roman" w:hAnsi="Times New Roman"/>
        </w:rPr>
        <w:t>15.</w:t>
      </w:r>
    </w:p>
    <w:p w:rsidR="00D477F7" w:rsidRDefault="00D477F7" w:rsidP="00D477F7">
      <w:pPr>
        <w:rPr>
          <w:rFonts w:ascii="Times New Roman" w:hAnsi="Times New Roman"/>
        </w:rPr>
      </w:pPr>
      <w:r>
        <w:rPr>
          <w:rFonts w:ascii="Times New Roman" w:hAnsi="Times New Roman"/>
        </w:rPr>
        <w:t xml:space="preserve">7. </w:t>
      </w:r>
      <w:r w:rsidR="00CC6448">
        <w:rPr>
          <w:rFonts w:ascii="Times New Roman" w:hAnsi="Times New Roman"/>
        </w:rPr>
        <w:t xml:space="preserve">  </w:t>
      </w:r>
      <w:r w:rsidR="001A5DBE">
        <w:rPr>
          <w:rFonts w:ascii="Times New Roman" w:hAnsi="Times New Roman"/>
        </w:rPr>
        <w:t>Alexander JM, Bloom SL, McIntire</w:t>
      </w:r>
      <w:r>
        <w:rPr>
          <w:rFonts w:ascii="Times New Roman" w:hAnsi="Times New Roman"/>
        </w:rPr>
        <w:t xml:space="preserve"> DD et al. Severe preeclampsia and the very low </w:t>
      </w:r>
    </w:p>
    <w:p w:rsidR="004F6342" w:rsidRDefault="00D477F7" w:rsidP="00D477F7">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birth weight infant: Is induction of labor harmful? Obstet Gynecol 1999;(93):485-8.</w:t>
      </w:r>
    </w:p>
    <w:p w:rsidR="004F6342" w:rsidRDefault="004F6342" w:rsidP="004E1BF9">
      <w:pPr>
        <w:rPr>
          <w:rFonts w:ascii="Times New Roman" w:hAnsi="Times New Roman"/>
        </w:rPr>
      </w:pPr>
      <w:r>
        <w:rPr>
          <w:rFonts w:ascii="Times New Roman" w:hAnsi="Times New Roman"/>
        </w:rPr>
        <w:t xml:space="preserve">8. </w:t>
      </w:r>
      <w:r w:rsidR="00CC6448">
        <w:rPr>
          <w:rFonts w:ascii="Times New Roman" w:hAnsi="Times New Roman"/>
        </w:rPr>
        <w:t xml:space="preserve">  </w:t>
      </w:r>
      <w:r>
        <w:rPr>
          <w:rFonts w:ascii="Times New Roman" w:hAnsi="Times New Roman"/>
        </w:rPr>
        <w:t>Robinson CJ, Hill EG, Alanis MA et al. Examining the effect of maternal obesity on</w:t>
      </w:r>
    </w:p>
    <w:p w:rsidR="004F6342" w:rsidRDefault="004F6342" w:rsidP="004E1BF9">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outcomes of labor induction in patients with preeclampsia. Hypertens Pregnancy.</w:t>
      </w:r>
    </w:p>
    <w:p w:rsidR="00686140" w:rsidRDefault="004F6342" w:rsidP="004E1BF9">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 xml:space="preserve"> </w:t>
      </w:r>
      <w:r w:rsidR="00CC6448">
        <w:rPr>
          <w:rFonts w:ascii="Times New Roman" w:hAnsi="Times New Roman"/>
        </w:rPr>
        <w:t xml:space="preserve"> </w:t>
      </w:r>
      <w:r>
        <w:rPr>
          <w:rFonts w:ascii="Times New Roman" w:hAnsi="Times New Roman"/>
        </w:rPr>
        <w:t>2010; (29):446-456.</w:t>
      </w:r>
    </w:p>
    <w:p w:rsidR="00686140" w:rsidRDefault="00686140" w:rsidP="004E1BF9">
      <w:pPr>
        <w:rPr>
          <w:rFonts w:ascii="Times New Roman" w:hAnsi="Times New Roman"/>
          <w:i/>
        </w:rPr>
      </w:pPr>
      <w:r>
        <w:rPr>
          <w:rFonts w:ascii="Times New Roman" w:hAnsi="Times New Roman"/>
        </w:rPr>
        <w:t xml:space="preserve">9. </w:t>
      </w:r>
      <w:r w:rsidR="00CC6448">
        <w:rPr>
          <w:rFonts w:ascii="Times New Roman" w:hAnsi="Times New Roman"/>
        </w:rPr>
        <w:t xml:space="preserve">  </w:t>
      </w:r>
      <w:r w:rsidR="00CB0464">
        <w:rPr>
          <w:rFonts w:ascii="Times New Roman" w:hAnsi="Times New Roman"/>
        </w:rPr>
        <w:t>American</w:t>
      </w:r>
      <w:r>
        <w:rPr>
          <w:rFonts w:ascii="Times New Roman" w:hAnsi="Times New Roman"/>
        </w:rPr>
        <w:t xml:space="preserve"> College of Obstetricians and Gynecologist. </w:t>
      </w:r>
      <w:r>
        <w:rPr>
          <w:rFonts w:ascii="Times New Roman" w:hAnsi="Times New Roman"/>
          <w:i/>
        </w:rPr>
        <w:t>Hypertension in Pregnancy,</w:t>
      </w:r>
    </w:p>
    <w:p w:rsidR="00686140" w:rsidRDefault="00686140" w:rsidP="004E1BF9">
      <w:pPr>
        <w:rPr>
          <w:rFonts w:ascii="Times New Roman" w:hAnsi="Times New Roman"/>
        </w:rPr>
      </w:pPr>
      <w:r>
        <w:rPr>
          <w:rFonts w:ascii="Times New Roman" w:hAnsi="Times New Roman"/>
          <w:i/>
        </w:rPr>
        <w:t xml:space="preserve">   </w:t>
      </w:r>
      <w:r w:rsidR="00CC6448">
        <w:rPr>
          <w:rFonts w:ascii="Times New Roman" w:hAnsi="Times New Roman"/>
          <w:i/>
        </w:rPr>
        <w:t xml:space="preserve">   </w:t>
      </w:r>
      <w:r>
        <w:rPr>
          <w:rFonts w:ascii="Times New Roman" w:hAnsi="Times New Roman"/>
        </w:rPr>
        <w:t>Technical Bulletin No. 219. Washington, DC: American College of Obstetricians and</w:t>
      </w:r>
    </w:p>
    <w:p w:rsidR="004E1BF9" w:rsidRPr="00686140" w:rsidRDefault="00686140" w:rsidP="004E1BF9">
      <w:pPr>
        <w:rPr>
          <w:rFonts w:ascii="Times New Roman" w:hAnsi="Times New Roman"/>
        </w:rPr>
      </w:pPr>
      <w:r>
        <w:rPr>
          <w:rFonts w:ascii="Times New Roman" w:hAnsi="Times New Roman"/>
        </w:rPr>
        <w:t xml:space="preserve">   </w:t>
      </w:r>
      <w:r w:rsidR="00CC6448">
        <w:rPr>
          <w:rFonts w:ascii="Times New Roman" w:hAnsi="Times New Roman"/>
        </w:rPr>
        <w:t xml:space="preserve">   </w:t>
      </w:r>
      <w:r>
        <w:rPr>
          <w:rFonts w:ascii="Times New Roman" w:hAnsi="Times New Roman"/>
        </w:rPr>
        <w:t>Gynecologists, 1996.</w:t>
      </w:r>
    </w:p>
    <w:p w:rsidR="00CC6448" w:rsidRDefault="00CC6448" w:rsidP="00CC6448">
      <w:pPr>
        <w:rPr>
          <w:rFonts w:ascii="Times" w:hAnsi="Times"/>
          <w:color w:val="000000"/>
          <w:szCs w:val="21"/>
          <w:shd w:val="clear" w:color="auto" w:fill="FFFFFF"/>
        </w:rPr>
      </w:pPr>
      <w:r>
        <w:rPr>
          <w:rFonts w:ascii="Times New Roman" w:hAnsi="Times New Roman"/>
        </w:rPr>
        <w:t xml:space="preserve">10. </w:t>
      </w:r>
      <w:r w:rsidRPr="00CC6448">
        <w:rPr>
          <w:rFonts w:ascii="Times New Roman" w:hAnsi="Times New Roman"/>
          <w:color w:val="000000"/>
          <w:szCs w:val="21"/>
          <w:shd w:val="clear" w:color="auto" w:fill="FFFFFF"/>
        </w:rPr>
        <w:t>I</w:t>
      </w:r>
      <w:r w:rsidRPr="00CC6448">
        <w:rPr>
          <w:rFonts w:ascii="Times" w:hAnsi="Times"/>
          <w:color w:val="000000"/>
          <w:szCs w:val="21"/>
          <w:shd w:val="clear" w:color="auto" w:fill="FFFFFF"/>
        </w:rPr>
        <w:t>OM (Institute of Medicine) and NRC (National Research Council). 2009. Weight</w:t>
      </w:r>
    </w:p>
    <w:p w:rsidR="00CC6448" w:rsidRDefault="00CC6448" w:rsidP="00CC6448">
      <w:pPr>
        <w:rPr>
          <w:rFonts w:ascii="Times" w:hAnsi="Times"/>
          <w:color w:val="000000"/>
          <w:szCs w:val="21"/>
          <w:shd w:val="clear" w:color="auto" w:fill="FFFFFF"/>
        </w:rPr>
      </w:pPr>
      <w:r>
        <w:rPr>
          <w:rFonts w:ascii="Times" w:hAnsi="Times"/>
          <w:color w:val="000000"/>
          <w:szCs w:val="21"/>
          <w:shd w:val="clear" w:color="auto" w:fill="FFFFFF"/>
        </w:rPr>
        <w:t xml:space="preserve">   </w:t>
      </w:r>
      <w:r w:rsidRPr="00CC6448">
        <w:rPr>
          <w:rFonts w:ascii="Times" w:hAnsi="Times"/>
          <w:color w:val="000000"/>
          <w:szCs w:val="21"/>
          <w:shd w:val="clear" w:color="auto" w:fill="FFFFFF"/>
        </w:rPr>
        <w:t xml:space="preserve"> </w:t>
      </w:r>
      <w:r>
        <w:rPr>
          <w:rFonts w:ascii="Times" w:hAnsi="Times"/>
          <w:color w:val="000000"/>
          <w:szCs w:val="21"/>
          <w:shd w:val="clear" w:color="auto" w:fill="FFFFFF"/>
        </w:rPr>
        <w:t xml:space="preserve">  </w:t>
      </w:r>
      <w:r w:rsidRPr="00CC6448">
        <w:rPr>
          <w:rFonts w:ascii="Times" w:hAnsi="Times"/>
          <w:color w:val="000000"/>
          <w:szCs w:val="21"/>
          <w:shd w:val="clear" w:color="auto" w:fill="FFFFFF"/>
        </w:rPr>
        <w:t>Gain During Pregnancy: Reexamining the Guidelines. Washington, DC: The National</w:t>
      </w:r>
    </w:p>
    <w:p w:rsidR="00DE28DC" w:rsidRDefault="00CC6448" w:rsidP="00CC6448">
      <w:pPr>
        <w:rPr>
          <w:rFonts w:ascii="Times" w:hAnsi="Times"/>
          <w:color w:val="000000"/>
          <w:szCs w:val="21"/>
          <w:shd w:val="clear" w:color="auto" w:fill="FFFFFF"/>
        </w:rPr>
      </w:pPr>
      <w:r>
        <w:rPr>
          <w:rFonts w:ascii="Times" w:hAnsi="Times"/>
          <w:color w:val="000000"/>
          <w:szCs w:val="21"/>
          <w:shd w:val="clear" w:color="auto" w:fill="FFFFFF"/>
        </w:rPr>
        <w:t xml:space="preserve">     </w:t>
      </w:r>
      <w:r w:rsidRPr="00CC6448">
        <w:rPr>
          <w:rFonts w:ascii="Times" w:hAnsi="Times"/>
          <w:color w:val="000000"/>
          <w:szCs w:val="21"/>
          <w:shd w:val="clear" w:color="auto" w:fill="FFFFFF"/>
        </w:rPr>
        <w:t xml:space="preserve"> Academies Press.</w:t>
      </w:r>
    </w:p>
    <w:p w:rsidR="006A758A" w:rsidRPr="005B7F55" w:rsidRDefault="00DE28DC" w:rsidP="006A758A">
      <w:pPr>
        <w:rPr>
          <w:rFonts w:ascii="Times New Roman" w:hAnsi="Times New Roman"/>
        </w:rPr>
      </w:pPr>
      <w:r w:rsidRPr="00DE28DC">
        <w:rPr>
          <w:rFonts w:ascii="Times" w:hAnsi="Times"/>
          <w:color w:val="000000"/>
          <w:szCs w:val="21"/>
          <w:shd w:val="clear" w:color="auto" w:fill="FFFFFF"/>
        </w:rPr>
        <w:t xml:space="preserve">11. </w:t>
      </w:r>
      <w:r w:rsidR="006A758A">
        <w:rPr>
          <w:rFonts w:ascii="Times New Roman" w:hAnsi="Times New Roman"/>
        </w:rPr>
        <w:t>Bishop EH. Pelvic scoring for elective induction. Obstet Gynecol. 1964; (24):266.</w:t>
      </w:r>
    </w:p>
    <w:p w:rsidR="006A758A" w:rsidRDefault="006A758A" w:rsidP="006A758A">
      <w:pPr>
        <w:pStyle w:val="ListParagraph"/>
        <w:shd w:val="clear" w:color="auto" w:fill="FFFFFF" w:themeFill="background1"/>
        <w:autoSpaceDE w:val="0"/>
        <w:autoSpaceDN w:val="0"/>
        <w:adjustRightInd w:val="0"/>
        <w:spacing w:after="200"/>
        <w:ind w:left="360"/>
        <w:rPr>
          <w:rFonts w:ascii="Times" w:hAnsi="Times"/>
          <w:color w:val="000000"/>
          <w:szCs w:val="21"/>
          <w:shd w:val="clear" w:color="auto" w:fill="FFFFFF"/>
        </w:rPr>
      </w:pPr>
    </w:p>
    <w:p w:rsidR="006A758A" w:rsidRPr="006A758A" w:rsidRDefault="005103D5" w:rsidP="006A758A">
      <w:pPr>
        <w:pStyle w:val="ListParagraph"/>
        <w:shd w:val="clear" w:color="auto" w:fill="FFFFFF" w:themeFill="background1"/>
        <w:autoSpaceDE w:val="0"/>
        <w:autoSpaceDN w:val="0"/>
        <w:adjustRightInd w:val="0"/>
        <w:spacing w:after="200"/>
        <w:ind w:left="0"/>
        <w:rPr>
          <w:rFonts w:ascii="Times" w:hAnsi="Times" w:cs="Times New Roman"/>
        </w:rPr>
      </w:pPr>
      <w:r>
        <w:rPr>
          <w:rFonts w:ascii="Times" w:hAnsi="Times" w:cs="Times New Roman"/>
        </w:rPr>
        <w:t xml:space="preserve">12. </w:t>
      </w:r>
      <w:r w:rsidR="006A758A" w:rsidRPr="006A758A">
        <w:rPr>
          <w:rFonts w:ascii="Times" w:hAnsi="Times" w:cs="Times New Roman"/>
        </w:rPr>
        <w:t>Harris P, Taylor R, Thielke R, Payne J, Gonzalez N, Conde J. Research electronic</w:t>
      </w:r>
    </w:p>
    <w:p w:rsidR="006A758A" w:rsidRDefault="006A758A" w:rsidP="006A758A">
      <w:pPr>
        <w:shd w:val="clear" w:color="auto" w:fill="FFFFFF" w:themeFill="background1"/>
        <w:autoSpaceDE w:val="0"/>
        <w:autoSpaceDN w:val="0"/>
        <w:adjustRightInd w:val="0"/>
        <w:spacing w:after="200"/>
        <w:contextualSpacing/>
        <w:rPr>
          <w:rFonts w:ascii="Times" w:hAnsi="Times" w:cs="Times New Roman"/>
        </w:rPr>
      </w:pPr>
      <w:r>
        <w:rPr>
          <w:rFonts w:ascii="Times" w:hAnsi="Times" w:cs="Times New Roman"/>
        </w:rPr>
        <w:t xml:space="preserve">     </w:t>
      </w:r>
      <w:r w:rsidRPr="00DE28DC">
        <w:rPr>
          <w:rFonts w:ascii="Times" w:hAnsi="Times" w:cs="Times New Roman"/>
        </w:rPr>
        <w:t xml:space="preserve"> data capture (REDCap): a metadata-driven methodology and workflow process for</w:t>
      </w:r>
    </w:p>
    <w:p w:rsidR="006A758A" w:rsidRDefault="006A758A" w:rsidP="006A758A">
      <w:pPr>
        <w:shd w:val="clear" w:color="auto" w:fill="FFFFFF" w:themeFill="background1"/>
        <w:autoSpaceDE w:val="0"/>
        <w:autoSpaceDN w:val="0"/>
        <w:adjustRightInd w:val="0"/>
        <w:spacing w:after="200"/>
        <w:contextualSpacing/>
        <w:rPr>
          <w:rFonts w:ascii="Times" w:hAnsi="Times" w:cs="Times New Roman"/>
        </w:rPr>
      </w:pPr>
      <w:r>
        <w:rPr>
          <w:rFonts w:ascii="Times" w:hAnsi="Times" w:cs="Times New Roman"/>
        </w:rPr>
        <w:t xml:space="preserve">     </w:t>
      </w:r>
      <w:r w:rsidRPr="00DE28DC">
        <w:rPr>
          <w:rFonts w:ascii="Times" w:hAnsi="Times" w:cs="Times New Roman"/>
        </w:rPr>
        <w:t xml:space="preserve"> providing translational research informatics support. J Biomed Inform. 2009; 42:377–</w:t>
      </w:r>
    </w:p>
    <w:p w:rsidR="006A758A" w:rsidRDefault="006A758A" w:rsidP="006A758A">
      <w:pPr>
        <w:shd w:val="clear" w:color="auto" w:fill="FFFFFF" w:themeFill="background1"/>
        <w:autoSpaceDE w:val="0"/>
        <w:autoSpaceDN w:val="0"/>
        <w:adjustRightInd w:val="0"/>
        <w:spacing w:after="200"/>
        <w:contextualSpacing/>
        <w:rPr>
          <w:rFonts w:ascii="Times" w:hAnsi="Times" w:cs="Times New Roman"/>
        </w:rPr>
      </w:pPr>
      <w:r>
        <w:rPr>
          <w:rFonts w:ascii="Times" w:hAnsi="Times" w:cs="Times New Roman"/>
        </w:rPr>
        <w:t xml:space="preserve">      </w:t>
      </w:r>
      <w:r w:rsidRPr="00DE28DC">
        <w:rPr>
          <w:rFonts w:ascii="Times" w:hAnsi="Times" w:cs="Times New Roman"/>
        </w:rPr>
        <w:t>81. [PubMed: 18929686].</w:t>
      </w:r>
    </w:p>
    <w:p w:rsidR="005103D5" w:rsidRDefault="006A758A" w:rsidP="005103D5">
      <w:pPr>
        <w:rPr>
          <w:rFonts w:ascii="Times New Roman" w:hAnsi="Times New Roman"/>
        </w:rPr>
      </w:pPr>
      <w:r>
        <w:rPr>
          <w:rFonts w:ascii="Times New Roman" w:hAnsi="Times New Roman"/>
        </w:rPr>
        <w:t xml:space="preserve">13. </w:t>
      </w:r>
      <w:r w:rsidR="005103D5">
        <w:rPr>
          <w:rFonts w:ascii="Times New Roman" w:hAnsi="Times New Roman"/>
        </w:rPr>
        <w:t>Xenakis EM, Piper JM, Filed N, et al. Preeclampsia: Is induction of Labor More</w:t>
      </w:r>
    </w:p>
    <w:p w:rsidR="005103D5" w:rsidRDefault="005103D5" w:rsidP="005103D5">
      <w:pPr>
        <w:rPr>
          <w:rFonts w:ascii="Times New Roman" w:hAnsi="Times New Roman"/>
        </w:rPr>
      </w:pPr>
      <w:r>
        <w:rPr>
          <w:rFonts w:ascii="Times New Roman" w:hAnsi="Times New Roman"/>
        </w:rPr>
        <w:t xml:space="preserve">      Successful? Obstet Gynecol.1997; (89):600-603.</w:t>
      </w:r>
    </w:p>
    <w:p w:rsidR="005103D5" w:rsidRDefault="005103D5" w:rsidP="005103D5">
      <w:pPr>
        <w:rPr>
          <w:rFonts w:ascii="Times New Roman" w:hAnsi="Times New Roman"/>
        </w:rPr>
      </w:pPr>
      <w:r>
        <w:rPr>
          <w:rFonts w:ascii="Times New Roman" w:hAnsi="Times New Roman"/>
        </w:rPr>
        <w:t>1</w:t>
      </w:r>
      <w:r w:rsidR="006A758A">
        <w:rPr>
          <w:rFonts w:ascii="Times New Roman" w:hAnsi="Times New Roman"/>
        </w:rPr>
        <w:t>4</w:t>
      </w:r>
      <w:r>
        <w:rPr>
          <w:rFonts w:ascii="Times New Roman" w:hAnsi="Times New Roman"/>
        </w:rPr>
        <w:t>. Berkley, E, Meng C, Fayburn WF. Success rates with low dose misoprostol before</w:t>
      </w:r>
    </w:p>
    <w:p w:rsidR="005103D5" w:rsidRDefault="005103D5" w:rsidP="005103D5">
      <w:pPr>
        <w:rPr>
          <w:rFonts w:ascii="Times New Roman" w:hAnsi="Times New Roman"/>
        </w:rPr>
      </w:pPr>
      <w:r>
        <w:rPr>
          <w:rFonts w:ascii="Times New Roman" w:hAnsi="Times New Roman"/>
        </w:rPr>
        <w:t xml:space="preserve">      induction of labor for nulliparas with severe preeclampsia at various gestational ages.</w:t>
      </w:r>
    </w:p>
    <w:p w:rsidR="00F51119" w:rsidRDefault="005103D5" w:rsidP="005103D5">
      <w:pPr>
        <w:rPr>
          <w:rFonts w:ascii="Times New Roman" w:hAnsi="Times New Roman"/>
        </w:rPr>
      </w:pPr>
      <w:r>
        <w:rPr>
          <w:rFonts w:ascii="Times New Roman" w:hAnsi="Times New Roman"/>
        </w:rPr>
        <w:t xml:space="preserve">      J Matern Fetal and Neonatal Med. 2007; (11): 825-831.</w:t>
      </w:r>
    </w:p>
    <w:p w:rsidR="00F51119" w:rsidRDefault="00F51119" w:rsidP="00F51119">
      <w:pPr>
        <w:rPr>
          <w:rFonts w:ascii="Times New Roman" w:hAnsi="Times New Roman"/>
        </w:rPr>
      </w:pPr>
      <w:r>
        <w:rPr>
          <w:rFonts w:ascii="Times New Roman" w:hAnsi="Times New Roman"/>
        </w:rPr>
        <w:t>1</w:t>
      </w:r>
      <w:r w:rsidR="006A758A">
        <w:rPr>
          <w:rFonts w:ascii="Times New Roman" w:hAnsi="Times New Roman"/>
        </w:rPr>
        <w:t>5</w:t>
      </w:r>
      <w:r>
        <w:rPr>
          <w:rFonts w:ascii="Times New Roman" w:hAnsi="Times New Roman"/>
        </w:rPr>
        <w:t>. Nassar AH, Adra AM, Chakhtoura N. Severe preeclampsia remote from term: Labor</w:t>
      </w:r>
    </w:p>
    <w:p w:rsidR="00F51119" w:rsidRDefault="00F51119" w:rsidP="00F51119">
      <w:pPr>
        <w:rPr>
          <w:rFonts w:ascii="Times New Roman" w:hAnsi="Times New Roman"/>
        </w:rPr>
      </w:pPr>
      <w:r>
        <w:rPr>
          <w:rFonts w:ascii="Times New Roman" w:hAnsi="Times New Roman"/>
        </w:rPr>
        <w:t xml:space="preserve">      induction or elective cesarean delivery. Am J Obstet Gynecol. 1998; (179):1210-</w:t>
      </w:r>
    </w:p>
    <w:p w:rsidR="00F51119" w:rsidRDefault="00F51119" w:rsidP="00F51119">
      <w:pPr>
        <w:rPr>
          <w:rFonts w:ascii="Times New Roman" w:hAnsi="Times New Roman"/>
        </w:rPr>
      </w:pPr>
      <w:r>
        <w:rPr>
          <w:rFonts w:ascii="Times New Roman" w:hAnsi="Times New Roman"/>
        </w:rPr>
        <w:t xml:space="preserve">     1203.</w:t>
      </w:r>
    </w:p>
    <w:p w:rsidR="00F51119" w:rsidRDefault="00F51119" w:rsidP="00F51119">
      <w:pPr>
        <w:rPr>
          <w:rFonts w:ascii="Times New Roman" w:hAnsi="Times New Roman"/>
        </w:rPr>
      </w:pPr>
      <w:r>
        <w:rPr>
          <w:rFonts w:ascii="Times New Roman" w:hAnsi="Times New Roman"/>
        </w:rPr>
        <w:t>1</w:t>
      </w:r>
      <w:r w:rsidR="006A758A">
        <w:rPr>
          <w:rFonts w:ascii="Times New Roman" w:hAnsi="Times New Roman"/>
        </w:rPr>
        <w:t>6</w:t>
      </w:r>
      <w:r>
        <w:rPr>
          <w:rFonts w:ascii="Times New Roman" w:hAnsi="Times New Roman"/>
        </w:rPr>
        <w:t>. Blackwell SC, Redman ME, Tomlison M. Labor induction for the preterm severe pre-</w:t>
      </w:r>
    </w:p>
    <w:p w:rsidR="00F51119" w:rsidRDefault="00F51119" w:rsidP="00F51119">
      <w:pPr>
        <w:rPr>
          <w:rFonts w:ascii="Times New Roman" w:hAnsi="Times New Roman"/>
        </w:rPr>
      </w:pPr>
      <w:r>
        <w:rPr>
          <w:rFonts w:ascii="Times New Roman" w:hAnsi="Times New Roman"/>
        </w:rPr>
        <w:t xml:space="preserve">      eclamptic patient: is it worth the effort? J Matern Fetal and Neonatal Med. 2001; (10)</w:t>
      </w:r>
      <w:r w:rsidR="003A0EF7">
        <w:rPr>
          <w:rFonts w:ascii="Times New Roman" w:hAnsi="Times New Roman"/>
        </w:rPr>
        <w:t>:</w:t>
      </w:r>
    </w:p>
    <w:p w:rsidR="003A0EF7" w:rsidRDefault="00F51119">
      <w:pPr>
        <w:rPr>
          <w:rFonts w:ascii="Times New Roman" w:hAnsi="Times New Roman"/>
        </w:rPr>
      </w:pPr>
      <w:r>
        <w:rPr>
          <w:rFonts w:ascii="Times New Roman" w:hAnsi="Times New Roman"/>
        </w:rPr>
        <w:t xml:space="preserve">      305-311.</w:t>
      </w:r>
    </w:p>
    <w:p w:rsidR="00EA5897" w:rsidRDefault="00EA5897">
      <w:pPr>
        <w:rPr>
          <w:rFonts w:ascii="Times New Roman" w:hAnsi="Times New Roman"/>
        </w:rPr>
      </w:pPr>
      <w:r>
        <w:rPr>
          <w:rFonts w:ascii="Times New Roman" w:hAnsi="Times New Roman"/>
        </w:rPr>
        <w:lastRenderedPageBreak/>
        <w:br w:type="page"/>
      </w:r>
    </w:p>
    <w:bookmarkEnd w:id="0"/>
    <w:p w:rsidR="001F619D" w:rsidRDefault="001F619D">
      <w:pPr>
        <w:rPr>
          <w:rFonts w:ascii="Times New Roman" w:hAnsi="Times New Roman"/>
          <w:b/>
        </w:rPr>
      </w:pPr>
    </w:p>
    <w:p w:rsidR="001F619D" w:rsidRDefault="001F619D">
      <w:pPr>
        <w:rPr>
          <w:rFonts w:ascii="Times New Roman" w:hAnsi="Times New Roman"/>
        </w:rPr>
      </w:pPr>
      <w:r>
        <w:rPr>
          <w:rFonts w:ascii="Times New Roman" w:hAnsi="Times New Roman"/>
          <w:b/>
        </w:rPr>
        <w:t xml:space="preserve">Table 1:  </w:t>
      </w:r>
      <w:r w:rsidRPr="00BC4DDF">
        <w:rPr>
          <w:rFonts w:ascii="Times New Roman" w:hAnsi="Times New Roman"/>
        </w:rPr>
        <w:t>Demographic characteristics, select delivery and fetal outcomes compared in women with pre-eclampsia induced and not induced.</w:t>
      </w:r>
      <w:r>
        <w:rPr>
          <w:rFonts w:ascii="Times New Roman" w:hAnsi="Times New Roman"/>
        </w:rPr>
        <w:t xml:space="preserve"> BMI-body mass index, GA-gestational age, NICU-neonatal intensive care unit, LOS-length of stay.  For fetal growth restriction, 672 patients included in analysis as had ultrasound assessment of growth prior to delivery.</w:t>
      </w:r>
      <w:r w:rsidR="00712CB4">
        <w:rPr>
          <w:rFonts w:ascii="Times New Roman" w:hAnsi="Times New Roman"/>
        </w:rPr>
        <w:t xml:space="preserve">  For cord pH, 561 included in analysis.</w:t>
      </w:r>
    </w:p>
    <w:p w:rsidR="001F619D" w:rsidRDefault="001F619D">
      <w:pPr>
        <w:rPr>
          <w:rFonts w:ascii="Times New Roman" w:hAnsi="Times New Roman"/>
        </w:rPr>
      </w:pPr>
    </w:p>
    <w:tbl>
      <w:tblPr>
        <w:tblW w:w="9840" w:type="dxa"/>
        <w:tblLook w:val="04A0" w:firstRow="1" w:lastRow="0" w:firstColumn="1" w:lastColumn="0" w:noHBand="0" w:noVBand="1"/>
      </w:tblPr>
      <w:tblGrid>
        <w:gridCol w:w="4120"/>
        <w:gridCol w:w="2280"/>
        <w:gridCol w:w="2280"/>
        <w:gridCol w:w="1160"/>
      </w:tblGrid>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w:t>
            </w:r>
          </w:p>
        </w:tc>
        <w:tc>
          <w:tcPr>
            <w:tcW w:w="2280" w:type="dxa"/>
            <w:tcBorders>
              <w:top w:val="nil"/>
              <w:left w:val="nil"/>
              <w:bottom w:val="nil"/>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Not induced</w:t>
            </w:r>
          </w:p>
        </w:tc>
        <w:tc>
          <w:tcPr>
            <w:tcW w:w="2280" w:type="dxa"/>
            <w:tcBorders>
              <w:top w:val="nil"/>
              <w:left w:val="nil"/>
              <w:bottom w:val="nil"/>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Induced</w:t>
            </w:r>
          </w:p>
        </w:tc>
        <w:tc>
          <w:tcPr>
            <w:tcW w:w="1160" w:type="dxa"/>
            <w:tcBorders>
              <w:top w:val="nil"/>
              <w:left w:val="nil"/>
              <w:bottom w:val="nil"/>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p value</w:t>
            </w:r>
          </w:p>
        </w:tc>
      </w:tr>
      <w:tr w:rsidR="001F619D" w:rsidRPr="001F619D" w:rsidTr="001F619D">
        <w:trPr>
          <w:trHeight w:val="315"/>
        </w:trPr>
        <w:tc>
          <w:tcPr>
            <w:tcW w:w="4120" w:type="dxa"/>
            <w:tcBorders>
              <w:top w:val="nil"/>
              <w:left w:val="nil"/>
              <w:bottom w:val="single" w:sz="8" w:space="0" w:color="auto"/>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w:t>
            </w:r>
          </w:p>
        </w:tc>
        <w:tc>
          <w:tcPr>
            <w:tcW w:w="2280" w:type="dxa"/>
            <w:tcBorders>
              <w:top w:val="nil"/>
              <w:left w:val="nil"/>
              <w:bottom w:val="single" w:sz="8" w:space="0" w:color="auto"/>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N= 334</w:t>
            </w:r>
          </w:p>
        </w:tc>
        <w:tc>
          <w:tcPr>
            <w:tcW w:w="2280" w:type="dxa"/>
            <w:tcBorders>
              <w:top w:val="nil"/>
              <w:left w:val="nil"/>
              <w:bottom w:val="single" w:sz="8" w:space="0" w:color="auto"/>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N= 467</w:t>
            </w:r>
          </w:p>
        </w:tc>
        <w:tc>
          <w:tcPr>
            <w:tcW w:w="1160" w:type="dxa"/>
            <w:tcBorders>
              <w:top w:val="nil"/>
              <w:left w:val="nil"/>
              <w:bottom w:val="single" w:sz="8" w:space="0" w:color="auto"/>
              <w:right w:val="nil"/>
            </w:tcBorders>
            <w:shd w:val="clear" w:color="000000" w:fill="F2F2F2"/>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w:t>
            </w:r>
          </w:p>
        </w:tc>
      </w:tr>
      <w:tr w:rsidR="001F619D" w:rsidRPr="001F619D" w:rsidTr="001F619D">
        <w:trPr>
          <w:trHeight w:val="315"/>
        </w:trPr>
        <w:tc>
          <w:tcPr>
            <w:tcW w:w="4120" w:type="dxa"/>
            <w:tcBorders>
              <w:top w:val="nil"/>
              <w:left w:val="nil"/>
              <w:bottom w:val="nil"/>
              <w:right w:val="single" w:sz="8" w:space="0" w:color="auto"/>
            </w:tcBorders>
            <w:shd w:val="clear" w:color="000000" w:fill="F2F2F2"/>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Demographics:</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Age (years), mean ± SD</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27 ± 6.6</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25.6 ± 6.4</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&lt;.001</w:t>
            </w: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Race, n</w:t>
            </w:r>
            <w:r w:rsidR="00712CB4">
              <w:rPr>
                <w:rFonts w:ascii="Calibri" w:eastAsia="Times New Roman" w:hAnsi="Calibri" w:cs="Times New Roman"/>
                <w:color w:val="000000"/>
                <w:sz w:val="22"/>
                <w:szCs w:val="22"/>
              </w:rPr>
              <w:t xml:space="preserve"> </w:t>
            </w:r>
            <w:r w:rsidRPr="001F619D">
              <w:rPr>
                <w:rFonts w:ascii="Calibri" w:eastAsia="Times New Roman" w:hAnsi="Calibri" w:cs="Times New Roman"/>
                <w:color w:val="000000"/>
                <w:sz w:val="22"/>
                <w:szCs w:val="22"/>
              </w:rPr>
              <w:t>(%)</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right"/>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White</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137 (51.1)</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131 (48.9)</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right"/>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Black</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168 (36.8)</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289 (63.2)</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right"/>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Hispanic</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22 (39.3)</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34 (60.7)</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right"/>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Other</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8 (38.1)</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13(61.9)</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Parity, median(95%CI)</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 (1,1)</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 (0,0)</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&lt;0.001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BMI pre-pregnancy, mean ± SD</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31.4 ± 9.7</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30.5 ± 9.4</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0.18</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Tobacco use, n</w:t>
            </w:r>
            <w:r w:rsidR="00712CB4">
              <w:rPr>
                <w:rFonts w:ascii="Calibri" w:eastAsia="Times New Roman" w:hAnsi="Calibri" w:cs="Times New Roman"/>
                <w:color w:val="000000"/>
                <w:sz w:val="22"/>
                <w:szCs w:val="22"/>
              </w:rPr>
              <w:t xml:space="preserve"> </w:t>
            </w:r>
            <w:r w:rsidRPr="001F619D">
              <w:rPr>
                <w:rFonts w:ascii="Calibri" w:eastAsia="Times New Roman" w:hAnsi="Calibri" w:cs="Times New Roman"/>
                <w:color w:val="000000"/>
                <w:sz w:val="22"/>
                <w:szCs w:val="22"/>
              </w:rPr>
              <w:t>(%)</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85 (25.4)</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90 (19.5)</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0.04</w:t>
            </w: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r>
      <w:tr w:rsidR="001F619D" w:rsidRPr="001F619D" w:rsidTr="001F619D">
        <w:trPr>
          <w:trHeight w:val="315"/>
        </w:trPr>
        <w:tc>
          <w:tcPr>
            <w:tcW w:w="4120" w:type="dxa"/>
            <w:tcBorders>
              <w:top w:val="nil"/>
              <w:left w:val="nil"/>
              <w:bottom w:val="nil"/>
              <w:right w:val="single" w:sz="8" w:space="0" w:color="auto"/>
            </w:tcBorders>
            <w:shd w:val="clear" w:color="000000" w:fill="F2F2F2"/>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Delivery Management:</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rPr>
                <w:rFonts w:ascii="Times New Roman" w:eastAsia="Times New Roman" w:hAnsi="Times New Roman" w:cs="Times New Roman"/>
                <w:sz w:val="20"/>
                <w:szCs w:val="20"/>
              </w:rPr>
            </w:pP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GA at delivery (weeks), median (95%CI)</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35 (34,36)</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37 (37,37)</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 0.001</w:t>
            </w:r>
          </w:p>
        </w:tc>
      </w:tr>
      <w:tr w:rsidR="001F619D" w:rsidRPr="001F619D" w:rsidTr="001F619D">
        <w:trPr>
          <w:trHeight w:val="315"/>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Delivery less than 34 weeks, n</w:t>
            </w:r>
            <w:r w:rsidR="00712CB4">
              <w:rPr>
                <w:rFonts w:ascii="Calibri" w:eastAsia="Times New Roman" w:hAnsi="Calibri" w:cs="Times New Roman"/>
                <w:color w:val="000000"/>
                <w:sz w:val="22"/>
                <w:szCs w:val="22"/>
              </w:rPr>
              <w:t xml:space="preserve"> </w:t>
            </w:r>
            <w:r w:rsidRPr="001F619D">
              <w:rPr>
                <w:rFonts w:ascii="Calibri" w:eastAsia="Times New Roman" w:hAnsi="Calibri" w:cs="Times New Roman"/>
                <w:color w:val="000000"/>
                <w:sz w:val="22"/>
                <w:szCs w:val="22"/>
              </w:rPr>
              <w:t>(%)</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149 (44.6)</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99 (21.2)</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Bishop score, median (95%CI)</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 (0,2)</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 (2,2)</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0.11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Cervical dilation, median (95%CI)</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 (0.5,1.5)</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 (1,1)</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0.09</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Effacement, median (95%CI)</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40 (20,50)</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40 (30,50)</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0.11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Fetal growth restriction, n (%)</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64 (22.1)</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42 (11.0)</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&lt;0.001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Times New Roman" w:eastAsia="Times New Roman" w:hAnsi="Times New Roman" w:cs="Times New Roman"/>
                <w:sz w:val="20"/>
                <w:szCs w:val="20"/>
              </w:rPr>
            </w:pPr>
          </w:p>
        </w:tc>
      </w:tr>
      <w:tr w:rsidR="001F619D" w:rsidRPr="001F619D" w:rsidTr="001F619D">
        <w:trPr>
          <w:trHeight w:val="300"/>
        </w:trPr>
        <w:tc>
          <w:tcPr>
            <w:tcW w:w="4120" w:type="dxa"/>
            <w:tcBorders>
              <w:top w:val="nil"/>
              <w:left w:val="nil"/>
              <w:bottom w:val="nil"/>
              <w:right w:val="single" w:sz="8" w:space="0" w:color="auto"/>
            </w:tcBorders>
            <w:shd w:val="clear" w:color="000000" w:fill="F2F2F2"/>
            <w:noWrap/>
            <w:vAlign w:val="bottom"/>
            <w:hideMark/>
          </w:tcPr>
          <w:p w:rsidR="001F619D" w:rsidRPr="001F619D" w:rsidRDefault="001F619D" w:rsidP="001F619D">
            <w:pPr>
              <w:jc w:val="center"/>
              <w:rPr>
                <w:rFonts w:ascii="Calibri" w:eastAsia="Times New Roman" w:hAnsi="Calibri" w:cs="Times New Roman"/>
                <w:b/>
                <w:bCs/>
                <w:color w:val="000000"/>
                <w:sz w:val="22"/>
                <w:szCs w:val="22"/>
              </w:rPr>
            </w:pPr>
            <w:r w:rsidRPr="001F619D">
              <w:rPr>
                <w:rFonts w:ascii="Calibri" w:eastAsia="Times New Roman" w:hAnsi="Calibri" w:cs="Times New Roman"/>
                <w:b/>
                <w:bCs/>
                <w:color w:val="000000"/>
                <w:sz w:val="22"/>
                <w:szCs w:val="22"/>
              </w:rPr>
              <w:t>Fetal Complications</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b/>
                <w:bCs/>
                <w:color w:val="000000"/>
                <w:sz w:val="22"/>
                <w:szCs w:val="22"/>
              </w:rPr>
            </w:pP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Times New Roman" w:eastAsia="Times New Roman" w:hAnsi="Times New Roman" w:cs="Times New Roman"/>
                <w:sz w:val="20"/>
                <w:szCs w:val="20"/>
              </w:rPr>
            </w:pP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Birth weight, mean ± SD</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2216 ± 1067</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2737 ± 776</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&lt;0.001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Apgar at 5 minutes, median (95%CL)</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9 (9,9)</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9 (9,9)</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0.006</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712CB4">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 xml:space="preserve">cord pH </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7.25  ± 0.08</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7.26 ± 0.08</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0.30</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NICU admission</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165 (49.8)</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121 (26.1)</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&lt;0.001</w:t>
            </w:r>
          </w:p>
        </w:tc>
      </w:tr>
      <w:tr w:rsidR="001F619D" w:rsidRPr="001F619D" w:rsidTr="001F619D">
        <w:trPr>
          <w:trHeight w:val="300"/>
        </w:trPr>
        <w:tc>
          <w:tcPr>
            <w:tcW w:w="4120" w:type="dxa"/>
            <w:tcBorders>
              <w:top w:val="nil"/>
              <w:left w:val="nil"/>
              <w:bottom w:val="nil"/>
              <w:right w:val="single" w:sz="8" w:space="0" w:color="auto"/>
            </w:tcBorders>
            <w:shd w:val="clear" w:color="auto" w:fill="auto"/>
            <w:noWrap/>
            <w:vAlign w:val="bottom"/>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Newborn LOS (d), mean(95%CL)</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4 (3,5)</w:t>
            </w:r>
          </w:p>
        </w:tc>
        <w:tc>
          <w:tcPr>
            <w:tcW w:w="228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2 (2,3)</w:t>
            </w:r>
          </w:p>
        </w:tc>
        <w:tc>
          <w:tcPr>
            <w:tcW w:w="1160" w:type="dxa"/>
            <w:tcBorders>
              <w:top w:val="nil"/>
              <w:left w:val="nil"/>
              <w:bottom w:val="nil"/>
              <w:right w:val="nil"/>
            </w:tcBorders>
            <w:shd w:val="clear" w:color="auto" w:fill="auto"/>
            <w:noWrap/>
            <w:vAlign w:val="center"/>
            <w:hideMark/>
          </w:tcPr>
          <w:p w:rsidR="001F619D" w:rsidRPr="001F619D" w:rsidRDefault="001F619D" w:rsidP="001F619D">
            <w:pPr>
              <w:jc w:val="center"/>
              <w:rPr>
                <w:rFonts w:ascii="Calibri" w:eastAsia="Times New Roman" w:hAnsi="Calibri" w:cs="Times New Roman"/>
                <w:color w:val="000000"/>
                <w:sz w:val="22"/>
                <w:szCs w:val="22"/>
              </w:rPr>
            </w:pPr>
            <w:r w:rsidRPr="001F619D">
              <w:rPr>
                <w:rFonts w:ascii="Calibri" w:eastAsia="Times New Roman" w:hAnsi="Calibri" w:cs="Times New Roman"/>
                <w:color w:val="000000"/>
                <w:sz w:val="22"/>
                <w:szCs w:val="22"/>
              </w:rPr>
              <w:t>&lt;0.001</w:t>
            </w:r>
          </w:p>
        </w:tc>
      </w:tr>
    </w:tbl>
    <w:p w:rsidR="001F619D" w:rsidRDefault="001F619D">
      <w:pPr>
        <w:rPr>
          <w:rFonts w:ascii="Times New Roman" w:hAnsi="Times New Roman"/>
        </w:rPr>
      </w:pPr>
    </w:p>
    <w:p w:rsidR="001F619D" w:rsidRDefault="001F619D">
      <w:pPr>
        <w:rPr>
          <w:rFonts w:ascii="Times New Roman" w:hAnsi="Times New Roman"/>
        </w:rPr>
      </w:pPr>
    </w:p>
    <w:p w:rsidR="001F619D" w:rsidRDefault="001F619D">
      <w:pPr>
        <w:rPr>
          <w:rFonts w:ascii="Times New Roman" w:hAnsi="Times New Roman"/>
        </w:rPr>
      </w:pPr>
    </w:p>
    <w:p w:rsidR="001F619D" w:rsidRDefault="001F619D">
      <w:pPr>
        <w:rPr>
          <w:rFonts w:ascii="Times New Roman" w:hAnsi="Times New Roman"/>
        </w:rPr>
      </w:pPr>
    </w:p>
    <w:p w:rsidR="001F619D" w:rsidRDefault="001F619D">
      <w:pPr>
        <w:rPr>
          <w:rFonts w:ascii="Times New Roman" w:hAnsi="Times New Roman"/>
        </w:rPr>
      </w:pPr>
      <w:r>
        <w:rPr>
          <w:rFonts w:ascii="Times New Roman" w:hAnsi="Times New Roman"/>
        </w:rPr>
        <w:br w:type="page"/>
      </w:r>
    </w:p>
    <w:p w:rsidR="001F619D" w:rsidRDefault="001F619D">
      <w:pPr>
        <w:rPr>
          <w:rFonts w:ascii="Times New Roman" w:hAnsi="Times New Roman"/>
          <w:b/>
        </w:rPr>
      </w:pPr>
    </w:p>
    <w:p w:rsidR="001F619D" w:rsidRDefault="001F619D">
      <w:pPr>
        <w:rPr>
          <w:rFonts w:ascii="Times New Roman" w:hAnsi="Times New Roman"/>
          <w:b/>
        </w:rPr>
      </w:pPr>
    </w:p>
    <w:p w:rsidR="00EA5897" w:rsidRPr="00F37ADA" w:rsidRDefault="00EA5897">
      <w:pPr>
        <w:rPr>
          <w:rFonts w:ascii="Times New Roman" w:hAnsi="Times New Roman"/>
        </w:rPr>
      </w:pPr>
      <w:r>
        <w:rPr>
          <w:rFonts w:ascii="Times New Roman" w:hAnsi="Times New Roman"/>
          <w:b/>
        </w:rPr>
        <w:t xml:space="preserve">Table 2:  </w:t>
      </w:r>
      <w:r w:rsidR="00F37ADA">
        <w:rPr>
          <w:rFonts w:ascii="Times New Roman" w:hAnsi="Times New Roman"/>
        </w:rPr>
        <w:t>Select maternal, pre-eclampsia and fetal characteristics and their association with failed labor.</w:t>
      </w:r>
      <w:r w:rsidR="00F71FBC">
        <w:rPr>
          <w:rFonts w:ascii="Times New Roman" w:hAnsi="Times New Roman"/>
        </w:rPr>
        <w:t xml:space="preserve">  Data derived from all patients induced (n= 467) with following exceptions:  Unfavorable Bishop score (n=467), </w:t>
      </w:r>
      <w:r w:rsidR="00F37ADA">
        <w:rPr>
          <w:rFonts w:ascii="Times New Roman" w:hAnsi="Times New Roman"/>
        </w:rPr>
        <w:t xml:space="preserve"> </w:t>
      </w:r>
      <w:r w:rsidR="00F71FBC">
        <w:rPr>
          <w:rFonts w:ascii="Times New Roman" w:hAnsi="Times New Roman"/>
        </w:rPr>
        <w:t xml:space="preserve">fetal growth restriction (n= 382), </w:t>
      </w:r>
      <w:r w:rsidR="00F37ADA">
        <w:rPr>
          <w:rFonts w:ascii="Times New Roman" w:hAnsi="Times New Roman"/>
        </w:rPr>
        <w:t xml:space="preserve"> </w:t>
      </w:r>
      <w:r w:rsidR="00F71FBC">
        <w:rPr>
          <w:rFonts w:ascii="Times New Roman" w:hAnsi="Times New Roman"/>
        </w:rPr>
        <w:t>oligohydramnios (n=380), and umbilical artery Doppler (n=164) given lack of documented Bishop score or sonogram markers documented prior to induction.</w:t>
      </w:r>
    </w:p>
    <w:p w:rsidR="00FB35F1" w:rsidRDefault="00FB35F1">
      <w:pPr>
        <w:rPr>
          <w:rFonts w:ascii="Times New Roman" w:hAnsi="Times New Roman"/>
        </w:rPr>
      </w:pPr>
    </w:p>
    <w:tbl>
      <w:tblPr>
        <w:tblW w:w="10890" w:type="dxa"/>
        <w:tblLook w:val="04A0" w:firstRow="1" w:lastRow="0" w:firstColumn="1" w:lastColumn="0" w:noHBand="0" w:noVBand="1"/>
      </w:tblPr>
      <w:tblGrid>
        <w:gridCol w:w="3510"/>
        <w:gridCol w:w="2610"/>
        <w:gridCol w:w="1980"/>
        <w:gridCol w:w="1170"/>
        <w:gridCol w:w="1620"/>
      </w:tblGrid>
      <w:tr w:rsidR="00F37ADA" w:rsidRPr="00EA5897" w:rsidTr="00712CB4">
        <w:trPr>
          <w:trHeight w:val="300"/>
        </w:trPr>
        <w:tc>
          <w:tcPr>
            <w:tcW w:w="3510" w:type="dxa"/>
            <w:tcBorders>
              <w:top w:val="single" w:sz="8" w:space="0" w:color="000000"/>
              <w:left w:val="nil"/>
              <w:bottom w:val="nil"/>
              <w:right w:val="single" w:sz="4" w:space="0" w:color="auto"/>
            </w:tcBorders>
            <w:shd w:val="clear" w:color="auto" w:fill="auto"/>
            <w:noWrap/>
            <w:vAlign w:val="bottom"/>
            <w:hideMark/>
          </w:tcPr>
          <w:p w:rsidR="00EA5897" w:rsidRPr="00EA5897" w:rsidRDefault="00EA5897" w:rsidP="00EA5897">
            <w:pP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2610" w:type="dxa"/>
            <w:tcBorders>
              <w:top w:val="single" w:sz="8" w:space="0" w:color="000000"/>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Successful induction</w:t>
            </w:r>
          </w:p>
        </w:tc>
        <w:tc>
          <w:tcPr>
            <w:tcW w:w="1980" w:type="dxa"/>
            <w:tcBorders>
              <w:top w:val="single" w:sz="8" w:space="0" w:color="000000"/>
              <w:left w:val="nil"/>
              <w:bottom w:val="nil"/>
              <w:right w:val="single" w:sz="4" w:space="0" w:color="auto"/>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Failed induction</w:t>
            </w:r>
          </w:p>
        </w:tc>
        <w:tc>
          <w:tcPr>
            <w:tcW w:w="1170" w:type="dxa"/>
            <w:tcBorders>
              <w:top w:val="single" w:sz="8" w:space="0" w:color="000000"/>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 xml:space="preserve">OR </w:t>
            </w:r>
          </w:p>
        </w:tc>
        <w:tc>
          <w:tcPr>
            <w:tcW w:w="1620" w:type="dxa"/>
            <w:tcBorders>
              <w:top w:val="single" w:sz="8" w:space="0" w:color="000000"/>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95% CI</w:t>
            </w:r>
          </w:p>
        </w:tc>
      </w:tr>
      <w:tr w:rsidR="00F37ADA" w:rsidRPr="00EA5897" w:rsidTr="00712CB4">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2610" w:type="dxa"/>
            <w:tcBorders>
              <w:top w:val="nil"/>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n= 312 (67%)</w:t>
            </w:r>
          </w:p>
        </w:tc>
        <w:tc>
          <w:tcPr>
            <w:tcW w:w="1980" w:type="dxa"/>
            <w:tcBorders>
              <w:top w:val="nil"/>
              <w:left w:val="nil"/>
              <w:bottom w:val="nil"/>
              <w:right w:val="single" w:sz="4" w:space="0" w:color="auto"/>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n= 155 (33%)</w:t>
            </w:r>
          </w:p>
        </w:tc>
        <w:tc>
          <w:tcPr>
            <w:tcW w:w="1170" w:type="dxa"/>
            <w:tcBorders>
              <w:top w:val="nil"/>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 </w:t>
            </w:r>
          </w:p>
        </w:tc>
        <w:tc>
          <w:tcPr>
            <w:tcW w:w="1620" w:type="dxa"/>
            <w:tcBorders>
              <w:top w:val="nil"/>
              <w:left w:val="nil"/>
              <w:bottom w:val="nil"/>
              <w:right w:val="nil"/>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 </w:t>
            </w:r>
          </w:p>
        </w:tc>
      </w:tr>
      <w:tr w:rsidR="00712CB4" w:rsidRPr="00EA5897" w:rsidTr="00712CB4">
        <w:trPr>
          <w:trHeight w:val="300"/>
        </w:trPr>
        <w:tc>
          <w:tcPr>
            <w:tcW w:w="3510" w:type="dxa"/>
            <w:tcBorders>
              <w:top w:val="nil"/>
              <w:left w:val="nil"/>
              <w:bottom w:val="nil"/>
              <w:right w:val="single" w:sz="4" w:space="0" w:color="auto"/>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Maternal characteristics, n</w:t>
            </w:r>
            <w:r w:rsidR="00F71FBC">
              <w:rPr>
                <w:rFonts w:ascii="Calibri" w:eastAsia="Times New Roman" w:hAnsi="Calibri" w:cs="Times New Roman"/>
                <w:b/>
                <w:bCs/>
                <w:color w:val="000000"/>
                <w:sz w:val="22"/>
                <w:szCs w:val="22"/>
              </w:rPr>
              <w:t xml:space="preserve"> </w:t>
            </w:r>
            <w:r w:rsidRPr="00EA5897">
              <w:rPr>
                <w:rFonts w:ascii="Calibri" w:eastAsia="Times New Roman" w:hAnsi="Calibri" w:cs="Times New Roman"/>
                <w:b/>
                <w:bCs/>
                <w:color w:val="000000"/>
                <w:sz w:val="22"/>
                <w:szCs w:val="22"/>
              </w:rPr>
              <w:t>(%)</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Primiparous</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158 (58.3)</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113 (41.7)</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1.62</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1.31-2.00</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Obese</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130 (64.7)</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71 (35.3)</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1.04</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0.85-1.26</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Excessive weight gain</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153 (65.4)</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81 (34.6)</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1.05</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0.87-1.28</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r w:rsidR="00712CB4" w:rsidRPr="00EA5897" w:rsidTr="00712CB4">
        <w:trPr>
          <w:trHeight w:val="300"/>
        </w:trPr>
        <w:tc>
          <w:tcPr>
            <w:tcW w:w="3510" w:type="dxa"/>
            <w:tcBorders>
              <w:top w:val="nil"/>
              <w:left w:val="nil"/>
              <w:bottom w:val="nil"/>
              <w:right w:val="single" w:sz="4" w:space="0" w:color="auto"/>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Obstetrical characteristics, n</w:t>
            </w:r>
            <w:r w:rsidR="00F71FBC">
              <w:rPr>
                <w:rFonts w:ascii="Calibri" w:eastAsia="Times New Roman" w:hAnsi="Calibri" w:cs="Times New Roman"/>
                <w:b/>
                <w:bCs/>
                <w:color w:val="000000"/>
                <w:sz w:val="22"/>
                <w:szCs w:val="22"/>
              </w:rPr>
              <w:t xml:space="preserve"> </w:t>
            </w:r>
            <w:r w:rsidRPr="00EA5897">
              <w:rPr>
                <w:rFonts w:ascii="Calibri" w:eastAsia="Times New Roman" w:hAnsi="Calibri" w:cs="Times New Roman"/>
                <w:b/>
                <w:bCs/>
                <w:color w:val="000000"/>
                <w:sz w:val="22"/>
                <w:szCs w:val="22"/>
              </w:rPr>
              <w:t>(%)</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Delivery less than 37 weeks</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104 (61.2)</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66 (38.8)</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1.23</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1.00-1.48</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Delivery less than 34 weeks</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54 (54.5)</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45 (45.5)</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1.40</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1.11-1.75</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F71FBC">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xml:space="preserve">Unfavorable Bishop </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138 (60.3)</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91 (39.7)</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1.33</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1.10-1.62</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Cervix closed</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94 (54.0)</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80 (46.0)</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1.57</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1.29-1.92</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Cervix uneffaced</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68 (50.7)</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66 (49.3)</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1.63</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1.32-2.01</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rPr>
                <w:rFonts w:ascii="Calibri" w:eastAsia="Times New Roman" w:hAnsi="Calibri" w:cs="Times New Roman"/>
                <w:color w:val="000000"/>
                <w:sz w:val="22"/>
                <w:szCs w:val="22"/>
              </w:rPr>
            </w:pP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r w:rsidR="00712CB4" w:rsidRPr="00EA5897" w:rsidTr="00712CB4">
        <w:trPr>
          <w:trHeight w:val="300"/>
        </w:trPr>
        <w:tc>
          <w:tcPr>
            <w:tcW w:w="3510" w:type="dxa"/>
            <w:tcBorders>
              <w:top w:val="nil"/>
              <w:left w:val="nil"/>
              <w:bottom w:val="nil"/>
              <w:right w:val="single" w:sz="4" w:space="0" w:color="auto"/>
            </w:tcBorders>
            <w:shd w:val="clear" w:color="auto" w:fill="D9D9D9" w:themeFill="background1" w:themeFillShade="D9"/>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r w:rsidRPr="00EA5897">
              <w:rPr>
                <w:rFonts w:ascii="Calibri" w:eastAsia="Times New Roman" w:hAnsi="Calibri" w:cs="Times New Roman"/>
                <w:b/>
                <w:bCs/>
                <w:color w:val="000000"/>
                <w:sz w:val="22"/>
                <w:szCs w:val="22"/>
              </w:rPr>
              <w:t>Pre-eclampsia c</w:t>
            </w:r>
            <w:r w:rsidRPr="00EA5897">
              <w:rPr>
                <w:rFonts w:ascii="Calibri" w:eastAsia="Times New Roman" w:hAnsi="Calibri" w:cs="Times New Roman"/>
                <w:b/>
                <w:bCs/>
                <w:color w:val="000000"/>
                <w:sz w:val="22"/>
                <w:szCs w:val="22"/>
                <w:shd w:val="clear" w:color="auto" w:fill="D9D9D9" w:themeFill="background1" w:themeFillShade="D9"/>
              </w:rPr>
              <w:t>h</w:t>
            </w:r>
            <w:r w:rsidRPr="00EA5897">
              <w:rPr>
                <w:rFonts w:ascii="Calibri" w:eastAsia="Times New Roman" w:hAnsi="Calibri" w:cs="Times New Roman"/>
                <w:b/>
                <w:bCs/>
                <w:color w:val="000000"/>
                <w:sz w:val="22"/>
                <w:szCs w:val="22"/>
              </w:rPr>
              <w:t>aracteristics, n</w:t>
            </w:r>
            <w:r w:rsidR="00F71FBC">
              <w:rPr>
                <w:rFonts w:ascii="Calibri" w:eastAsia="Times New Roman" w:hAnsi="Calibri" w:cs="Times New Roman"/>
                <w:b/>
                <w:bCs/>
                <w:color w:val="000000"/>
                <w:sz w:val="22"/>
                <w:szCs w:val="22"/>
              </w:rPr>
              <w:t xml:space="preserve"> </w:t>
            </w:r>
            <w:r w:rsidRPr="00EA5897">
              <w:rPr>
                <w:rFonts w:ascii="Calibri" w:eastAsia="Times New Roman" w:hAnsi="Calibri" w:cs="Times New Roman"/>
                <w:b/>
                <w:bCs/>
                <w:color w:val="000000"/>
                <w:sz w:val="22"/>
                <w:szCs w:val="22"/>
              </w:rPr>
              <w:t>(%)</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b/>
                <w:bCs/>
                <w:color w:val="000000"/>
                <w:sz w:val="22"/>
                <w:szCs w:val="22"/>
              </w:rPr>
            </w:pP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Severe pre-eclampsia</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199 (63.0)</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117 (37.0)</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1.28</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1.03-1.60</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Major complication</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105 (61.4)</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66 (38.6)</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1.21</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0.98-1.47</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Need for IV medication</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85 (62.5)</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51 (37.5)</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1.14</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0.92-1.41</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F71FBC">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xml:space="preserve">Fetal growth restriction </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25 (59.5)</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17 (40.5)</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1.18</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0.85-1.63</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xml:space="preserve">Oligohydramnios </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26 (68.4)</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12 (31.6)</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0.96</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0.67-1.38</w:t>
            </w:r>
          </w:p>
        </w:tc>
      </w:tr>
      <w:tr w:rsidR="00EA5897" w:rsidRPr="00EA5897" w:rsidTr="00F71FBC">
        <w:trPr>
          <w:trHeight w:val="300"/>
        </w:trPr>
        <w:tc>
          <w:tcPr>
            <w:tcW w:w="3510" w:type="dxa"/>
            <w:tcBorders>
              <w:top w:val="nil"/>
              <w:left w:val="nil"/>
              <w:bottom w:val="nil"/>
              <w:right w:val="single" w:sz="4" w:space="0" w:color="auto"/>
            </w:tcBorders>
            <w:shd w:val="clear" w:color="auto" w:fill="auto"/>
            <w:noWrap/>
            <w:vAlign w:val="bottom"/>
            <w:hideMark/>
          </w:tcPr>
          <w:p w:rsidR="00EA5897" w:rsidRPr="00EA5897" w:rsidRDefault="00F71FBC" w:rsidP="00F71FBC">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Abnormal Doppler exam</w:t>
            </w:r>
          </w:p>
        </w:tc>
        <w:tc>
          <w:tcPr>
            <w:tcW w:w="261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11 (55.0)</w:t>
            </w:r>
          </w:p>
        </w:tc>
        <w:tc>
          <w:tcPr>
            <w:tcW w:w="1980" w:type="dxa"/>
            <w:tcBorders>
              <w:top w:val="nil"/>
              <w:left w:val="nil"/>
              <w:bottom w:val="nil"/>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9 (45.0)</w:t>
            </w:r>
          </w:p>
        </w:tc>
        <w:tc>
          <w:tcPr>
            <w:tcW w:w="117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1.18</w:t>
            </w:r>
          </w:p>
        </w:tc>
        <w:tc>
          <w:tcPr>
            <w:tcW w:w="1620" w:type="dxa"/>
            <w:tcBorders>
              <w:top w:val="nil"/>
              <w:left w:val="nil"/>
              <w:bottom w:val="nil"/>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0.74-1.90</w:t>
            </w:r>
          </w:p>
        </w:tc>
      </w:tr>
      <w:tr w:rsidR="00EA5897" w:rsidRPr="00EA5897" w:rsidTr="00F71FBC">
        <w:trPr>
          <w:trHeight w:val="300"/>
        </w:trPr>
        <w:tc>
          <w:tcPr>
            <w:tcW w:w="3510" w:type="dxa"/>
            <w:tcBorders>
              <w:top w:val="nil"/>
              <w:left w:val="nil"/>
              <w:bottom w:val="single" w:sz="8" w:space="0" w:color="000000"/>
              <w:right w:val="single" w:sz="4" w:space="0" w:color="auto"/>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r w:rsidRPr="00EA5897">
              <w:rPr>
                <w:rFonts w:ascii="Calibri" w:eastAsia="Times New Roman" w:hAnsi="Calibri" w:cs="Times New Roman"/>
                <w:color w:val="000000"/>
                <w:sz w:val="22"/>
                <w:szCs w:val="22"/>
              </w:rPr>
              <w:t> </w:t>
            </w:r>
          </w:p>
        </w:tc>
        <w:tc>
          <w:tcPr>
            <w:tcW w:w="2610" w:type="dxa"/>
            <w:tcBorders>
              <w:top w:val="nil"/>
              <w:left w:val="nil"/>
              <w:bottom w:val="single" w:sz="8" w:space="0" w:color="000000"/>
              <w:right w:val="nil"/>
            </w:tcBorders>
            <w:shd w:val="clear" w:color="auto" w:fill="auto"/>
            <w:noWrap/>
            <w:vAlign w:val="bottom"/>
            <w:hideMark/>
          </w:tcPr>
          <w:p w:rsidR="00EA5897" w:rsidRPr="00EA5897" w:rsidRDefault="00EA5897" w:rsidP="00EA5897">
            <w:pPr>
              <w:jc w:val="right"/>
              <w:rPr>
                <w:rFonts w:ascii="Calibri" w:eastAsia="Times New Roman" w:hAnsi="Calibri" w:cs="Times New Roman"/>
                <w:color w:val="000000"/>
                <w:sz w:val="22"/>
                <w:szCs w:val="22"/>
              </w:rPr>
            </w:pPr>
          </w:p>
        </w:tc>
        <w:tc>
          <w:tcPr>
            <w:tcW w:w="1980" w:type="dxa"/>
            <w:tcBorders>
              <w:top w:val="nil"/>
              <w:left w:val="nil"/>
              <w:bottom w:val="single" w:sz="8" w:space="0" w:color="000000"/>
              <w:right w:val="single" w:sz="4" w:space="0" w:color="auto"/>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r w:rsidRPr="00EA5897">
              <w:rPr>
                <w:rFonts w:ascii="Calibri" w:eastAsia="Times New Roman" w:hAnsi="Calibri" w:cs="Times New Roman"/>
                <w:sz w:val="22"/>
                <w:szCs w:val="22"/>
              </w:rPr>
              <w:t> </w:t>
            </w:r>
          </w:p>
        </w:tc>
        <w:tc>
          <w:tcPr>
            <w:tcW w:w="1170" w:type="dxa"/>
            <w:tcBorders>
              <w:top w:val="nil"/>
              <w:left w:val="nil"/>
              <w:bottom w:val="single" w:sz="8" w:space="0" w:color="000000"/>
              <w:right w:val="nil"/>
            </w:tcBorders>
            <w:shd w:val="clear" w:color="auto" w:fill="auto"/>
            <w:noWrap/>
            <w:vAlign w:val="bottom"/>
            <w:hideMark/>
          </w:tcPr>
          <w:p w:rsidR="00EA5897" w:rsidRPr="00EA5897" w:rsidRDefault="00EA5897" w:rsidP="00EA5897">
            <w:pPr>
              <w:jc w:val="center"/>
              <w:rPr>
                <w:rFonts w:ascii="Calibri" w:eastAsia="Times New Roman" w:hAnsi="Calibri" w:cs="Times New Roman"/>
                <w:sz w:val="22"/>
                <w:szCs w:val="22"/>
              </w:rPr>
            </w:pPr>
          </w:p>
        </w:tc>
        <w:tc>
          <w:tcPr>
            <w:tcW w:w="1620" w:type="dxa"/>
            <w:tcBorders>
              <w:top w:val="nil"/>
              <w:left w:val="nil"/>
              <w:bottom w:val="single" w:sz="8" w:space="0" w:color="000000"/>
              <w:right w:val="nil"/>
            </w:tcBorders>
            <w:shd w:val="clear" w:color="auto" w:fill="auto"/>
            <w:noWrap/>
            <w:vAlign w:val="bottom"/>
            <w:hideMark/>
          </w:tcPr>
          <w:p w:rsidR="00EA5897" w:rsidRPr="00EA5897" w:rsidRDefault="00EA5897" w:rsidP="00EA5897">
            <w:pPr>
              <w:jc w:val="center"/>
              <w:rPr>
                <w:rFonts w:ascii="Times New Roman" w:eastAsia="Times New Roman" w:hAnsi="Times New Roman" w:cs="Times New Roman"/>
                <w:sz w:val="20"/>
                <w:szCs w:val="20"/>
              </w:rPr>
            </w:pPr>
          </w:p>
        </w:tc>
      </w:tr>
    </w:tbl>
    <w:p w:rsidR="00FB35F1" w:rsidRDefault="00FB35F1">
      <w:pPr>
        <w:rPr>
          <w:rFonts w:ascii="Times New Roman" w:hAnsi="Times New Roman"/>
        </w:rPr>
      </w:pPr>
    </w:p>
    <w:p w:rsidR="00FB35F1" w:rsidRDefault="00FB35F1">
      <w:pPr>
        <w:rPr>
          <w:rFonts w:ascii="Times New Roman" w:hAnsi="Times New Roman"/>
        </w:rPr>
      </w:pPr>
    </w:p>
    <w:p w:rsidR="00FB35F1" w:rsidRDefault="00FB35F1">
      <w:pPr>
        <w:rPr>
          <w:rFonts w:ascii="Times New Roman" w:hAnsi="Times New Roman"/>
        </w:rPr>
      </w:pPr>
    </w:p>
    <w:p w:rsidR="00FB35F1" w:rsidRDefault="00FB35F1">
      <w:pPr>
        <w:rPr>
          <w:rFonts w:ascii="Times New Roman" w:hAnsi="Times New Roman"/>
        </w:rPr>
      </w:pPr>
    </w:p>
    <w:p w:rsidR="00436E21" w:rsidRDefault="00436E21">
      <w:pPr>
        <w:rPr>
          <w:rFonts w:ascii="Times New Roman" w:hAnsi="Times New Roman"/>
          <w:b/>
        </w:rPr>
      </w:pPr>
    </w:p>
    <w:p w:rsidR="00673EEB" w:rsidRDefault="00673EEB">
      <w:pPr>
        <w:rPr>
          <w:rFonts w:ascii="Times New Roman" w:hAnsi="Times New Roman"/>
          <w:b/>
        </w:rPr>
      </w:pPr>
    </w:p>
    <w:p w:rsidR="00673EEB" w:rsidRDefault="00673EEB">
      <w:pPr>
        <w:rPr>
          <w:rFonts w:ascii="Times New Roman" w:hAnsi="Times New Roman"/>
          <w:b/>
        </w:rPr>
      </w:pPr>
    </w:p>
    <w:p w:rsidR="00673EEB" w:rsidRDefault="00673EEB">
      <w:pPr>
        <w:rPr>
          <w:rFonts w:ascii="Times New Roman" w:hAnsi="Times New Roman"/>
          <w:b/>
        </w:rPr>
      </w:pPr>
    </w:p>
    <w:p w:rsidR="00436E21" w:rsidRDefault="00436E21">
      <w:pPr>
        <w:rPr>
          <w:rFonts w:ascii="Times New Roman" w:hAnsi="Times New Roman"/>
          <w:b/>
        </w:rPr>
      </w:pPr>
    </w:p>
    <w:p w:rsidR="005B7F55" w:rsidRDefault="005B7F55">
      <w:pPr>
        <w:rPr>
          <w:rFonts w:ascii="Times New Roman" w:hAnsi="Times New Roman"/>
          <w:b/>
        </w:rPr>
      </w:pPr>
    </w:p>
    <w:p w:rsidR="00CB7CE3" w:rsidRDefault="00CB7CE3">
      <w:pPr>
        <w:rPr>
          <w:rFonts w:ascii="Calibri" w:eastAsia="Times New Roman" w:hAnsi="Calibri" w:cs="Times New Roman"/>
          <w:b/>
          <w:bCs/>
          <w:color w:val="000000"/>
          <w:sz w:val="22"/>
          <w:szCs w:val="22"/>
        </w:rPr>
      </w:pPr>
    </w:p>
    <w:p w:rsidR="00CB7CE3" w:rsidRDefault="00CB7CE3">
      <w:pPr>
        <w:rPr>
          <w:rFonts w:ascii="Calibri" w:eastAsia="Times New Roman" w:hAnsi="Calibri" w:cs="Times New Roman"/>
          <w:b/>
          <w:bCs/>
          <w:color w:val="000000"/>
          <w:sz w:val="22"/>
          <w:szCs w:val="22"/>
        </w:rPr>
      </w:pPr>
    </w:p>
    <w:p w:rsidR="00986E7A" w:rsidRDefault="00986E7A">
      <w:pPr>
        <w:rPr>
          <w:rFonts w:ascii="Times New Roman" w:hAnsi="Times New Roman"/>
          <w:b/>
        </w:rPr>
      </w:pPr>
      <w:r>
        <w:rPr>
          <w:rFonts w:ascii="Times New Roman" w:hAnsi="Times New Roman"/>
          <w:b/>
        </w:rPr>
        <w:br w:type="page"/>
      </w:r>
    </w:p>
    <w:p w:rsidR="001B491A" w:rsidRDefault="00986E7A" w:rsidP="00047A88">
      <w:pPr>
        <w:tabs>
          <w:tab w:val="left" w:pos="1147"/>
        </w:tabs>
        <w:rPr>
          <w:rFonts w:ascii="Times New Roman" w:hAnsi="Times New Roman"/>
        </w:rPr>
      </w:pPr>
      <w:r>
        <w:rPr>
          <w:rFonts w:ascii="Times New Roman" w:hAnsi="Times New Roman"/>
          <w:b/>
        </w:rPr>
        <w:lastRenderedPageBreak/>
        <w:t xml:space="preserve">Table 3:  </w:t>
      </w:r>
      <w:r>
        <w:rPr>
          <w:rFonts w:ascii="Times New Roman" w:hAnsi="Times New Roman"/>
        </w:rPr>
        <w:t>Post hoc analysis assessing the association between maternal, pre-eclampsia and fetal characteristics and the rate of failed induction.  Data presented as adjusted OR and 95% CI.</w:t>
      </w:r>
    </w:p>
    <w:p w:rsidR="00986E7A" w:rsidRDefault="00986E7A" w:rsidP="00047A88">
      <w:pPr>
        <w:tabs>
          <w:tab w:val="left" w:pos="1147"/>
        </w:tabs>
        <w:rPr>
          <w:rFonts w:ascii="Times New Roman" w:hAnsi="Times New Roman"/>
        </w:rPr>
      </w:pPr>
    </w:p>
    <w:tbl>
      <w:tblPr>
        <w:tblW w:w="6480" w:type="dxa"/>
        <w:tblLook w:val="04A0" w:firstRow="1" w:lastRow="0" w:firstColumn="1" w:lastColumn="0" w:noHBand="0" w:noVBand="1"/>
      </w:tblPr>
      <w:tblGrid>
        <w:gridCol w:w="3760"/>
        <w:gridCol w:w="960"/>
        <w:gridCol w:w="1760"/>
      </w:tblGrid>
      <w:tr w:rsidR="00986E7A" w:rsidRPr="00986E7A" w:rsidTr="00986E7A">
        <w:trPr>
          <w:trHeight w:val="315"/>
        </w:trPr>
        <w:tc>
          <w:tcPr>
            <w:tcW w:w="3760" w:type="dxa"/>
            <w:tcBorders>
              <w:top w:val="nil"/>
              <w:left w:val="nil"/>
              <w:bottom w:val="single" w:sz="8" w:space="0" w:color="auto"/>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b/>
                <w:bCs/>
                <w:color w:val="000000"/>
                <w:sz w:val="22"/>
                <w:szCs w:val="22"/>
              </w:rPr>
            </w:pPr>
            <w:r w:rsidRPr="00986E7A">
              <w:rPr>
                <w:rFonts w:ascii="Calibri" w:eastAsia="Times New Roman" w:hAnsi="Calibri" w:cs="Times New Roman"/>
                <w:b/>
                <w:bCs/>
                <w:color w:val="000000"/>
                <w:sz w:val="22"/>
                <w:szCs w:val="22"/>
              </w:rPr>
              <w:t>Characteristic</w:t>
            </w:r>
          </w:p>
        </w:tc>
        <w:tc>
          <w:tcPr>
            <w:tcW w:w="960" w:type="dxa"/>
            <w:tcBorders>
              <w:top w:val="nil"/>
              <w:left w:val="nil"/>
              <w:bottom w:val="single" w:sz="8" w:space="0" w:color="auto"/>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b/>
                <w:bCs/>
                <w:color w:val="000000"/>
                <w:sz w:val="22"/>
                <w:szCs w:val="22"/>
              </w:rPr>
            </w:pPr>
            <w:r w:rsidRPr="00986E7A">
              <w:rPr>
                <w:rFonts w:ascii="Calibri" w:eastAsia="Times New Roman" w:hAnsi="Calibri" w:cs="Times New Roman"/>
                <w:b/>
                <w:bCs/>
                <w:color w:val="000000"/>
                <w:sz w:val="22"/>
                <w:szCs w:val="22"/>
              </w:rPr>
              <w:t>aOR</w:t>
            </w:r>
          </w:p>
        </w:tc>
        <w:tc>
          <w:tcPr>
            <w:tcW w:w="1760" w:type="dxa"/>
            <w:tcBorders>
              <w:top w:val="nil"/>
              <w:left w:val="nil"/>
              <w:bottom w:val="single" w:sz="8" w:space="0" w:color="auto"/>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b/>
                <w:bCs/>
                <w:color w:val="000000"/>
                <w:sz w:val="22"/>
                <w:szCs w:val="22"/>
              </w:rPr>
            </w:pPr>
            <w:r w:rsidRPr="00986E7A">
              <w:rPr>
                <w:rFonts w:ascii="Calibri" w:eastAsia="Times New Roman" w:hAnsi="Calibri" w:cs="Times New Roman"/>
                <w:b/>
                <w:bCs/>
                <w:color w:val="000000"/>
                <w:sz w:val="22"/>
                <w:szCs w:val="22"/>
              </w:rPr>
              <w:t>95% CI</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Delivery less than 34 weeks</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1.27</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0.95-1.68</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Excessive weight gain</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1.03</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0.81-1.30</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Fetal growth restriction</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1.02</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0.70-1.50</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Major complication of pre-eclampsia</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1.07</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0.82-1.40</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Obesity</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1.01</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0.80-1.28</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Primiparity</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1.54</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1.20-1.99</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Severe pre-eclampsia</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1.14</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0.85-1.53</w:t>
            </w:r>
          </w:p>
        </w:tc>
      </w:tr>
      <w:tr w:rsidR="00986E7A" w:rsidRPr="00986E7A" w:rsidTr="00986E7A">
        <w:trPr>
          <w:trHeight w:val="300"/>
        </w:trPr>
        <w:tc>
          <w:tcPr>
            <w:tcW w:w="3760" w:type="dxa"/>
            <w:tcBorders>
              <w:top w:val="nil"/>
              <w:left w:val="nil"/>
              <w:bottom w:val="nil"/>
              <w:right w:val="single" w:sz="8" w:space="0" w:color="auto"/>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Unfavorable cervix</w:t>
            </w:r>
          </w:p>
        </w:tc>
        <w:tc>
          <w:tcPr>
            <w:tcW w:w="9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1.38</w:t>
            </w:r>
          </w:p>
        </w:tc>
        <w:tc>
          <w:tcPr>
            <w:tcW w:w="1760" w:type="dxa"/>
            <w:tcBorders>
              <w:top w:val="nil"/>
              <w:left w:val="nil"/>
              <w:bottom w:val="nil"/>
              <w:right w:val="nil"/>
            </w:tcBorders>
            <w:shd w:val="clear" w:color="auto" w:fill="auto"/>
            <w:noWrap/>
            <w:vAlign w:val="bottom"/>
            <w:hideMark/>
          </w:tcPr>
          <w:p w:rsidR="00986E7A" w:rsidRPr="00986E7A" w:rsidRDefault="00986E7A" w:rsidP="00986E7A">
            <w:pPr>
              <w:jc w:val="center"/>
              <w:rPr>
                <w:rFonts w:ascii="Calibri" w:eastAsia="Times New Roman" w:hAnsi="Calibri" w:cs="Times New Roman"/>
                <w:color w:val="000000"/>
                <w:sz w:val="22"/>
                <w:szCs w:val="22"/>
              </w:rPr>
            </w:pPr>
            <w:r w:rsidRPr="00986E7A">
              <w:rPr>
                <w:rFonts w:ascii="Calibri" w:eastAsia="Times New Roman" w:hAnsi="Calibri" w:cs="Times New Roman"/>
                <w:color w:val="000000"/>
                <w:sz w:val="22"/>
                <w:szCs w:val="22"/>
              </w:rPr>
              <w:t>1.09-1.75</w:t>
            </w:r>
          </w:p>
        </w:tc>
      </w:tr>
    </w:tbl>
    <w:p w:rsidR="00986E7A" w:rsidRDefault="00986E7A" w:rsidP="00047A88">
      <w:pPr>
        <w:tabs>
          <w:tab w:val="left" w:pos="1147"/>
        </w:tabs>
        <w:rPr>
          <w:rFonts w:ascii="Times New Roman" w:hAnsi="Times New Roman"/>
        </w:rPr>
      </w:pPr>
    </w:p>
    <w:p w:rsidR="004510BB" w:rsidRDefault="004510BB" w:rsidP="00047A88">
      <w:pPr>
        <w:tabs>
          <w:tab w:val="left" w:pos="1147"/>
        </w:tabs>
        <w:rPr>
          <w:rFonts w:ascii="Times New Roman" w:hAnsi="Times New Roman"/>
        </w:rPr>
      </w:pPr>
    </w:p>
    <w:p w:rsidR="004510BB" w:rsidRDefault="004510BB" w:rsidP="00047A88">
      <w:pPr>
        <w:tabs>
          <w:tab w:val="left" w:pos="1147"/>
        </w:tabs>
        <w:rPr>
          <w:rFonts w:ascii="Times New Roman" w:hAnsi="Times New Roman"/>
        </w:rPr>
      </w:pPr>
      <w:r>
        <w:rPr>
          <w:rFonts w:ascii="Times New Roman" w:hAnsi="Times New Roman"/>
        </w:rPr>
        <w:t>Figure 1:</w:t>
      </w:r>
    </w:p>
    <w:p w:rsidR="004510BB" w:rsidRDefault="004510BB" w:rsidP="00047A88">
      <w:pPr>
        <w:tabs>
          <w:tab w:val="left" w:pos="1147"/>
        </w:tabs>
        <w:rPr>
          <w:rFonts w:ascii="Times New Roman" w:hAnsi="Times New Roman"/>
        </w:rPr>
      </w:pPr>
      <w:r>
        <w:rPr>
          <w:rFonts w:ascii="Times New Roman" w:hAnsi="Times New Roman"/>
        </w:rPr>
        <w:t>Flowchart of subjects included/excluded from analysis.</w:t>
      </w:r>
    </w:p>
    <w:p w:rsidR="004510BB" w:rsidRDefault="004256EA" w:rsidP="00047A88">
      <w:pPr>
        <w:tabs>
          <w:tab w:val="left" w:pos="1147"/>
        </w:tabs>
        <w:rPr>
          <w:rFonts w:ascii="Times New Roman" w:hAnsi="Times New Roman"/>
        </w:rPr>
      </w:pPr>
      <w:r>
        <w:rPr>
          <w:rFonts w:ascii="Times New Roman" w:hAnsi="Times New Roman"/>
          <w:noProof/>
        </w:rPr>
        <w:drawing>
          <wp:inline distT="0" distB="0" distL="0" distR="0">
            <wp:extent cx="4029456" cy="4651248"/>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4029456" cy="4651248"/>
                    </a:xfrm>
                    <a:prstGeom prst="rect">
                      <a:avLst/>
                    </a:prstGeom>
                  </pic:spPr>
                </pic:pic>
              </a:graphicData>
            </a:graphic>
          </wp:inline>
        </w:drawing>
      </w:r>
    </w:p>
    <w:p w:rsidR="004510BB" w:rsidRDefault="004510BB" w:rsidP="00047A88">
      <w:pPr>
        <w:tabs>
          <w:tab w:val="left" w:pos="1147"/>
        </w:tabs>
        <w:rPr>
          <w:rFonts w:ascii="Times New Roman" w:hAnsi="Times New Roman"/>
        </w:rPr>
      </w:pPr>
    </w:p>
    <w:p w:rsidR="004256EA" w:rsidRDefault="004256EA" w:rsidP="00047A88">
      <w:pPr>
        <w:tabs>
          <w:tab w:val="left" w:pos="1147"/>
        </w:tabs>
        <w:rPr>
          <w:rFonts w:ascii="Times New Roman" w:hAnsi="Times New Roman"/>
        </w:rPr>
      </w:pPr>
    </w:p>
    <w:p w:rsidR="004510BB" w:rsidRDefault="004510BB" w:rsidP="00047A88">
      <w:pPr>
        <w:tabs>
          <w:tab w:val="left" w:pos="1147"/>
        </w:tabs>
        <w:rPr>
          <w:rFonts w:ascii="Times New Roman" w:hAnsi="Times New Roman"/>
        </w:rPr>
      </w:pPr>
      <w:bookmarkStart w:id="1" w:name="_GoBack"/>
      <w:bookmarkEnd w:id="1"/>
      <w:r>
        <w:rPr>
          <w:rFonts w:ascii="Times New Roman" w:hAnsi="Times New Roman"/>
        </w:rPr>
        <w:lastRenderedPageBreak/>
        <w:t>Figure 2:  Adjusted OR and 95% CI for most significant factors associated with failed induction in the setting of preeclampsia.</w:t>
      </w:r>
    </w:p>
    <w:p w:rsidR="004256EA" w:rsidRDefault="004256EA" w:rsidP="00047A88">
      <w:pPr>
        <w:tabs>
          <w:tab w:val="left" w:pos="1147"/>
        </w:tabs>
        <w:rPr>
          <w:rFonts w:ascii="Times New Roman" w:hAnsi="Times New Roman"/>
        </w:rPr>
      </w:pPr>
      <w:r>
        <w:rPr>
          <w:rFonts w:ascii="Times New Roman" w:hAnsi="Times New Roman"/>
          <w:noProof/>
        </w:rPr>
        <w:drawing>
          <wp:inline distT="0" distB="0" distL="0" distR="0">
            <wp:extent cx="6156960" cy="3834384"/>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Figure 2.jpg"/>
                    <pic:cNvPicPr/>
                  </pic:nvPicPr>
                  <pic:blipFill>
                    <a:blip r:embed="rId7">
                      <a:extLst>
                        <a:ext uri="{28A0092B-C50C-407E-A947-70E740481C1C}">
                          <a14:useLocalDpi xmlns:a14="http://schemas.microsoft.com/office/drawing/2010/main" val="0"/>
                        </a:ext>
                      </a:extLst>
                    </a:blip>
                    <a:stretch>
                      <a:fillRect/>
                    </a:stretch>
                  </pic:blipFill>
                  <pic:spPr>
                    <a:xfrm>
                      <a:off x="0" y="0"/>
                      <a:ext cx="6156960" cy="3834384"/>
                    </a:xfrm>
                    <a:prstGeom prst="rect">
                      <a:avLst/>
                    </a:prstGeom>
                  </pic:spPr>
                </pic:pic>
              </a:graphicData>
            </a:graphic>
          </wp:inline>
        </w:drawing>
      </w:r>
    </w:p>
    <w:p w:rsidR="004256EA" w:rsidRPr="00986E7A" w:rsidRDefault="004256EA" w:rsidP="00047A88">
      <w:pPr>
        <w:tabs>
          <w:tab w:val="left" w:pos="1147"/>
        </w:tabs>
        <w:rPr>
          <w:rFonts w:ascii="Times New Roman" w:hAnsi="Times New Roman"/>
        </w:rPr>
      </w:pPr>
    </w:p>
    <w:sectPr w:rsidR="004256EA" w:rsidRPr="00986E7A" w:rsidSect="00F37ADA">
      <w:type w:val="continuous"/>
      <w:pgSz w:w="12240" w:h="15840"/>
      <w:pgMar w:top="1440" w:right="72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6260C"/>
    <w:multiLevelType w:val="hybridMultilevel"/>
    <w:tmpl w:val="AF085FCA"/>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504800"/>
    <w:multiLevelType w:val="hybridMultilevel"/>
    <w:tmpl w:val="3A204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91A"/>
    <w:rsid w:val="00016AC6"/>
    <w:rsid w:val="00023170"/>
    <w:rsid w:val="00047A88"/>
    <w:rsid w:val="000524AE"/>
    <w:rsid w:val="00052888"/>
    <w:rsid w:val="00054AAF"/>
    <w:rsid w:val="00056D57"/>
    <w:rsid w:val="00077CEE"/>
    <w:rsid w:val="000B7DC5"/>
    <w:rsid w:val="000C5ADF"/>
    <w:rsid w:val="000D2B38"/>
    <w:rsid w:val="000D2F49"/>
    <w:rsid w:val="000D6A9C"/>
    <w:rsid w:val="0011121D"/>
    <w:rsid w:val="0011214D"/>
    <w:rsid w:val="0012705E"/>
    <w:rsid w:val="001425EE"/>
    <w:rsid w:val="0015281D"/>
    <w:rsid w:val="00165380"/>
    <w:rsid w:val="001867D4"/>
    <w:rsid w:val="00194B96"/>
    <w:rsid w:val="001A5DBE"/>
    <w:rsid w:val="001A7201"/>
    <w:rsid w:val="001B491A"/>
    <w:rsid w:val="001B4F1D"/>
    <w:rsid w:val="001C6462"/>
    <w:rsid w:val="001D5909"/>
    <w:rsid w:val="001E02E4"/>
    <w:rsid w:val="001E0959"/>
    <w:rsid w:val="001F3C66"/>
    <w:rsid w:val="001F619D"/>
    <w:rsid w:val="001F7008"/>
    <w:rsid w:val="00216DBB"/>
    <w:rsid w:val="002202A7"/>
    <w:rsid w:val="00221C37"/>
    <w:rsid w:val="002435FD"/>
    <w:rsid w:val="00252827"/>
    <w:rsid w:val="002627BF"/>
    <w:rsid w:val="002713C8"/>
    <w:rsid w:val="00277096"/>
    <w:rsid w:val="00280429"/>
    <w:rsid w:val="002837E3"/>
    <w:rsid w:val="00287186"/>
    <w:rsid w:val="002974DF"/>
    <w:rsid w:val="002B2628"/>
    <w:rsid w:val="002D062F"/>
    <w:rsid w:val="002D2796"/>
    <w:rsid w:val="002D550E"/>
    <w:rsid w:val="003051F9"/>
    <w:rsid w:val="00315789"/>
    <w:rsid w:val="00315A3D"/>
    <w:rsid w:val="00316DDC"/>
    <w:rsid w:val="0032029C"/>
    <w:rsid w:val="00377DD5"/>
    <w:rsid w:val="00386F10"/>
    <w:rsid w:val="00391AE0"/>
    <w:rsid w:val="003A0EF7"/>
    <w:rsid w:val="003A71A2"/>
    <w:rsid w:val="003D2EF5"/>
    <w:rsid w:val="003E6517"/>
    <w:rsid w:val="00401213"/>
    <w:rsid w:val="00402EE7"/>
    <w:rsid w:val="00423082"/>
    <w:rsid w:val="004256EA"/>
    <w:rsid w:val="00436E21"/>
    <w:rsid w:val="00445E2D"/>
    <w:rsid w:val="004510BB"/>
    <w:rsid w:val="00456515"/>
    <w:rsid w:val="00487279"/>
    <w:rsid w:val="00490727"/>
    <w:rsid w:val="004A014D"/>
    <w:rsid w:val="004A327F"/>
    <w:rsid w:val="004A54F0"/>
    <w:rsid w:val="004C2B31"/>
    <w:rsid w:val="004E1BF9"/>
    <w:rsid w:val="004E5977"/>
    <w:rsid w:val="004E7B89"/>
    <w:rsid w:val="004F6342"/>
    <w:rsid w:val="0050171C"/>
    <w:rsid w:val="005103D5"/>
    <w:rsid w:val="00516C25"/>
    <w:rsid w:val="00527FB1"/>
    <w:rsid w:val="00533403"/>
    <w:rsid w:val="00542D83"/>
    <w:rsid w:val="005467BB"/>
    <w:rsid w:val="00546B46"/>
    <w:rsid w:val="005945C2"/>
    <w:rsid w:val="005B7F55"/>
    <w:rsid w:val="005C2097"/>
    <w:rsid w:val="005D3081"/>
    <w:rsid w:val="005E5B78"/>
    <w:rsid w:val="006047B1"/>
    <w:rsid w:val="00607C30"/>
    <w:rsid w:val="006435E5"/>
    <w:rsid w:val="00650944"/>
    <w:rsid w:val="00670B3E"/>
    <w:rsid w:val="00673EEB"/>
    <w:rsid w:val="0068103F"/>
    <w:rsid w:val="00686140"/>
    <w:rsid w:val="00693597"/>
    <w:rsid w:val="006A758A"/>
    <w:rsid w:val="006B1BD0"/>
    <w:rsid w:val="006B4C33"/>
    <w:rsid w:val="006C2A48"/>
    <w:rsid w:val="006C5A8B"/>
    <w:rsid w:val="006E3B5F"/>
    <w:rsid w:val="006E732A"/>
    <w:rsid w:val="006F2C17"/>
    <w:rsid w:val="00712CB4"/>
    <w:rsid w:val="007428A8"/>
    <w:rsid w:val="00747140"/>
    <w:rsid w:val="007509BB"/>
    <w:rsid w:val="0075460E"/>
    <w:rsid w:val="0075739B"/>
    <w:rsid w:val="00787CBC"/>
    <w:rsid w:val="0079136C"/>
    <w:rsid w:val="00792A8E"/>
    <w:rsid w:val="00794F80"/>
    <w:rsid w:val="007B2EF2"/>
    <w:rsid w:val="00803119"/>
    <w:rsid w:val="00832CBE"/>
    <w:rsid w:val="00845ED9"/>
    <w:rsid w:val="00851B95"/>
    <w:rsid w:val="00862C55"/>
    <w:rsid w:val="008927BB"/>
    <w:rsid w:val="00893849"/>
    <w:rsid w:val="008A60D8"/>
    <w:rsid w:val="008C5B16"/>
    <w:rsid w:val="008E0421"/>
    <w:rsid w:val="008E5619"/>
    <w:rsid w:val="008E747C"/>
    <w:rsid w:val="009054C8"/>
    <w:rsid w:val="009068D9"/>
    <w:rsid w:val="009235CD"/>
    <w:rsid w:val="00927578"/>
    <w:rsid w:val="0094569C"/>
    <w:rsid w:val="00970DE1"/>
    <w:rsid w:val="00986E7A"/>
    <w:rsid w:val="009949BF"/>
    <w:rsid w:val="009A1158"/>
    <w:rsid w:val="009D1109"/>
    <w:rsid w:val="00A12A64"/>
    <w:rsid w:val="00A40DE3"/>
    <w:rsid w:val="00A413CA"/>
    <w:rsid w:val="00AA7EA7"/>
    <w:rsid w:val="00AB566C"/>
    <w:rsid w:val="00AC74B6"/>
    <w:rsid w:val="00AD33C7"/>
    <w:rsid w:val="00AE3AEA"/>
    <w:rsid w:val="00AF5E1E"/>
    <w:rsid w:val="00B0072A"/>
    <w:rsid w:val="00B02470"/>
    <w:rsid w:val="00B41CED"/>
    <w:rsid w:val="00B65ABF"/>
    <w:rsid w:val="00B76E20"/>
    <w:rsid w:val="00B92735"/>
    <w:rsid w:val="00BA34FF"/>
    <w:rsid w:val="00BA4128"/>
    <w:rsid w:val="00BC4DDF"/>
    <w:rsid w:val="00BD334C"/>
    <w:rsid w:val="00BD5771"/>
    <w:rsid w:val="00BE3450"/>
    <w:rsid w:val="00BF0520"/>
    <w:rsid w:val="00C06326"/>
    <w:rsid w:val="00C1236F"/>
    <w:rsid w:val="00C12568"/>
    <w:rsid w:val="00C1793E"/>
    <w:rsid w:val="00C20F8A"/>
    <w:rsid w:val="00C27991"/>
    <w:rsid w:val="00C41647"/>
    <w:rsid w:val="00C650E7"/>
    <w:rsid w:val="00C767FE"/>
    <w:rsid w:val="00C777AC"/>
    <w:rsid w:val="00C81BC2"/>
    <w:rsid w:val="00C87505"/>
    <w:rsid w:val="00CB0464"/>
    <w:rsid w:val="00CB31E2"/>
    <w:rsid w:val="00CB7CE3"/>
    <w:rsid w:val="00CC43F9"/>
    <w:rsid w:val="00CC6448"/>
    <w:rsid w:val="00D032C2"/>
    <w:rsid w:val="00D05E87"/>
    <w:rsid w:val="00D25FC2"/>
    <w:rsid w:val="00D30F12"/>
    <w:rsid w:val="00D373FC"/>
    <w:rsid w:val="00D414E1"/>
    <w:rsid w:val="00D477F7"/>
    <w:rsid w:val="00D606ED"/>
    <w:rsid w:val="00D644DD"/>
    <w:rsid w:val="00D84BE4"/>
    <w:rsid w:val="00DB6B81"/>
    <w:rsid w:val="00DE28DC"/>
    <w:rsid w:val="00DE5971"/>
    <w:rsid w:val="00E1404F"/>
    <w:rsid w:val="00E664DB"/>
    <w:rsid w:val="00E814CA"/>
    <w:rsid w:val="00E951AF"/>
    <w:rsid w:val="00E9643C"/>
    <w:rsid w:val="00EA5897"/>
    <w:rsid w:val="00EB02BF"/>
    <w:rsid w:val="00EC02FC"/>
    <w:rsid w:val="00EE0F74"/>
    <w:rsid w:val="00EE6FCD"/>
    <w:rsid w:val="00EF75F2"/>
    <w:rsid w:val="00F02616"/>
    <w:rsid w:val="00F16A48"/>
    <w:rsid w:val="00F2268C"/>
    <w:rsid w:val="00F24C55"/>
    <w:rsid w:val="00F354D3"/>
    <w:rsid w:val="00F37ADA"/>
    <w:rsid w:val="00F44C84"/>
    <w:rsid w:val="00F51119"/>
    <w:rsid w:val="00F60B34"/>
    <w:rsid w:val="00F71FBC"/>
    <w:rsid w:val="00F86196"/>
    <w:rsid w:val="00FB35F1"/>
    <w:rsid w:val="00FC04FF"/>
    <w:rsid w:val="00FC308E"/>
    <w:rsid w:val="00FC3B34"/>
    <w:rsid w:val="00FD2B36"/>
    <w:rsid w:val="00FE2E65"/>
    <w:rsid w:val="00FE3A16"/>
    <w:rsid w:val="00FE4E1B"/>
    <w:rsid w:val="00FF6514"/>
    <w:rsid w:val="00FF6F1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FD9250-2920-4067-A395-E4163E00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67FE"/>
  </w:style>
  <w:style w:type="character" w:customStyle="1" w:styleId="EndnoteTextChar">
    <w:name w:val="Endnote Text Char"/>
    <w:basedOn w:val="DefaultParagraphFont"/>
    <w:link w:val="EndnoteText"/>
    <w:uiPriority w:val="99"/>
    <w:semiHidden/>
    <w:rsid w:val="00C767FE"/>
  </w:style>
  <w:style w:type="character" w:styleId="EndnoteReference">
    <w:name w:val="endnote reference"/>
    <w:basedOn w:val="DefaultParagraphFont"/>
    <w:uiPriority w:val="99"/>
    <w:semiHidden/>
    <w:unhideWhenUsed/>
    <w:rsid w:val="00C767FE"/>
    <w:rPr>
      <w:vertAlign w:val="superscript"/>
    </w:rPr>
  </w:style>
  <w:style w:type="paragraph" w:styleId="CommentText">
    <w:name w:val="annotation text"/>
    <w:basedOn w:val="Normal"/>
    <w:link w:val="CommentTextChar"/>
    <w:uiPriority w:val="99"/>
    <w:semiHidden/>
    <w:unhideWhenUsed/>
    <w:rsid w:val="00803119"/>
    <w:rPr>
      <w:rFonts w:ascii="Arial" w:hAnsi="Arial" w:cs="Times New Roman"/>
      <w:sz w:val="20"/>
      <w:szCs w:val="20"/>
    </w:rPr>
  </w:style>
  <w:style w:type="character" w:customStyle="1" w:styleId="CommentTextChar">
    <w:name w:val="Comment Text Char"/>
    <w:basedOn w:val="DefaultParagraphFont"/>
    <w:link w:val="CommentText"/>
    <w:uiPriority w:val="99"/>
    <w:semiHidden/>
    <w:rsid w:val="00803119"/>
    <w:rPr>
      <w:rFonts w:ascii="Arial" w:hAnsi="Arial" w:cs="Times New Roman"/>
      <w:sz w:val="20"/>
      <w:szCs w:val="20"/>
    </w:rPr>
  </w:style>
  <w:style w:type="character" w:styleId="CommentReference">
    <w:name w:val="annotation reference"/>
    <w:basedOn w:val="DefaultParagraphFont"/>
    <w:uiPriority w:val="99"/>
    <w:semiHidden/>
    <w:unhideWhenUsed/>
    <w:rsid w:val="00803119"/>
    <w:rPr>
      <w:sz w:val="16"/>
      <w:szCs w:val="16"/>
    </w:rPr>
  </w:style>
  <w:style w:type="paragraph" w:styleId="BalloonText">
    <w:name w:val="Balloon Text"/>
    <w:basedOn w:val="Normal"/>
    <w:link w:val="BalloonTextChar"/>
    <w:semiHidden/>
    <w:unhideWhenUsed/>
    <w:rsid w:val="00A413CA"/>
    <w:rPr>
      <w:rFonts w:ascii="Lucida Grande" w:hAnsi="Lucida Grande"/>
      <w:sz w:val="18"/>
      <w:szCs w:val="18"/>
    </w:rPr>
  </w:style>
  <w:style w:type="character" w:customStyle="1" w:styleId="BalloonTextChar">
    <w:name w:val="Balloon Text Char"/>
    <w:basedOn w:val="DefaultParagraphFont"/>
    <w:link w:val="BalloonText"/>
    <w:semiHidden/>
    <w:rsid w:val="00A413CA"/>
    <w:rPr>
      <w:rFonts w:ascii="Lucida Grande" w:hAnsi="Lucida Grande"/>
      <w:sz w:val="18"/>
      <w:szCs w:val="18"/>
    </w:rPr>
  </w:style>
  <w:style w:type="character" w:styleId="Hyperlink">
    <w:name w:val="Hyperlink"/>
    <w:uiPriority w:val="99"/>
    <w:unhideWhenUsed/>
    <w:rsid w:val="00C41647"/>
    <w:rPr>
      <w:color w:val="0000FF"/>
      <w:u w:val="single"/>
    </w:rPr>
  </w:style>
  <w:style w:type="character" w:styleId="FollowedHyperlink">
    <w:name w:val="FollowedHyperlink"/>
    <w:basedOn w:val="DefaultParagraphFont"/>
    <w:rsid w:val="005B7F55"/>
    <w:rPr>
      <w:color w:val="800080" w:themeColor="followedHyperlink"/>
      <w:u w:val="single"/>
    </w:rPr>
  </w:style>
  <w:style w:type="paragraph" w:styleId="CommentSubject">
    <w:name w:val="annotation subject"/>
    <w:basedOn w:val="CommentText"/>
    <w:next w:val="CommentText"/>
    <w:link w:val="CommentSubjectChar"/>
    <w:semiHidden/>
    <w:unhideWhenUsed/>
    <w:rsid w:val="00D606ED"/>
    <w:rPr>
      <w:rFonts w:asciiTheme="minorHAnsi" w:hAnsiTheme="minorHAnsi" w:cstheme="minorBidi"/>
      <w:b/>
      <w:bCs/>
    </w:rPr>
  </w:style>
  <w:style w:type="character" w:customStyle="1" w:styleId="CommentSubjectChar">
    <w:name w:val="Comment Subject Char"/>
    <w:basedOn w:val="CommentTextChar"/>
    <w:link w:val="CommentSubject"/>
    <w:semiHidden/>
    <w:rsid w:val="00D606ED"/>
    <w:rPr>
      <w:rFonts w:ascii="Arial" w:hAnsi="Arial" w:cs="Times New Roman"/>
      <w:b/>
      <w:bCs/>
      <w:sz w:val="20"/>
      <w:szCs w:val="20"/>
    </w:rPr>
  </w:style>
  <w:style w:type="table" w:styleId="TableGrid">
    <w:name w:val="Table Grid"/>
    <w:basedOn w:val="TableNormal"/>
    <w:rsid w:val="00FC3B3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A758A"/>
    <w:pPr>
      <w:ind w:left="720"/>
      <w:contextualSpacing/>
    </w:pPr>
  </w:style>
  <w:style w:type="paragraph" w:styleId="NormalWeb">
    <w:name w:val="Normal (Web)"/>
    <w:basedOn w:val="Normal"/>
    <w:uiPriority w:val="99"/>
    <w:semiHidden/>
    <w:unhideWhenUsed/>
    <w:rsid w:val="004510BB"/>
    <w:pPr>
      <w:spacing w:before="100" w:beforeAutospacing="1" w:after="100" w:afterAutospacing="1"/>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3294">
      <w:bodyDiv w:val="1"/>
      <w:marLeft w:val="0"/>
      <w:marRight w:val="0"/>
      <w:marTop w:val="0"/>
      <w:marBottom w:val="0"/>
      <w:divBdr>
        <w:top w:val="none" w:sz="0" w:space="0" w:color="auto"/>
        <w:left w:val="none" w:sz="0" w:space="0" w:color="auto"/>
        <w:bottom w:val="none" w:sz="0" w:space="0" w:color="auto"/>
        <w:right w:val="none" w:sz="0" w:space="0" w:color="auto"/>
      </w:divBdr>
    </w:div>
    <w:div w:id="162863899">
      <w:bodyDiv w:val="1"/>
      <w:marLeft w:val="0"/>
      <w:marRight w:val="0"/>
      <w:marTop w:val="0"/>
      <w:marBottom w:val="0"/>
      <w:divBdr>
        <w:top w:val="none" w:sz="0" w:space="0" w:color="auto"/>
        <w:left w:val="none" w:sz="0" w:space="0" w:color="auto"/>
        <w:bottom w:val="none" w:sz="0" w:space="0" w:color="auto"/>
        <w:right w:val="none" w:sz="0" w:space="0" w:color="auto"/>
      </w:divBdr>
    </w:div>
    <w:div w:id="526480859">
      <w:bodyDiv w:val="1"/>
      <w:marLeft w:val="0"/>
      <w:marRight w:val="0"/>
      <w:marTop w:val="0"/>
      <w:marBottom w:val="0"/>
      <w:divBdr>
        <w:top w:val="none" w:sz="0" w:space="0" w:color="auto"/>
        <w:left w:val="none" w:sz="0" w:space="0" w:color="auto"/>
        <w:bottom w:val="none" w:sz="0" w:space="0" w:color="auto"/>
        <w:right w:val="none" w:sz="0" w:space="0" w:color="auto"/>
      </w:divBdr>
    </w:div>
    <w:div w:id="622231320">
      <w:bodyDiv w:val="1"/>
      <w:marLeft w:val="0"/>
      <w:marRight w:val="0"/>
      <w:marTop w:val="0"/>
      <w:marBottom w:val="0"/>
      <w:divBdr>
        <w:top w:val="none" w:sz="0" w:space="0" w:color="auto"/>
        <w:left w:val="none" w:sz="0" w:space="0" w:color="auto"/>
        <w:bottom w:val="none" w:sz="0" w:space="0" w:color="auto"/>
        <w:right w:val="none" w:sz="0" w:space="0" w:color="auto"/>
      </w:divBdr>
    </w:div>
    <w:div w:id="803699719">
      <w:bodyDiv w:val="1"/>
      <w:marLeft w:val="0"/>
      <w:marRight w:val="0"/>
      <w:marTop w:val="0"/>
      <w:marBottom w:val="0"/>
      <w:divBdr>
        <w:top w:val="none" w:sz="0" w:space="0" w:color="auto"/>
        <w:left w:val="none" w:sz="0" w:space="0" w:color="auto"/>
        <w:bottom w:val="none" w:sz="0" w:space="0" w:color="auto"/>
        <w:right w:val="none" w:sz="0" w:space="0" w:color="auto"/>
      </w:divBdr>
    </w:div>
    <w:div w:id="982581780">
      <w:bodyDiv w:val="1"/>
      <w:marLeft w:val="0"/>
      <w:marRight w:val="0"/>
      <w:marTop w:val="0"/>
      <w:marBottom w:val="0"/>
      <w:divBdr>
        <w:top w:val="none" w:sz="0" w:space="0" w:color="auto"/>
        <w:left w:val="none" w:sz="0" w:space="0" w:color="auto"/>
        <w:bottom w:val="none" w:sz="0" w:space="0" w:color="auto"/>
        <w:right w:val="none" w:sz="0" w:space="0" w:color="auto"/>
      </w:divBdr>
    </w:div>
    <w:div w:id="1048918264">
      <w:bodyDiv w:val="1"/>
      <w:marLeft w:val="0"/>
      <w:marRight w:val="0"/>
      <w:marTop w:val="0"/>
      <w:marBottom w:val="0"/>
      <w:divBdr>
        <w:top w:val="none" w:sz="0" w:space="0" w:color="auto"/>
        <w:left w:val="none" w:sz="0" w:space="0" w:color="auto"/>
        <w:bottom w:val="none" w:sz="0" w:space="0" w:color="auto"/>
        <w:right w:val="none" w:sz="0" w:space="0" w:color="auto"/>
      </w:divBdr>
    </w:div>
    <w:div w:id="1175223838">
      <w:bodyDiv w:val="1"/>
      <w:marLeft w:val="0"/>
      <w:marRight w:val="0"/>
      <w:marTop w:val="0"/>
      <w:marBottom w:val="0"/>
      <w:divBdr>
        <w:top w:val="none" w:sz="0" w:space="0" w:color="auto"/>
        <w:left w:val="none" w:sz="0" w:space="0" w:color="auto"/>
        <w:bottom w:val="none" w:sz="0" w:space="0" w:color="auto"/>
        <w:right w:val="none" w:sz="0" w:space="0" w:color="auto"/>
      </w:divBdr>
    </w:div>
    <w:div w:id="1319387557">
      <w:bodyDiv w:val="1"/>
      <w:marLeft w:val="0"/>
      <w:marRight w:val="0"/>
      <w:marTop w:val="0"/>
      <w:marBottom w:val="0"/>
      <w:divBdr>
        <w:top w:val="none" w:sz="0" w:space="0" w:color="auto"/>
        <w:left w:val="none" w:sz="0" w:space="0" w:color="auto"/>
        <w:bottom w:val="none" w:sz="0" w:space="0" w:color="auto"/>
        <w:right w:val="none" w:sz="0" w:space="0" w:color="auto"/>
      </w:divBdr>
    </w:div>
    <w:div w:id="1964574361">
      <w:bodyDiv w:val="1"/>
      <w:marLeft w:val="0"/>
      <w:marRight w:val="0"/>
      <w:marTop w:val="0"/>
      <w:marBottom w:val="0"/>
      <w:divBdr>
        <w:top w:val="none" w:sz="0" w:space="0" w:color="auto"/>
        <w:left w:val="none" w:sz="0" w:space="0" w:color="auto"/>
        <w:bottom w:val="none" w:sz="0" w:space="0" w:color="auto"/>
        <w:right w:val="none" w:sz="0" w:space="0" w:color="auto"/>
      </w:divBdr>
    </w:div>
    <w:div w:id="1965310554">
      <w:bodyDiv w:val="1"/>
      <w:marLeft w:val="0"/>
      <w:marRight w:val="0"/>
      <w:marTop w:val="0"/>
      <w:marBottom w:val="0"/>
      <w:divBdr>
        <w:top w:val="none" w:sz="0" w:space="0" w:color="auto"/>
        <w:left w:val="none" w:sz="0" w:space="0" w:color="auto"/>
        <w:bottom w:val="none" w:sz="0" w:space="0" w:color="auto"/>
        <w:right w:val="none" w:sz="0" w:space="0" w:color="auto"/>
      </w:divBdr>
    </w:div>
    <w:div w:id="1976521053">
      <w:bodyDiv w:val="1"/>
      <w:marLeft w:val="0"/>
      <w:marRight w:val="0"/>
      <w:marTop w:val="0"/>
      <w:marBottom w:val="0"/>
      <w:divBdr>
        <w:top w:val="none" w:sz="0" w:space="0" w:color="auto"/>
        <w:left w:val="none" w:sz="0" w:space="0" w:color="auto"/>
        <w:bottom w:val="none" w:sz="0" w:space="0" w:color="auto"/>
        <w:right w:val="none" w:sz="0" w:space="0" w:color="auto"/>
      </w:divBdr>
    </w:div>
    <w:div w:id="21096956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eaglercr@ucmail.uc.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21</Pages>
  <Words>4429</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Langager</dc:creator>
  <cp:keywords/>
  <dc:description/>
  <cp:lastModifiedBy>Carri Warshak</cp:lastModifiedBy>
  <cp:revision>1</cp:revision>
  <cp:lastPrinted>2015-05-04T19:25:00Z</cp:lastPrinted>
  <dcterms:created xsi:type="dcterms:W3CDTF">2015-05-05T12:38:00Z</dcterms:created>
  <dcterms:modified xsi:type="dcterms:W3CDTF">2015-08-12T19:36:00Z</dcterms:modified>
</cp:coreProperties>
</file>