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DA8E" w14:textId="77777777" w:rsidR="009F744A" w:rsidRDefault="00B459AD">
      <w:pPr>
        <w:pStyle w:val="Ttulo7"/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>INTELIGÊNCIA ARTIFICIAL NA MEDICINA</w:t>
      </w:r>
    </w:p>
    <w:p w14:paraId="29EABDA4" w14:textId="4D58EB24" w:rsidR="009F744A" w:rsidRDefault="009F744A">
      <w:pPr>
        <w:jc w:val="center"/>
        <w:rPr>
          <w:b/>
          <w:sz w:val="16"/>
        </w:rPr>
      </w:pPr>
    </w:p>
    <w:p w14:paraId="2D79FAC5" w14:textId="77777777" w:rsidR="009F744A" w:rsidRDefault="00B459AD">
      <w:pPr>
        <w:jc w:val="center"/>
        <w:rPr>
          <w:i/>
          <w:vertAlign w:val="superscript"/>
        </w:rPr>
      </w:pPr>
      <w:r>
        <w:rPr>
          <w:i/>
        </w:rPr>
        <w:t>Kevin Ferreira Mirenda</w:t>
      </w:r>
      <w:r w:rsidR="001C6946">
        <w:rPr>
          <w:i/>
          <w:vertAlign w:val="superscript"/>
        </w:rPr>
        <w:t>1</w:t>
      </w:r>
      <w:r>
        <w:rPr>
          <w:i/>
        </w:rPr>
        <w:t>, Giuliano Araujo Bertoti</w:t>
      </w:r>
      <w:r w:rsidR="001C6946">
        <w:rPr>
          <w:i/>
          <w:vertAlign w:val="superscript"/>
        </w:rPr>
        <w:t>2</w:t>
      </w:r>
      <w:r w:rsidR="001C6946">
        <w:rPr>
          <w:i/>
        </w:rPr>
        <w:t xml:space="preserve"> </w:t>
      </w:r>
    </w:p>
    <w:p w14:paraId="3B962844" w14:textId="77777777" w:rsidR="009F744A" w:rsidRDefault="001C6946">
      <w:pPr>
        <w:jc w:val="center"/>
        <w:rPr>
          <w:i/>
          <w:vertAlign w:val="superscript"/>
        </w:rPr>
      </w:pPr>
      <w:r>
        <w:rPr>
          <w:i/>
          <w:vertAlign w:val="superscript"/>
        </w:rPr>
        <w:t>1, 2</w:t>
      </w:r>
      <w:r w:rsidR="00B459AD">
        <w:rPr>
          <w:i/>
          <w:vertAlign w:val="superscript"/>
        </w:rPr>
        <w:t>, 3, 4</w:t>
      </w:r>
      <w:r w:rsidR="00B459AD">
        <w:rPr>
          <w:i/>
        </w:rPr>
        <w:t xml:space="preserve"> FATEC São José dos Campos</w:t>
      </w:r>
    </w:p>
    <w:p w14:paraId="0A93843C" w14:textId="77777777" w:rsidR="009F744A" w:rsidRPr="00B459AD" w:rsidRDefault="00B459AD" w:rsidP="00B459AD">
      <w:pPr>
        <w:jc w:val="center"/>
        <w:rPr>
          <w:i/>
        </w:rPr>
        <w:sectPr w:rsidR="009F744A" w:rsidRPr="00B459AD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>
        <w:rPr>
          <w:i/>
        </w:rPr>
        <w:t>kevin.mirenda@fatec.sp.gov.br, giuliano.bertoti@fatec.sp.gov.br</w:t>
      </w:r>
    </w:p>
    <w:p w14:paraId="5844A8DE" w14:textId="77358CCD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5D0F39E4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2C2CD997" w14:textId="5C6797E5" w:rsidR="00BC6A61" w:rsidRPr="002B19DA" w:rsidRDefault="006C49F4" w:rsidP="002B19DA">
      <w:pPr>
        <w:pStyle w:val="Recuodecorpodetex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23F3275" wp14:editId="310A0B5F">
            <wp:simplePos x="0" y="0"/>
            <wp:positionH relativeFrom="column">
              <wp:posOffset>3303270</wp:posOffset>
            </wp:positionH>
            <wp:positionV relativeFrom="page">
              <wp:posOffset>2156460</wp:posOffset>
            </wp:positionV>
            <wp:extent cx="2880360" cy="1653540"/>
            <wp:effectExtent l="0" t="0" r="0" b="0"/>
            <wp:wrapSquare wrapText="bothSides"/>
            <wp:docPr id="3" name="Imagem 3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9DA" w:rsidRPr="002B19DA">
        <w:rPr>
          <w:rFonts w:ascii="Times New Roman" w:hAnsi="Times New Roman" w:cs="Times New Roman"/>
          <w:color w:val="000000" w:themeColor="text1"/>
          <w:shd w:val="clear" w:color="auto" w:fill="FFFFFF"/>
        </w:rPr>
        <w:t>O advento do computador trouxe uma enorme ampliação da dimensão do homem, aumentando sua capacidade de calcular e armazenar grandes volumes de informação, e isso em nanossegundos. Ampliou sua memória e o tempo de recuperação de uma informação. O “aqui e agora” passou a ser o mote do mundo atual, caracterizando uma sociedade em mudança rápida e constante.</w:t>
      </w:r>
    </w:p>
    <w:p w14:paraId="4FA42FB3" w14:textId="19C3F79C" w:rsidR="002B19DA" w:rsidRPr="002B19DA" w:rsidRDefault="002B19DA" w:rsidP="002B19DA">
      <w:pPr>
        <w:pStyle w:val="Recuodecorpodetex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B19DA">
        <w:rPr>
          <w:rFonts w:ascii="Times New Roman" w:hAnsi="Times New Roman" w:cs="Times New Roman"/>
          <w:color w:val="000000" w:themeColor="text1"/>
          <w:shd w:val="clear" w:color="auto" w:fill="FFFFFF"/>
        </w:rPr>
        <w:t>Ao mesmo tempo, houve um grande avanço nas tecnologias médicas voltadas ao diagnóstico pela imagem: o ecocardiograma, que, alguns acham, tornará obsoleto o estetoscópio, o ultrassom, que substitui, dizem, a palpação e a percussão do abdome, a ressonância, que substitui os exames de radiologia contrastada, e o PET, que permite verificar as áreas envolvidas em várias atividades cerebrais, vieram substituir o exame clínico dos pacientes e a relação médico-paciente. Hoje, faz-se diagnóstico pelos exames e não pelo raciocínio e julgamento clínico. Para que avaliar a expansão torácica, auscultar, sentir o frêmito toracovocal ou fazer uma percussão para diagnosticar uma pneumonite, se um raio X simples de tórax pode fazer o diagnóstico?.</w:t>
      </w:r>
    </w:p>
    <w:p w14:paraId="68C6C88E" w14:textId="2D6B56E1" w:rsidR="002B19DA" w:rsidRDefault="002B19DA" w:rsidP="002B19DA">
      <w:pPr>
        <w:pStyle w:val="Recuodecorpodetexto"/>
        <w:ind w:firstLine="284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B19DA">
        <w:rPr>
          <w:rFonts w:ascii="Times New Roman" w:hAnsi="Times New Roman" w:cs="Times New Roman"/>
          <w:color w:val="000000" w:themeColor="text1"/>
          <w:shd w:val="clear" w:color="auto" w:fill="FFFFFF"/>
        </w:rPr>
        <w:t>Trabalhos recentes enfatizam “</w:t>
      </w:r>
      <w:r w:rsidRPr="002B19D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the fading art of the clinical examination</w:t>
      </w:r>
      <w:r w:rsidRPr="002B19DA">
        <w:rPr>
          <w:rFonts w:ascii="Times New Roman" w:hAnsi="Times New Roman" w:cs="Times New Roman"/>
          <w:color w:val="000000" w:themeColor="text1"/>
          <w:shd w:val="clear" w:color="auto" w:fill="FFFFFF"/>
        </w:rPr>
        <w:t>” e ressaltam a necessidade de olhar, ouvir e examinar o paciente e só então pedir exames para comprovar a hipótese diagnóstica.</w:t>
      </w:r>
    </w:p>
    <w:p w14:paraId="2D08EA52" w14:textId="77777777" w:rsidR="002B19DA" w:rsidRPr="002B19DA" w:rsidRDefault="002B19DA" w:rsidP="002B19DA">
      <w:pPr>
        <w:pStyle w:val="Recuodecorpodetexto"/>
        <w:ind w:firstLine="284"/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4A12137F" w14:textId="77777777" w:rsidR="009F744A" w:rsidRDefault="002B19DA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2. Metodologia e Materiais</w:t>
      </w:r>
    </w:p>
    <w:p w14:paraId="677CEEAC" w14:textId="600F6004" w:rsidR="009F744A" w:rsidRPr="00E073FA" w:rsidRDefault="00E073FA" w:rsidP="00E073FA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color w:val="000000" w:themeColor="text1"/>
          <w:lang w:val="pt-BR"/>
        </w:rPr>
      </w:pPr>
      <w:r w:rsidRPr="00E073FA">
        <w:rPr>
          <w:rFonts w:ascii="Times New Roman" w:hAnsi="Times New Roman" w:cs="Times New Roman"/>
          <w:color w:val="000000" w:themeColor="text1"/>
          <w:shd w:val="clear" w:color="auto" w:fill="FFFFFF"/>
        </w:rPr>
        <w:t>A disciplina de radiologia e diagnóstico por imagem evoluiu sobremaneira nos últimos anos. Temos observado o aumento exponencial do número de exames realizados, a subespecialização das disciplinas médicas e a maior acurácia dos métodos, tornando um desafio para o médico radiologista “saber tudo sobre todos exames e regiões”. Além disso, os exames de imagem deixaram de ser somente qualitativos e diagnósticos e passaram a fornecer informações quantitativas e de gravidade de doença, identificando biomarcadores prognósticos e de resposta ao tratamento. Diante disso, sistemas computadorizados de auxílio diagnóstico vêm sendo desenvolvidos com o objetivo dar suporte ao diagnóstico por imagem e à decisão terapêutica. Com o advento da inteligência artificial, do </w:t>
      </w:r>
      <w:r w:rsidRPr="00E073FA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big data</w:t>
      </w:r>
      <w:r w:rsidRPr="00E073FA">
        <w:rPr>
          <w:rFonts w:ascii="Times New Roman" w:hAnsi="Times New Roman" w:cs="Times New Roman"/>
          <w:color w:val="000000" w:themeColor="text1"/>
          <w:shd w:val="clear" w:color="auto" w:fill="FFFFFF"/>
        </w:rPr>
        <w:t> e do aprendizado de máquina, caminhamos para a rápida expansão do uso dessas ferramentas no dia-a-dia dos médicos, tornando cada paciente único, levando a radiologia ao encontro do conceito de abordagem multidisciplinar e medicina de precisão.</w:t>
      </w:r>
    </w:p>
    <w:p w14:paraId="3EDD36D8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14:paraId="478DC7B2" w14:textId="52459F71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E073FA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14:paraId="20EFF0F6" w14:textId="56A8E878" w:rsidR="009F744A" w:rsidRDefault="001C6946" w:rsidP="00F847A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r w:rsidR="00F847AE">
        <w:rPr>
          <w:rFonts w:ascii="Times New Roman" w:hAnsi="Times New Roman" w:cs="Times New Roman"/>
          <w:lang w:val="pt-BR"/>
        </w:rPr>
        <w:t>F</w:t>
      </w:r>
      <w:r>
        <w:rPr>
          <w:rFonts w:ascii="Times New Roman" w:hAnsi="Times New Roman" w:cs="Times New Roman"/>
          <w:lang w:val="pt-BR"/>
        </w:rPr>
        <w:t>igura</w:t>
      </w:r>
      <w:r w:rsidR="00F847AE">
        <w:rPr>
          <w:rFonts w:ascii="Times New Roman" w:hAnsi="Times New Roman" w:cs="Times New Roman"/>
          <w:lang w:val="pt-BR"/>
        </w:rPr>
        <w:t xml:space="preserve"> 1 apresenta um sistema de inteligência artificial do Google se mostrando eficaz (como um </w:t>
      </w:r>
      <w:r w:rsidR="00F847AE">
        <w:rPr>
          <w:rFonts w:ascii="Times New Roman" w:hAnsi="Times New Roman" w:cs="Times New Roman"/>
          <w:lang w:val="pt-BR"/>
        </w:rPr>
        <w:t>radiologista experiente), ao detectar que mulheres tinham câncer de mama com base em exames de mamografias.</w:t>
      </w:r>
    </w:p>
    <w:p w14:paraId="467EB03B" w14:textId="138CF778" w:rsidR="00F847AE" w:rsidRDefault="006E5A14" w:rsidP="006E5A14">
      <w:pPr>
        <w:pStyle w:val="Recuodecorpodetexto"/>
        <w:ind w:firstLine="284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 1 – Cistos identificados em mamografia</w:t>
      </w:r>
    </w:p>
    <w:p w14:paraId="3A396ED5" w14:textId="7C1C583C" w:rsidR="006E5A14" w:rsidRDefault="006E5A14" w:rsidP="006E5A1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11DFD4D4" w14:textId="09F0B3B5" w:rsidR="001A5B01" w:rsidRDefault="006C49F4" w:rsidP="001A5B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3730622" wp14:editId="488E3D44">
            <wp:simplePos x="0" y="0"/>
            <wp:positionH relativeFrom="column">
              <wp:posOffset>71120</wp:posOffset>
            </wp:positionH>
            <wp:positionV relativeFrom="page">
              <wp:posOffset>4945380</wp:posOffset>
            </wp:positionV>
            <wp:extent cx="2857500" cy="1493520"/>
            <wp:effectExtent l="0" t="0" r="0" b="0"/>
            <wp:wrapSquare wrapText="bothSides"/>
            <wp:docPr id="4" name="Imagem 4" descr="exame raio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e raio-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A14">
        <w:rPr>
          <w:rFonts w:ascii="Times New Roman" w:hAnsi="Times New Roman" w:cs="Times New Roman"/>
          <w:lang w:val="pt-BR"/>
        </w:rPr>
        <w:t xml:space="preserve">A Figura 2 apresenta uma radiografia de pulmão que passou por análise da tecnologia “Lunit”, </w:t>
      </w:r>
      <w:r w:rsidR="001A5B01">
        <w:rPr>
          <w:rFonts w:ascii="Times New Roman" w:hAnsi="Times New Roman" w:cs="Times New Roman"/>
          <w:lang w:val="pt-BR"/>
        </w:rPr>
        <w:t>treinada originalmente para detectar sinais de 10 doenças torácicas, incluindo câncer, e adaptada para buscar sinais de COVID-19.</w:t>
      </w:r>
    </w:p>
    <w:p w14:paraId="6BF66880" w14:textId="22BA3E3E" w:rsidR="001A5B01" w:rsidRPr="00F847AE" w:rsidRDefault="001A5B01" w:rsidP="001A5B01">
      <w:pPr>
        <w:pStyle w:val="Recuodecorpodetexto"/>
        <w:ind w:firstLine="284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 2 – Raio-X analisado por Lunit, em busca de sinais de COVID-19</w:t>
      </w:r>
    </w:p>
    <w:p w14:paraId="2FFBDA8B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6BFBE3C8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256BB3A6" w14:textId="77777777" w:rsidR="006C49F4" w:rsidRDefault="001A5B0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Este </w:t>
      </w:r>
      <w:r w:rsidR="006C49F4">
        <w:rPr>
          <w:rFonts w:ascii="Times New Roman" w:hAnsi="Times New Roman" w:cs="Times New Roman"/>
          <w:lang w:val="pt-BR"/>
        </w:rPr>
        <w:t>artigo buscou difundir conceitos da aplicação de inteligência artificial aplicados na medicina, demonstrando através da interação entre especialistas e computador, o avanço da tecnologia e capacidade da mesma em auxiliar e prevenir erros humanos.</w:t>
      </w:r>
    </w:p>
    <w:p w14:paraId="395E4EF7" w14:textId="05884263" w:rsidR="009F744A" w:rsidRDefault="006C49F4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maior compreensão sobre o assunto, é possível adquirir o Livro “Ciência de Dados e a Inteligência Artificial na Área da Saúde” escrito por Antonio Valerio Netto, Lilian Berton e Andre Kazuo Takahata  </w:t>
      </w:r>
    </w:p>
    <w:p w14:paraId="7208355D" w14:textId="77777777"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FF4369C" w14:textId="77777777"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>5. Referências</w:t>
      </w:r>
    </w:p>
    <w:p w14:paraId="16DFC209" w14:textId="77777777" w:rsidR="009F744A" w:rsidRPr="006C728A" w:rsidRDefault="001C6946">
      <w:pPr>
        <w:pStyle w:val="Recuodecorpodetexto21"/>
        <w:ind w:left="0" w:firstLine="0"/>
      </w:pPr>
      <w:r>
        <w:t xml:space="preserve">[1] D. S. Azevedo et. al., IEEE Journal of Solid-State Circuits, </w:t>
      </w:r>
      <w:r>
        <w:rPr>
          <w:b/>
        </w:rPr>
        <w:t xml:space="preserve">42 </w:t>
      </w:r>
      <w:r>
        <w:t xml:space="preserve"> (2003) 1234-1239</w:t>
      </w:r>
    </w:p>
    <w:p w14:paraId="452E428A" w14:textId="228FE53C" w:rsidR="001F2BD4" w:rsidRPr="00094C4A" w:rsidRDefault="001C6946" w:rsidP="00094C4A">
      <w:pPr>
        <w:pStyle w:val="Recuodecorpodetexto21"/>
        <w:rPr>
          <w:lang w:val="pt-BR"/>
        </w:rPr>
      </w:pPr>
      <w:r>
        <w:rPr>
          <w:lang w:val="pt-BR"/>
        </w:rPr>
        <w:t>[2] M. Rocha, Conceitos Fundamentais, Spring-Verlag, 1999</w:t>
      </w:r>
    </w:p>
    <w:sectPr w:rsidR="001F2BD4" w:rsidRPr="00094C4A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7820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E29"/>
    <w:rsid w:val="00094C4A"/>
    <w:rsid w:val="001A5B01"/>
    <w:rsid w:val="001C6946"/>
    <w:rsid w:val="001F2BD4"/>
    <w:rsid w:val="002529BA"/>
    <w:rsid w:val="00285E29"/>
    <w:rsid w:val="002B19DA"/>
    <w:rsid w:val="006123D6"/>
    <w:rsid w:val="006C49F4"/>
    <w:rsid w:val="006C728A"/>
    <w:rsid w:val="006E5A14"/>
    <w:rsid w:val="009F744A"/>
    <w:rsid w:val="00A32EBF"/>
    <w:rsid w:val="00B459AD"/>
    <w:rsid w:val="00B74DFE"/>
    <w:rsid w:val="00BC6A61"/>
    <w:rsid w:val="00C16A52"/>
    <w:rsid w:val="00D840AB"/>
    <w:rsid w:val="00E073FA"/>
    <w:rsid w:val="00F8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C0BE45"/>
  <w15:docId w15:val="{A27B687C-66E4-4B58-9D1E-2BC995DE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B459AD"/>
    <w:rPr>
      <w:color w:val="0000FF" w:themeColor="hyperlink"/>
      <w:u w:val="single"/>
    </w:rPr>
  </w:style>
  <w:style w:type="character" w:customStyle="1" w:styleId="ref">
    <w:name w:val="ref"/>
    <w:basedOn w:val="Fontepargpadro"/>
    <w:rsid w:val="002B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dc:description/>
  <cp:lastModifiedBy>Kevin Ferreira Mirenda</cp:lastModifiedBy>
  <cp:revision>2</cp:revision>
  <cp:lastPrinted>2017-05-17T11:45:00Z</cp:lastPrinted>
  <dcterms:created xsi:type="dcterms:W3CDTF">2020-08-03T18:36:00Z</dcterms:created>
  <dcterms:modified xsi:type="dcterms:W3CDTF">2022-12-01T19:57:00Z</dcterms:modified>
</cp:coreProperties>
</file>