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t>
      </w:r>
    </w:p>
    <w:p>
      <w:pPr>
        <w:spacing w:after="200" w:before="400"/>
        <w:jc w:val="center"/>
      </w:pPr>
      <w:r>
        <w:rPr>
          <w:rFonts w:ascii="Calibri" w:cs="Calibri" w:eastAsia="Calibri" w:hAnsi="Calibri"/>
          <w:b/>
          <w:bCs/>
          <w:color w:val="6366F1"/>
          <w:sz w:val="52"/>
          <w:szCs w:val="52"/>
        </w:rPr>
        <w:t xml:space="preserve">EVOLUCIÓN METABÓLICA</w:t>
      </w:r>
    </w:p>
    <w:p>
      <w:pPr>
        <w:spacing w:after="100" w:before="100"/>
        <w:jc w:val="center"/>
      </w:pPr>
      <w:r>
        <w:rPr>
          <w:rFonts w:ascii="Calibri" w:cs="Calibri" w:eastAsia="Calibri" w:hAnsi="Calibri"/>
          <w:i/>
          <w:iCs/>
          <w:color w:val="64748B"/>
          <w:sz w:val="30"/>
          <w:szCs w:val="30"/>
        </w:rPr>
        <w:t xml:space="preserve">Sistema Clínico de Gestión para Diabetes con MCG</w:t>
      </w:r>
    </w:p>
    <w:p>
      <w:pPr>
        <w:pBdr>
          <w:bottom w:color="6366F1" w:sz="6" w:space="1"/>
        </w:pBdr>
        <w:spacing w:after="200" w:before="200"/>
      </w:pPr>
    </w:p>
    <w:p>
      <w:pPr>
        <w:spacing w:after="80" w:before="200"/>
        <w:jc w:val="center"/>
      </w:pPr>
      <w:r>
        <w:rPr>
          <w:rFonts w:ascii="Calibri" w:cs="Calibri" w:eastAsia="Calibri" w:hAnsi="Calibri"/>
          <w:b/>
          <w:bCs/>
          <w:color w:val="1E40AF"/>
          <w:sz w:val="28"/>
          <w:szCs w:val="28"/>
        </w:rPr>
        <w:t xml:space="preserve">PROPUESTA COMERCIAL</w:t>
      </w:r>
    </w:p>
    <w:p>
      <w:pPr>
        <w:spacing w:after="80" w:before="80"/>
        <w:jc w:val="center"/>
      </w:pPr>
      <w:r>
        <w:rPr>
          <w:rFonts w:ascii="Calibri" w:cs="Calibri" w:eastAsia="Calibri" w:hAnsi="Calibri"/>
          <w:b w:val="false"/>
          <w:bCs w:val="false"/>
          <w:i w:val="false"/>
          <w:iCs w:val="false"/>
          <w:color w:val="64748B"/>
          <w:sz w:val="22"/>
          <w:szCs w:val="22"/>
        </w:rPr>
        <w:t xml:space="preserve">Dirigida a: Departamento de Endocrinología — Hospital Escuela Universitario</w:t>
      </w:r>
    </w:p>
    <w:p>
      <w:pPr>
        <w:spacing w:after="80" w:before="80"/>
        <w:jc w:val="center"/>
      </w:pPr>
      <w:r>
        <w:rPr>
          <w:rFonts w:ascii="Calibri" w:cs="Calibri" w:eastAsia="Calibri" w:hAnsi="Calibri"/>
          <w:b w:val="false"/>
          <w:bCs w:val="false"/>
          <w:i w:val="false"/>
          <w:iCs w:val="false"/>
          <w:color w:val="64748B"/>
          <w:sz w:val="22"/>
          <w:szCs w:val="22"/>
        </w:rPr>
        <w:t xml:space="preserve">Fecha: Abril 2026</w:t>
      </w:r>
    </w:p>
    <w:p>
      <w:r>
        <w:t xml:space="preserve">    </w:t>
      </w:r>
    </w:p>
    <w:p>
      <w:r>
        <w:br w:type="page"/>
      </w:r>
    </w:p>
    <w:p>
      <w:pPr>
        <w:pStyle w:val="Heading1"/>
        <w:spacing w:after="160" w:before="360"/>
      </w:pPr>
      <w:r>
        <w:rPr>
          <w:rFonts w:ascii="Calibri" w:cs="Calibri" w:eastAsia="Calibri" w:hAnsi="Calibri"/>
          <w:b/>
          <w:bCs/>
          <w:color w:val="6366F1"/>
          <w:sz w:val="32"/>
          <w:szCs w:val="32"/>
        </w:rPr>
        <w:t xml:space="preserve">1. Introducción</w:t>
      </w:r>
    </w:p>
    <w:p>
      <w:pPr>
        <w:pBdr>
          <w:bottom w:color="6366F1" w:sz="6" w:space="1"/>
        </w:pBdr>
        <w:spacing w:after="200" w:before="200"/>
      </w:pPr>
    </w:p>
    <w:p>
      <w:pPr>
        <w:spacing w:after="80" w:before="80"/>
        <w:jc w:val="both"/>
      </w:pPr>
      <w:r>
        <w:rPr>
          <w:rFonts w:ascii="Calibri" w:cs="Calibri" w:eastAsia="Calibri" w:hAnsi="Calibri"/>
          <w:b w:val="false"/>
          <w:bCs w:val="false"/>
          <w:i w:val="false"/>
          <w:iCs w:val="false"/>
          <w:color w:val="1E293B"/>
          <w:sz w:val="22"/>
          <w:szCs w:val="22"/>
        </w:rPr>
        <w:t xml:space="preserve">Evolución Metabólica es un sistema de información clínica especializado en el manejo integral de pacientes con diabetes mellitus que utilizan Monitoreo Continuo de Glucosa (MCG). Desarrollado específicamente para el contexto hospitalario hondureño, el sistema digitaliza y automatiza el flujo de trabajo de los equipos de endocrinología pediátrica, permitiendo un seguimiento preciso, basado en evidencia y alineado con los estándares internacionales de la ISPAD (International Society for Pediatric and Adolescent Diabetes).</w:t>
      </w:r>
    </w:p>
    <w:p>
      <w:r>
        <w:t xml:space="preserve"> </w:t>
      </w:r>
    </w:p>
    <w:p>
      <w:pPr>
        <w:spacing w:after="80" w:before="80"/>
        <w:jc w:val="both"/>
      </w:pPr>
      <w:r>
        <w:rPr>
          <w:rFonts w:ascii="Calibri" w:cs="Calibri" w:eastAsia="Calibri" w:hAnsi="Calibri"/>
          <w:b w:val="false"/>
          <w:bCs w:val="false"/>
          <w:i w:val="false"/>
          <w:iCs w:val="false"/>
          <w:color w:val="1E293B"/>
          <w:sz w:val="22"/>
          <w:szCs w:val="22"/>
        </w:rPr>
        <w:t xml:space="preserve">El sistema centraliza el expediente clínico digital del paciente, desde su registro hasta el análisis de sus métricas de glucosa, curvas de crecimiento, historial de insulinoterapia y comunicación directa con el paciente vía WhatsApp. Todo esto accesible desde cualquier dispositivo con conexión a internet, sin instalaciones locales requeridas.</w:t>
      </w:r>
    </w:p>
    <w:p>
      <w:r>
        <w:t xml:space="preserve"> </w:t>
      </w:r>
    </w:p>
    <w:p>
      <w:pPr>
        <w:spacing w:after="80" w:before="80"/>
        <w:jc w:val="both"/>
      </w:pPr>
      <w:r>
        <w:rPr>
          <w:rFonts w:ascii="Calibri" w:cs="Calibri" w:eastAsia="Calibri" w:hAnsi="Calibri"/>
          <w:b w:val="false"/>
          <w:bCs w:val="false"/>
          <w:i w:val="false"/>
          <w:iCs w:val="false"/>
          <w:color w:val="1E293B"/>
          <w:sz w:val="22"/>
          <w:szCs w:val="22"/>
        </w:rPr>
        <w:t xml:space="preserve">Actualmente el sistema se encuentra en producción y en uso activo con datos reales de pacientes de Honduras, lo que garantiza su estabilidad y adaptación al entorno local.</w:t>
      </w:r>
    </w:p>
    <w:p>
      <w:r>
        <w:t xml:space="preserve">  </w:t>
      </w:r>
    </w:p>
    <w:p>
      <w:pPr>
        <w:spacing w:after="120" w:before="280"/>
      </w:pPr>
      <w:r>
        <w:rPr>
          <w:rFonts w:ascii="Calibri" w:cs="Calibri" w:eastAsia="Calibri" w:hAnsi="Calibri"/>
          <w:b/>
          <w:bCs/>
          <w:color w:val="6366F1"/>
          <w:sz w:val="26"/>
          <w:szCs w:val="26"/>
        </w:rPr>
        <w:t xml:space="preserve">¿Por qué un sistema especializado en MCG?</w:t>
      </w:r>
    </w:p>
    <w:p>
      <w:pPr>
        <w:spacing w:after="80" w:before="80"/>
        <w:jc w:val="both"/>
      </w:pPr>
      <w:r>
        <w:rPr>
          <w:rFonts w:ascii="Calibri" w:cs="Calibri" w:eastAsia="Calibri" w:hAnsi="Calibri"/>
          <w:b w:val="false"/>
          <w:bCs w:val="false"/>
          <w:i w:val="false"/>
          <w:iCs w:val="false"/>
          <w:color w:val="1E293B"/>
          <w:sz w:val="22"/>
          <w:szCs w:val="22"/>
        </w:rPr>
        <w:t xml:space="preserve">Los monitores de glucosa generan reportes PDF con decenas de métricas (TIR, TAR, TBR, GMI, CV, GRI, entre otras). Sin un sistema especializado, los médicos transcriben estos datos manualmente, lo que consume tiempo valioso en consulta y aumenta el riesgo de errores. Evolución Metabólica extrae automáticamente estos datos del PDF, clasifica al paciente según criterios ISPAD y los almacena en su expediente en segundos.</w:t>
      </w:r>
    </w:p>
    <w:p>
      <w:r>
        <w:br w:type="page"/>
      </w:r>
    </w:p>
    <w:p>
      <w:pPr>
        <w:pStyle w:val="Heading1"/>
        <w:spacing w:after="160" w:before="360"/>
      </w:pPr>
      <w:r>
        <w:rPr>
          <w:rFonts w:ascii="Calibri" w:cs="Calibri" w:eastAsia="Calibri" w:hAnsi="Calibri"/>
          <w:b/>
          <w:bCs/>
          <w:color w:val="6366F1"/>
          <w:sz w:val="32"/>
          <w:szCs w:val="32"/>
        </w:rPr>
        <w:t xml:space="preserve">2. Módulos del Sistema</w:t>
      </w:r>
    </w:p>
    <w:p>
      <w:pPr>
        <w:pBdr>
          <w:bottom w:color="6366F1" w:sz="6" w:space="1"/>
        </w:pBdr>
        <w:spacing w:after="200" w:before="200"/>
      </w:pPr>
    </w:p>
    <w:p>
      <w:pPr>
        <w:spacing w:after="120" w:before="280"/>
      </w:pPr>
      <w:r>
        <w:rPr>
          <w:rFonts w:ascii="Calibri" w:cs="Calibri" w:eastAsia="Calibri" w:hAnsi="Calibri"/>
          <w:b/>
          <w:bCs/>
          <w:color w:val="6366F1"/>
          <w:sz w:val="26"/>
          <w:szCs w:val="26"/>
        </w:rPr>
        <w:t xml:space="preserve">2.1  Dashboard Epidemiológico</w:t>
      </w:r>
    </w:p>
    <w:p>
      <w:pPr>
        <w:spacing w:after="80" w:before="80"/>
        <w:jc w:val="both"/>
      </w:pPr>
      <w:r>
        <w:rPr>
          <w:rFonts w:ascii="Calibri" w:cs="Calibri" w:eastAsia="Calibri" w:hAnsi="Calibri"/>
          <w:b w:val="false"/>
          <w:bCs w:val="false"/>
          <w:i w:val="false"/>
          <w:iCs w:val="false"/>
          <w:color w:val="1E293B"/>
          <w:sz w:val="22"/>
          <w:szCs w:val="22"/>
        </w:rPr>
        <w:t xml:space="preserve">Panel de control con indicadores clave en tiempo real para la toma de decisiones clínicas y administrativas.</w:t>
      </w:r>
    </w:p>
    <w:p>
      <w:r>
        <w:t xml:space="preserve"> </w:t>
      </w:r>
    </w:p>
    <w:p>
      <w:pPr>
        <w:pStyle w:val="ListParagraph"/>
        <w:numPr>
          <w:ilvl w:val="0"/>
          <w:numId w:val="1"/>
        </w:numPr>
        <w:spacing w:after="60" w:before="60"/>
      </w:pPr>
      <w:r>
        <w:rPr>
          <w:rFonts w:ascii="Calibri" w:cs="Calibri" w:eastAsia="Calibri" w:hAnsi="Calibri"/>
          <w:b w:val="false"/>
          <w:bCs w:val="false"/>
          <w:color w:val="1E293B"/>
          <w:sz w:val="21"/>
          <w:szCs w:val="21"/>
        </w:rPr>
        <w:t xml:space="preserve">Estadísticas globales: total de pacientes activos, número de análisis realizados, promedios de TIR, GMI, CV y glucosa promedio del universo de pacientes.</w:t>
      </w:r>
    </w:p>
    <w:p>
      <w:pPr>
        <w:pStyle w:val="ListParagraph"/>
        <w:numPr>
          <w:ilvl w:val="0"/>
          <w:numId w:val="1"/>
        </w:numPr>
        <w:spacing w:after="60" w:before="60"/>
      </w:pPr>
      <w:r>
        <w:rPr>
          <w:rFonts w:ascii="Calibri" w:cs="Calibri" w:eastAsia="Calibri" w:hAnsi="Calibri"/>
          <w:b w:val="false"/>
          <w:bCs w:val="false"/>
          <w:color w:val="1E293B"/>
          <w:sz w:val="21"/>
          <w:szCs w:val="21"/>
        </w:rPr>
        <w:t xml:space="preserve">Distribución por clasificación ISPAD: cuántos pacientes están en rango Óptimo, Moderado o de Alto Riesgo.</w:t>
      </w:r>
    </w:p>
    <w:p>
      <w:pPr>
        <w:pStyle w:val="ListParagraph"/>
        <w:numPr>
          <w:ilvl w:val="0"/>
          <w:numId w:val="1"/>
        </w:numPr>
        <w:spacing w:after="60" w:before="60"/>
      </w:pPr>
      <w:r>
        <w:rPr>
          <w:rFonts w:ascii="Calibri" w:cs="Calibri" w:eastAsia="Calibri" w:hAnsi="Calibri"/>
          <w:b w:val="false"/>
          <w:bCs w:val="false"/>
          <w:color w:val="1E293B"/>
          <w:sz w:val="21"/>
          <w:szCs w:val="21"/>
        </w:rPr>
        <w:t xml:space="preserve">Desagregación por departamento geográfico, por género y por grupo etario.</w:t>
      </w:r>
    </w:p>
    <w:p>
      <w:pPr>
        <w:pStyle w:val="ListParagraph"/>
        <w:numPr>
          <w:ilvl w:val="0"/>
          <w:numId w:val="1"/>
        </w:numPr>
        <w:spacing w:after="60" w:before="60"/>
      </w:pPr>
      <w:r>
        <w:rPr>
          <w:rFonts w:ascii="Calibri" w:cs="Calibri" w:eastAsia="Calibri" w:hAnsi="Calibri"/>
          <w:b w:val="false"/>
          <w:bCs w:val="false"/>
          <w:color w:val="1E293B"/>
          <w:sz w:val="21"/>
          <w:szCs w:val="21"/>
        </w:rPr>
        <w:t xml:space="preserve">Filtro por institución: permite al jefe de servicio ver solo los pacientes de su hospital.</w:t>
      </w:r>
    </w:p>
    <w:p>
      <w:pPr>
        <w:pStyle w:val="ListParagraph"/>
        <w:numPr>
          <w:ilvl w:val="0"/>
          <w:numId w:val="1"/>
        </w:numPr>
        <w:spacing w:after="60" w:before="60"/>
      </w:pPr>
      <w:r>
        <w:rPr>
          <w:rFonts w:ascii="Calibri" w:cs="Calibri" w:eastAsia="Calibri" w:hAnsi="Calibri"/>
          <w:b w:val="false"/>
          <w:bCs w:val="false"/>
          <w:color w:val="1E293B"/>
          <w:sz w:val="21"/>
          <w:szCs w:val="21"/>
        </w:rPr>
        <w:t xml:space="preserve">Visualizaciones con gráficas interactivas de barras y pasteles.</w:t>
      </w:r>
    </w:p>
    <w:p>
      <w:r>
        <w:t xml:space="preserve"> </w:t>
      </w:r>
    </w:p>
    <w:p>
      <w:pPr>
        <w:spacing w:after="80" w:before="80"/>
        <w:jc w:val="both"/>
      </w:pPr>
      <w:r>
        <w:rPr>
          <w:rFonts w:ascii="Calibri" w:cs="Calibri" w:eastAsia="Calibri" w:hAnsi="Calibri"/>
          <w:b/>
          <w:bCs/>
          <w:i w:val="false"/>
          <w:iCs w:val="false"/>
          <w:color w:val="16A34A"/>
          <w:sz w:val="22"/>
          <w:szCs w:val="22"/>
        </w:rPr>
        <w:t xml:space="preserve">Ventaja clave: en hospitales de referencia que atienden múltiples instituciones (HMEP, IHSS, Hospital Escuela), cada médico ve únicamente sus pacientes sin comprometer la privacidad de los demás.</w:t>
      </w:r>
    </w:p>
    <w:p>
      <w:r>
        <w:t xml:space="preserve">  </w:t>
      </w:r>
    </w:p>
    <w:p>
      <w:pPr>
        <w:spacing w:after="120" w:before="280"/>
      </w:pPr>
      <w:r>
        <w:rPr>
          <w:rFonts w:ascii="Calibri" w:cs="Calibri" w:eastAsia="Calibri" w:hAnsi="Calibri"/>
          <w:b/>
          <w:bCs/>
          <w:color w:val="6366F1"/>
          <w:sz w:val="26"/>
          <w:szCs w:val="26"/>
        </w:rPr>
        <w:t xml:space="preserve">2.2  Gestión de Pacientes</w:t>
      </w:r>
    </w:p>
    <w:p>
      <w:pPr>
        <w:spacing w:after="80" w:before="80"/>
        <w:jc w:val="both"/>
      </w:pPr>
      <w:r>
        <w:rPr>
          <w:rFonts w:ascii="Calibri" w:cs="Calibri" w:eastAsia="Calibri" w:hAnsi="Calibri"/>
          <w:b w:val="false"/>
          <w:bCs w:val="false"/>
          <w:i w:val="false"/>
          <w:iCs w:val="false"/>
          <w:color w:val="1E293B"/>
          <w:sz w:val="22"/>
          <w:szCs w:val="22"/>
        </w:rPr>
        <w:t xml:space="preserve">Expediente clínico digital completo para cada paciente con diabetes.</w:t>
      </w:r>
    </w:p>
    <w:p>
      <w:r>
        <w:t xml:space="preserve"> </w:t>
      </w:r>
    </w:p>
    <w:p>
      <w:pPr>
        <w:pStyle w:val="ListParagraph"/>
        <w:numPr>
          <w:ilvl w:val="0"/>
          <w:numId w:val="1"/>
        </w:numPr>
        <w:spacing w:after="60" w:before="60"/>
      </w:pPr>
      <w:r>
        <w:rPr>
          <w:rFonts w:ascii="Calibri" w:cs="Calibri" w:eastAsia="Calibri" w:hAnsi="Calibri"/>
          <w:b w:val="false"/>
          <w:bCs w:val="false"/>
          <w:color w:val="1E293B"/>
          <w:sz w:val="21"/>
          <w:szCs w:val="21"/>
        </w:rPr>
        <w:t xml:space="preserve">Registro con datos demográficos: nombre, edad, sexo, fecha de nacimiento, tipo de diabetes, fecha de debut, institución de referencia.</w:t>
      </w:r>
    </w:p>
    <w:p>
      <w:pPr>
        <w:pStyle w:val="ListParagraph"/>
        <w:numPr>
          <w:ilvl w:val="0"/>
          <w:numId w:val="1"/>
        </w:numPr>
        <w:spacing w:after="60" w:before="60"/>
      </w:pPr>
      <w:r>
        <w:rPr>
          <w:rFonts w:ascii="Calibri" w:cs="Calibri" w:eastAsia="Calibri" w:hAnsi="Calibri"/>
          <w:b w:val="false"/>
          <w:bCs w:val="false"/>
          <w:color w:val="1E293B"/>
          <w:sz w:val="21"/>
          <w:szCs w:val="21"/>
        </w:rPr>
        <w:t xml:space="preserve">Georeferenciación automática: al guardar la dirección del paciente, el sistema obtiene sus coordenadas geográficas para ubicarlo en el mapa epidemiológico.</w:t>
      </w:r>
    </w:p>
    <w:p>
      <w:pPr>
        <w:pStyle w:val="ListParagraph"/>
        <w:numPr>
          <w:ilvl w:val="0"/>
          <w:numId w:val="1"/>
        </w:numPr>
        <w:spacing w:after="60" w:before="60"/>
      </w:pPr>
      <w:r>
        <w:rPr>
          <w:rFonts w:ascii="Calibri" w:cs="Calibri" w:eastAsia="Calibri" w:hAnsi="Calibri"/>
          <w:b w:val="false"/>
          <w:bCs w:val="false"/>
          <w:color w:val="1E293B"/>
          <w:sz w:val="21"/>
          <w:szCs w:val="21"/>
        </w:rPr>
        <w:t xml:space="preserve">Historial completo de análisis MCG, consultas, crecimiento e insulinoterapia accesible desde una sola pantalla.</w:t>
      </w:r>
    </w:p>
    <w:p>
      <w:pPr>
        <w:pStyle w:val="ListParagraph"/>
        <w:numPr>
          <w:ilvl w:val="0"/>
          <w:numId w:val="1"/>
        </w:numPr>
        <w:spacing w:after="60" w:before="60"/>
      </w:pPr>
      <w:r>
        <w:rPr>
          <w:rFonts w:ascii="Calibri" w:cs="Calibri" w:eastAsia="Calibri" w:hAnsi="Calibri"/>
          <w:b w:val="false"/>
          <w:bCs w:val="false"/>
          <w:color w:val="1E293B"/>
          <w:sz w:val="21"/>
          <w:szCs w:val="21"/>
        </w:rPr>
        <w:t xml:space="preserve">Búsqueda y filtrado avanzado por nombre, institución, clasificación o departamento.</w:t>
      </w:r>
    </w:p>
    <w:p>
      <w:pPr>
        <w:pStyle w:val="ListParagraph"/>
        <w:numPr>
          <w:ilvl w:val="0"/>
          <w:numId w:val="1"/>
        </w:numPr>
        <w:spacing w:after="60" w:before="60"/>
      </w:pPr>
      <w:r>
        <w:rPr>
          <w:rFonts w:ascii="Calibri" w:cs="Calibri" w:eastAsia="Calibri" w:hAnsi="Calibri"/>
          <w:b w:val="false"/>
          <w:bCs w:val="false"/>
          <w:color w:val="1E293B"/>
          <w:sz w:val="21"/>
          <w:szCs w:val="21"/>
        </w:rPr>
        <w:t xml:space="preserve">Control de estado activo/inactivo del paciente.</w:t>
      </w:r>
    </w:p>
    <w:p>
      <w:r>
        <w:t xml:space="preserve"> </w:t>
      </w:r>
    </w:p>
    <w:p>
      <w:pPr>
        <w:spacing w:after="80" w:before="80"/>
        <w:jc w:val="both"/>
      </w:pPr>
      <w:r>
        <w:rPr>
          <w:rFonts w:ascii="Calibri" w:cs="Calibri" w:eastAsia="Calibri" w:hAnsi="Calibri"/>
          <w:b/>
          <w:bCs/>
          <w:i w:val="false"/>
          <w:iCs w:val="false"/>
          <w:color w:val="16A34A"/>
          <w:sz w:val="22"/>
          <w:szCs w:val="22"/>
        </w:rPr>
        <w:t xml:space="preserve">Ventaja clave: elimina los expedientes en papel y permite que varios médicos accedan al mismo paciente de forma simultánea y segura.</w:t>
      </w:r>
    </w:p>
    <w:p>
      <w:r>
        <w:t xml:space="preserve">  </w:t>
      </w:r>
    </w:p>
    <w:p>
      <w:pPr>
        <w:spacing w:after="120" w:before="280"/>
      </w:pPr>
      <w:r>
        <w:rPr>
          <w:rFonts w:ascii="Calibri" w:cs="Calibri" w:eastAsia="Calibri" w:hAnsi="Calibri"/>
          <w:b/>
          <w:bCs/>
          <w:color w:val="6366F1"/>
          <w:sz w:val="26"/>
          <w:szCs w:val="26"/>
        </w:rPr>
        <w:t xml:space="preserve">2.3  Análisis de Monitoreo Continuo de Glucosa (MCG)</w:t>
      </w:r>
    </w:p>
    <w:p>
      <w:pPr>
        <w:spacing w:after="80" w:before="80"/>
        <w:jc w:val="both"/>
      </w:pPr>
      <w:r>
        <w:rPr>
          <w:rFonts w:ascii="Calibri" w:cs="Calibri" w:eastAsia="Calibri" w:hAnsi="Calibri"/>
          <w:b w:val="false"/>
          <w:bCs w:val="false"/>
          <w:i w:val="false"/>
          <w:iCs w:val="false"/>
          <w:color w:val="1E293B"/>
          <w:sz w:val="22"/>
          <w:szCs w:val="22"/>
        </w:rPr>
        <w:t xml:space="preserve">Módulo central del sistema. Registra, clasifica y analiza los datos del monitor de glucosa de cada paciente.</w:t>
      </w:r>
    </w:p>
    <w:p>
      <w:r>
        <w:t xml:space="preserve"> </w:t>
      </w:r>
    </w:p>
    <w:p>
      <w:pPr>
        <w:pStyle w:val="ListParagraph"/>
        <w:numPr>
          <w:ilvl w:val="0"/>
          <w:numId w:val="1"/>
        </w:numPr>
        <w:spacing w:after="60" w:before="60"/>
      </w:pPr>
      <w:r>
        <w:rPr>
          <w:rFonts w:ascii="Calibri" w:cs="Calibri" w:eastAsia="Calibri" w:hAnsi="Calibri"/>
          <w:b w:val="false"/>
          <w:bCs w:val="false"/>
          <w:color w:val="1E293B"/>
          <w:sz w:val="21"/>
          <w:szCs w:val="21"/>
        </w:rPr>
        <w:t xml:space="preserve">Registro de métricas completas: TIR, TAR total, TAR muy alto, TAR alto, TBR, TBR bajo, TBR muy bajo, GMI, CV, tiempo activo del sensor, glucosa promedio, GRI.</w:t>
      </w:r>
    </w:p>
    <w:p>
      <w:pPr>
        <w:pStyle w:val="ListParagraph"/>
        <w:numPr>
          <w:ilvl w:val="0"/>
          <w:numId w:val="1"/>
        </w:numPr>
        <w:spacing w:after="60" w:before="60"/>
      </w:pPr>
      <w:r>
        <w:rPr>
          <w:rFonts w:ascii="Calibri" w:cs="Calibri" w:eastAsia="Calibri" w:hAnsi="Calibri"/>
          <w:b w:val="false"/>
          <w:bCs w:val="false"/>
          <w:color w:val="1E293B"/>
          <w:sz w:val="21"/>
          <w:szCs w:val="21"/>
        </w:rPr>
        <w:t xml:space="preserve">Clasificación automática ISPAD: el sistema determina si el paciente es Óptimo, Moderado o de Alto Riesgo sin intervención del médico.</w:t>
      </w:r>
    </w:p>
    <w:p>
      <w:pPr>
        <w:pStyle w:val="ListParagraph"/>
        <w:numPr>
          <w:ilvl w:val="0"/>
          <w:numId w:val="1"/>
        </w:numPr>
        <w:spacing w:after="60" w:before="60"/>
      </w:pPr>
      <w:r>
        <w:rPr>
          <w:rFonts w:ascii="Calibri" w:cs="Calibri" w:eastAsia="Calibri" w:hAnsi="Calibri"/>
          <w:b w:val="false"/>
          <w:bCs w:val="false"/>
          <w:color w:val="1E293B"/>
          <w:sz w:val="21"/>
          <w:szCs w:val="21"/>
        </w:rPr>
        <w:t xml:space="preserve">Registro de eventos de hipoglucemia y duración total.</w:t>
      </w:r>
    </w:p>
    <w:p>
      <w:pPr>
        <w:pStyle w:val="ListParagraph"/>
        <w:numPr>
          <w:ilvl w:val="0"/>
          <w:numId w:val="1"/>
        </w:numPr>
        <w:spacing w:after="60" w:before="60"/>
      </w:pPr>
      <w:r>
        <w:rPr>
          <w:rFonts w:ascii="Calibri" w:cs="Calibri" w:eastAsia="Calibri" w:hAnsi="Calibri"/>
          <w:b w:val="false"/>
          <w:bCs w:val="false"/>
          <w:color w:val="1E293B"/>
          <w:sz w:val="21"/>
          <w:szCs w:val="21"/>
        </w:rPr>
        <w:t xml:space="preserve">Seguimiento de cambios de dosis de insulina post-análisis.</w:t>
      </w:r>
    </w:p>
    <w:p>
      <w:pPr>
        <w:pStyle w:val="ListParagraph"/>
        <w:numPr>
          <w:ilvl w:val="0"/>
          <w:numId w:val="1"/>
        </w:numPr>
        <w:spacing w:after="60" w:before="60"/>
      </w:pPr>
      <w:r>
        <w:rPr>
          <w:rFonts w:ascii="Calibri" w:cs="Calibri" w:eastAsia="Calibri" w:hAnsi="Calibri"/>
          <w:b w:val="false"/>
          <w:bCs w:val="false"/>
          <w:color w:val="1E293B"/>
          <w:sz w:val="21"/>
          <w:szCs w:val="21"/>
        </w:rPr>
        <w:t xml:space="preserve">Registro de HbA1c posterior al monitoreo para comparación.</w:t>
      </w:r>
    </w:p>
    <w:p>
      <w:pPr>
        <w:pStyle w:val="ListParagraph"/>
        <w:numPr>
          <w:ilvl w:val="0"/>
          <w:numId w:val="1"/>
        </w:numPr>
        <w:spacing w:after="60" w:before="60"/>
      </w:pPr>
      <w:r>
        <w:rPr>
          <w:rFonts w:ascii="Calibri" w:cs="Calibri" w:eastAsia="Calibri" w:hAnsi="Calibri"/>
          <w:b w:val="false"/>
          <w:bCs w:val="false"/>
          <w:color w:val="1E293B"/>
          <w:sz w:val="21"/>
          <w:szCs w:val="21"/>
        </w:rPr>
        <w:t xml:space="preserve">Registro de limitaciones del paciente: conectividad a internet, alergias, situación económica.</w:t>
      </w:r>
    </w:p>
    <w:p>
      <w:pPr>
        <w:pStyle w:val="ListParagraph"/>
        <w:numPr>
          <w:ilvl w:val="0"/>
          <w:numId w:val="1"/>
        </w:numPr>
        <w:spacing w:after="60" w:before="60"/>
      </w:pPr>
      <w:r>
        <w:rPr>
          <w:rFonts w:ascii="Calibri" w:cs="Calibri" w:eastAsia="Calibri" w:hAnsi="Calibri"/>
          <w:b w:val="false"/>
          <w:bCs w:val="false"/>
          <w:color w:val="1E293B"/>
          <w:sz w:val="21"/>
          <w:szCs w:val="21"/>
        </w:rPr>
        <w:t xml:space="preserve">Historial cronológico de análisis para visualizar evolución del paciente a lo largo del tiempo.</w:t>
      </w:r>
    </w:p>
    <w:p>
      <w:pPr>
        <w:pStyle w:val="ListParagraph"/>
        <w:numPr>
          <w:ilvl w:val="0"/>
          <w:numId w:val="1"/>
        </w:numPr>
        <w:spacing w:after="60" w:before="60"/>
      </w:pPr>
      <w:r>
        <w:rPr>
          <w:rFonts w:ascii="Calibri" w:cs="Calibri" w:eastAsia="Calibri" w:hAnsi="Calibri"/>
          <w:b w:val="false"/>
          <w:bCs w:val="false"/>
          <w:color w:val="1E293B"/>
          <w:sz w:val="21"/>
          <w:szCs w:val="21"/>
        </w:rPr>
        <w:t xml:space="preserve">Número de registro automático por paciente (análisis 1, 2, 3…).</w:t>
      </w:r>
    </w:p>
    <w:p>
      <w:r>
        <w:t xml:space="preserve"> </w:t>
      </w:r>
    </w:p>
    <w:p>
      <w:pPr>
        <w:spacing w:after="80" w:before="80"/>
        <w:jc w:val="both"/>
      </w:pPr>
      <w:r>
        <w:rPr>
          <w:rFonts w:ascii="Calibri" w:cs="Calibri" w:eastAsia="Calibri" w:hAnsi="Calibri"/>
          <w:b/>
          <w:bCs/>
          <w:i w:val="false"/>
          <w:iCs w:val="false"/>
          <w:color w:val="16A34A"/>
          <w:sz w:val="22"/>
          <w:szCs w:val="22"/>
        </w:rPr>
        <w:t xml:space="preserve">Ventaja clave: la clasificación ISPAD automatizada convierte criterios internacionales complejos en una decisión clínica instantánea, reduciendo la variabilidad entre médicos.</w:t>
      </w:r>
    </w:p>
    <w:p>
      <w:r>
        <w:t xml:space="preserve">  </w:t>
      </w:r>
    </w:p>
    <w:p>
      <w:pPr>
        <w:spacing w:after="120" w:before="280"/>
      </w:pPr>
      <w:r>
        <w:rPr>
          <w:rFonts w:ascii="Calibri" w:cs="Calibri" w:eastAsia="Calibri" w:hAnsi="Calibri"/>
          <w:b/>
          <w:bCs/>
          <w:color w:val="6366F1"/>
          <w:sz w:val="26"/>
          <w:szCs w:val="26"/>
        </w:rPr>
        <w:t xml:space="preserve">2.4  Parseo Automático de Reportes PDF (Syai X1)</w:t>
      </w:r>
    </w:p>
    <w:p>
      <w:pPr>
        <w:spacing w:after="80" w:before="80"/>
        <w:jc w:val="both"/>
      </w:pPr>
      <w:r>
        <w:rPr>
          <w:rFonts w:ascii="Calibri" w:cs="Calibri" w:eastAsia="Calibri" w:hAnsi="Calibri"/>
          <w:b w:val="false"/>
          <w:bCs w:val="false"/>
          <w:i w:val="false"/>
          <w:iCs w:val="false"/>
          <w:color w:val="1E293B"/>
          <w:sz w:val="22"/>
          <w:szCs w:val="22"/>
        </w:rPr>
        <w:t xml:space="preserve">Módulo único en la región: extrae automáticamente las métricas del reporte PDF generado por el monitor Syai X1.</w:t>
      </w:r>
    </w:p>
    <w:p>
      <w:r>
        <w:t xml:space="preserve"> </w:t>
      </w:r>
    </w:p>
    <w:p>
      <w:pPr>
        <w:pStyle w:val="ListParagraph"/>
        <w:numPr>
          <w:ilvl w:val="0"/>
          <w:numId w:val="1"/>
        </w:numPr>
        <w:spacing w:after="60" w:before="60"/>
      </w:pPr>
      <w:r>
        <w:rPr>
          <w:rFonts w:ascii="Calibri" w:cs="Calibri" w:eastAsia="Calibri" w:hAnsi="Calibri"/>
          <w:b w:val="false"/>
          <w:bCs w:val="false"/>
          <w:color w:val="1E293B"/>
          <w:sz w:val="21"/>
          <w:szCs w:val="21"/>
        </w:rPr>
        <w:t xml:space="preserve">El médico sube el PDF del monitor y el sistema extrae TIR, TAR, TBR, GMI, CV, glucosa promedio y más, sin necesidad de transcripción manual.</w:t>
      </w:r>
    </w:p>
    <w:p>
      <w:pPr>
        <w:pStyle w:val="ListParagraph"/>
        <w:numPr>
          <w:ilvl w:val="0"/>
          <w:numId w:val="1"/>
        </w:numPr>
        <w:spacing w:after="60" w:before="60"/>
      </w:pPr>
      <w:r>
        <w:rPr>
          <w:rFonts w:ascii="Calibri" w:cs="Calibri" w:eastAsia="Calibri" w:hAnsi="Calibri"/>
          <w:b w:val="false"/>
          <w:bCs w:val="false"/>
          <w:color w:val="1E293B"/>
          <w:sz w:val="21"/>
          <w:szCs w:val="21"/>
        </w:rPr>
        <w:t xml:space="preserve">El médico revisa los datos extraídos antes de confirmar el guardado.</w:t>
      </w:r>
    </w:p>
    <w:p>
      <w:pPr>
        <w:pStyle w:val="ListParagraph"/>
        <w:numPr>
          <w:ilvl w:val="0"/>
          <w:numId w:val="1"/>
        </w:numPr>
        <w:spacing w:after="60" w:before="60"/>
      </w:pPr>
      <w:r>
        <w:rPr>
          <w:rFonts w:ascii="Calibri" w:cs="Calibri" w:eastAsia="Calibri" w:hAnsi="Calibri"/>
          <w:b w:val="false"/>
          <w:bCs w:val="false"/>
          <w:color w:val="1E293B"/>
          <w:sz w:val="21"/>
          <w:szCs w:val="21"/>
        </w:rPr>
        <w:t xml:space="preserve">Clasificación ISPAD calculada automáticamente sobre los datos extraídos.</w:t>
      </w:r>
    </w:p>
    <w:p>
      <w:pPr>
        <w:pStyle w:val="ListParagraph"/>
        <w:numPr>
          <w:ilvl w:val="0"/>
          <w:numId w:val="1"/>
        </w:numPr>
        <w:spacing w:after="60" w:before="60"/>
      </w:pPr>
      <w:r>
        <w:rPr>
          <w:rFonts w:ascii="Calibri" w:cs="Calibri" w:eastAsia="Calibri" w:hAnsi="Calibri"/>
          <w:b w:val="false"/>
          <w:bCs w:val="false"/>
          <w:color w:val="1E293B"/>
          <w:sz w:val="21"/>
          <w:szCs w:val="21"/>
        </w:rPr>
        <w:t xml:space="preserve">Reducción de tiempo en consulta: de 5–10 minutos de transcripción manual a menos de 30 segundos.</w:t>
      </w:r>
    </w:p>
    <w:p>
      <w:pPr>
        <w:pStyle w:val="ListParagraph"/>
        <w:numPr>
          <w:ilvl w:val="0"/>
          <w:numId w:val="1"/>
        </w:numPr>
        <w:spacing w:after="60" w:before="60"/>
      </w:pPr>
      <w:r>
        <w:rPr>
          <w:rFonts w:ascii="Calibri" w:cs="Calibri" w:eastAsia="Calibri" w:hAnsi="Calibri"/>
          <w:b w:val="false"/>
          <w:bCs w:val="false"/>
          <w:color w:val="1E293B"/>
          <w:sz w:val="21"/>
          <w:szCs w:val="21"/>
        </w:rPr>
        <w:t xml:space="preserve">Almacenamiento del archivo PDF original vinculado al análisis del paciente.</w:t>
      </w:r>
    </w:p>
    <w:p>
      <w:r>
        <w:t xml:space="preserve"> </w:t>
      </w:r>
    </w:p>
    <w:p>
      <w:pPr>
        <w:spacing w:after="80" w:before="80"/>
        <w:jc w:val="both"/>
      </w:pPr>
      <w:r>
        <w:rPr>
          <w:rFonts w:ascii="Calibri" w:cs="Calibri" w:eastAsia="Calibri" w:hAnsi="Calibri"/>
          <w:b/>
          <w:bCs/>
          <w:i w:val="false"/>
          <w:iCs w:val="false"/>
          <w:color w:val="16A34A"/>
          <w:sz w:val="22"/>
          <w:szCs w:val="22"/>
        </w:rPr>
        <w:t xml:space="preserve">Ventaja clave: ningún otro sistema hospitalario público en Honduras tiene esta capacidad. Elimina el principal cuello de botella de la consulta de MCG.</w:t>
      </w:r>
    </w:p>
    <w:p>
      <w:r>
        <w:br w:type="page"/>
      </w:r>
    </w:p>
    <w:p>
      <w:pPr>
        <w:spacing w:after="120" w:before="280"/>
      </w:pPr>
      <w:r>
        <w:rPr>
          <w:rFonts w:ascii="Calibri" w:cs="Calibri" w:eastAsia="Calibri" w:hAnsi="Calibri"/>
          <w:b/>
          <w:bCs/>
          <w:color w:val="6366F1"/>
          <w:sz w:val="26"/>
          <w:szCs w:val="26"/>
        </w:rPr>
        <w:t xml:space="preserve">2.5  Curvas de Crecimiento</w:t>
      </w:r>
    </w:p>
    <w:p>
      <w:pPr>
        <w:spacing w:after="80" w:before="80"/>
        <w:jc w:val="both"/>
      </w:pPr>
      <w:r>
        <w:rPr>
          <w:rFonts w:ascii="Calibri" w:cs="Calibri" w:eastAsia="Calibri" w:hAnsi="Calibri"/>
          <w:b w:val="false"/>
          <w:bCs w:val="false"/>
          <w:i w:val="false"/>
          <w:iCs w:val="false"/>
          <w:color w:val="1E293B"/>
          <w:sz w:val="22"/>
          <w:szCs w:val="22"/>
        </w:rPr>
        <w:t xml:space="preserve">Seguimiento del desarrollo antropométrico del paciente pediátrico con interpretación clínica automática según estándares OMS.</w:t>
      </w:r>
    </w:p>
    <w:p>
      <w:r>
        <w:t xml:space="preserve"> </w:t>
      </w:r>
    </w:p>
    <w:p>
      <w:pPr>
        <w:pStyle w:val="ListParagraph"/>
        <w:numPr>
          <w:ilvl w:val="0"/>
          <w:numId w:val="1"/>
        </w:numPr>
        <w:spacing w:after="60" w:before="60"/>
      </w:pPr>
      <w:r>
        <w:rPr>
          <w:rFonts w:ascii="Calibri" w:cs="Calibri" w:eastAsia="Calibri" w:hAnsi="Calibri"/>
          <w:b w:val="false"/>
          <w:bCs w:val="false"/>
          <w:color w:val="1E293B"/>
          <w:sz w:val="21"/>
          <w:szCs w:val="21"/>
        </w:rPr>
        <w:t xml:space="preserve">Registro de peso, talla, IMC, perímetro cefálico y Tanner por fecha de evaluación.</w:t>
      </w:r>
    </w:p>
    <w:p>
      <w:pPr>
        <w:pStyle w:val="ListParagraph"/>
        <w:numPr>
          <w:ilvl w:val="0"/>
          <w:numId w:val="1"/>
        </w:numPr>
        <w:spacing w:after="60" w:before="60"/>
      </w:pPr>
      <w:r>
        <w:rPr>
          <w:rFonts w:ascii="Calibri" w:cs="Calibri" w:eastAsia="Calibri" w:hAnsi="Calibri"/>
          <w:b w:val="false"/>
          <w:bCs w:val="false"/>
          <w:color w:val="1E293B"/>
          <w:sz w:val="21"/>
          <w:szCs w:val="21"/>
        </w:rPr>
        <w:t xml:space="preserve">Cálculo automático de Z-score para cada indicador (peso/edad, talla/edad, IMC/edad, PC/edad).</w:t>
      </w:r>
    </w:p>
    <w:p>
      <w:pPr>
        <w:pStyle w:val="ListParagraph"/>
        <w:numPr>
          <w:ilvl w:val="0"/>
          <w:numId w:val="1"/>
        </w:numPr>
        <w:spacing w:after="60" w:before="60"/>
      </w:pPr>
      <w:r>
        <w:rPr>
          <w:rFonts w:ascii="Calibri" w:cs="Calibri" w:eastAsia="Calibri" w:hAnsi="Calibri"/>
          <w:b w:val="false"/>
          <w:bCs w:val="false"/>
          <w:color w:val="1E293B"/>
          <w:sz w:val="21"/>
          <w:szCs w:val="21"/>
        </w:rPr>
        <w:t xml:space="preserve">Conversión de Z-score a percentil (P5, P25, P50, P75, P95…).</w:t>
      </w:r>
    </w:p>
    <w:p>
      <w:pPr>
        <w:pStyle w:val="ListParagraph"/>
        <w:numPr>
          <w:ilvl w:val="0"/>
          <w:numId w:val="1"/>
        </w:numPr>
        <w:spacing w:after="60" w:before="60"/>
      </w:pPr>
      <w:r>
        <w:rPr>
          <w:rFonts w:ascii="Calibri" w:cs="Calibri" w:eastAsia="Calibri" w:hAnsi="Calibri"/>
          <w:b w:val="false"/>
          <w:bCs w:val="false"/>
          <w:color w:val="1E293B"/>
          <w:sz w:val="21"/>
          <w:szCs w:val="21"/>
        </w:rPr>
        <w:t xml:space="preserve">Clasificación automática: Talla baja severa, Talla baja, Normal, Talla alta; Delgadez severa, Delgadez, Sobrepeso, Obesidad, etc.</w:t>
      </w:r>
    </w:p>
    <w:p>
      <w:pPr>
        <w:pStyle w:val="ListParagraph"/>
        <w:numPr>
          <w:ilvl w:val="0"/>
          <w:numId w:val="1"/>
        </w:numPr>
        <w:spacing w:after="60" w:before="60"/>
      </w:pPr>
      <w:r>
        <w:rPr>
          <w:rFonts w:ascii="Calibri" w:cs="Calibri" w:eastAsia="Calibri" w:hAnsi="Calibri"/>
          <w:b w:val="false"/>
          <w:bCs w:val="false"/>
          <w:color w:val="1E293B"/>
          <w:sz w:val="21"/>
          <w:szCs w:val="21"/>
        </w:rPr>
        <w:t xml:space="preserve">Historial cronológico para evaluar tendencia de crecimiento.</w:t>
      </w:r>
    </w:p>
    <w:p>
      <w:r>
        <w:t xml:space="preserve"> </w:t>
      </w:r>
    </w:p>
    <w:p>
      <w:pPr>
        <w:spacing w:after="80" w:before="80"/>
        <w:jc w:val="both"/>
      </w:pPr>
      <w:r>
        <w:rPr>
          <w:rFonts w:ascii="Calibri" w:cs="Calibri" w:eastAsia="Calibri" w:hAnsi="Calibri"/>
          <w:b/>
          <w:bCs/>
          <w:i w:val="false"/>
          <w:iCs w:val="false"/>
          <w:color w:val="16A34A"/>
          <w:sz w:val="22"/>
          <w:szCs w:val="22"/>
        </w:rPr>
        <w:t xml:space="preserve">Ventaja clave: integra el seguimiento endocrinológico completo (glucemia + crecimiento) en un solo sistema, sin software adicional.</w:t>
      </w:r>
    </w:p>
    <w:p>
      <w:r>
        <w:t xml:space="preserve">  </w:t>
      </w:r>
    </w:p>
    <w:p>
      <w:pPr>
        <w:spacing w:after="120" w:before="280"/>
      </w:pPr>
      <w:r>
        <w:rPr>
          <w:rFonts w:ascii="Calibri" w:cs="Calibri" w:eastAsia="Calibri" w:hAnsi="Calibri"/>
          <w:b/>
          <w:bCs/>
          <w:color w:val="6366F1"/>
          <w:sz w:val="26"/>
          <w:szCs w:val="26"/>
        </w:rPr>
        <w:t xml:space="preserve">2.6  Historial Clínico (Insulinoterapia)</w:t>
      </w:r>
    </w:p>
    <w:p>
      <w:pPr>
        <w:spacing w:after="80" w:before="80"/>
        <w:jc w:val="both"/>
      </w:pPr>
      <w:r>
        <w:rPr>
          <w:rFonts w:ascii="Calibri" w:cs="Calibri" w:eastAsia="Calibri" w:hAnsi="Calibri"/>
          <w:b w:val="false"/>
          <w:bCs w:val="false"/>
          <w:i w:val="false"/>
          <w:iCs w:val="false"/>
          <w:color w:val="1E293B"/>
          <w:sz w:val="22"/>
          <w:szCs w:val="22"/>
        </w:rPr>
        <w:t xml:space="preserve">Registro longitudinal de los cambios en el esquema de insulinoterapia del paciente.</w:t>
      </w:r>
    </w:p>
    <w:p>
      <w:r>
        <w:t xml:space="preserve"> </w:t>
      </w:r>
    </w:p>
    <w:p>
      <w:pPr>
        <w:pStyle w:val="ListParagraph"/>
        <w:numPr>
          <w:ilvl w:val="0"/>
          <w:numId w:val="1"/>
        </w:numPr>
        <w:spacing w:after="60" w:before="60"/>
      </w:pPr>
      <w:r>
        <w:rPr>
          <w:rFonts w:ascii="Calibri" w:cs="Calibri" w:eastAsia="Calibri" w:hAnsi="Calibri"/>
          <w:b w:val="false"/>
          <w:bCs w:val="false"/>
          <w:color w:val="1E293B"/>
          <w:sz w:val="21"/>
          <w:szCs w:val="21"/>
        </w:rPr>
        <w:t xml:space="preserve">Registro de insulina prolongada y de acción rápida: nombre comercial, dosis en unidades/kg y unidades absolutas.</w:t>
      </w:r>
    </w:p>
    <w:p>
      <w:pPr>
        <w:pStyle w:val="ListParagraph"/>
        <w:numPr>
          <w:ilvl w:val="0"/>
          <w:numId w:val="1"/>
        </w:numPr>
        <w:spacing w:after="60" w:before="60"/>
      </w:pPr>
      <w:r>
        <w:rPr>
          <w:rFonts w:ascii="Calibri" w:cs="Calibri" w:eastAsia="Calibri" w:hAnsi="Calibri"/>
          <w:b w:val="false"/>
          <w:bCs w:val="false"/>
          <w:color w:val="1E293B"/>
          <w:sz w:val="21"/>
          <w:szCs w:val="21"/>
        </w:rPr>
        <w:t xml:space="preserve">Cálculo automático de dosis total diaria (insulina prolongada + insulina corta).</w:t>
      </w:r>
    </w:p>
    <w:p>
      <w:pPr>
        <w:pStyle w:val="ListParagraph"/>
        <w:numPr>
          <w:ilvl w:val="0"/>
          <w:numId w:val="1"/>
        </w:numPr>
        <w:spacing w:after="60" w:before="60"/>
      </w:pPr>
      <w:r>
        <w:rPr>
          <w:rFonts w:ascii="Calibri" w:cs="Calibri" w:eastAsia="Calibri" w:hAnsi="Calibri"/>
          <w:b w:val="false"/>
          <w:bCs w:val="false"/>
          <w:color w:val="1E293B"/>
          <w:sz w:val="21"/>
          <w:szCs w:val="21"/>
        </w:rPr>
        <w:t xml:space="preserve">Registro de vía de administración y motivo del cambio de dosis.</w:t>
      </w:r>
    </w:p>
    <w:p>
      <w:pPr>
        <w:pStyle w:val="ListParagraph"/>
        <w:numPr>
          <w:ilvl w:val="0"/>
          <w:numId w:val="1"/>
        </w:numPr>
        <w:spacing w:after="60" w:before="60"/>
      </w:pPr>
      <w:r>
        <w:rPr>
          <w:rFonts w:ascii="Calibri" w:cs="Calibri" w:eastAsia="Calibri" w:hAnsi="Calibri"/>
          <w:b w:val="false"/>
          <w:bCs w:val="false"/>
          <w:color w:val="1E293B"/>
          <w:sz w:val="21"/>
          <w:szCs w:val="21"/>
        </w:rPr>
        <w:t xml:space="preserve">Observaciones clínicas libres por registro.</w:t>
      </w:r>
    </w:p>
    <w:p>
      <w:pPr>
        <w:pStyle w:val="ListParagraph"/>
        <w:numPr>
          <w:ilvl w:val="0"/>
          <w:numId w:val="1"/>
        </w:numPr>
        <w:spacing w:after="60" w:before="60"/>
      </w:pPr>
      <w:r>
        <w:rPr>
          <w:rFonts w:ascii="Calibri" w:cs="Calibri" w:eastAsia="Calibri" w:hAnsi="Calibri"/>
          <w:b w:val="false"/>
          <w:bCs w:val="false"/>
          <w:color w:val="1E293B"/>
          <w:sz w:val="21"/>
          <w:szCs w:val="21"/>
        </w:rPr>
        <w:t xml:space="preserve">Historial cronológico para evaluar ajustes de tratamiento a lo largo del tiempo.</w:t>
      </w:r>
    </w:p>
    <w:p>
      <w:r>
        <w:t xml:space="preserve"> </w:t>
      </w:r>
    </w:p>
    <w:p>
      <w:pPr>
        <w:spacing w:after="80" w:before="80"/>
        <w:jc w:val="both"/>
      </w:pPr>
      <w:r>
        <w:rPr>
          <w:rFonts w:ascii="Calibri" w:cs="Calibri" w:eastAsia="Calibri" w:hAnsi="Calibri"/>
          <w:b/>
          <w:bCs/>
          <w:i w:val="false"/>
          <w:iCs w:val="false"/>
          <w:color w:val="16A34A"/>
          <w:sz w:val="22"/>
          <w:szCs w:val="22"/>
        </w:rPr>
        <w:t xml:space="preserve">Ventaja clave: permite correlacionar los cambios de dosis con la evolución de las métricas MCG, facilitando la toma de decisiones terapéuticas basadas en datos.</w:t>
      </w:r>
    </w:p>
    <w:p>
      <w:r>
        <w:t xml:space="preserve">  </w:t>
      </w:r>
    </w:p>
    <w:p>
      <w:pPr>
        <w:spacing w:after="120" w:before="280"/>
      </w:pPr>
      <w:r>
        <w:rPr>
          <w:rFonts w:ascii="Calibri" w:cs="Calibri" w:eastAsia="Calibri" w:hAnsi="Calibri"/>
          <w:b/>
          <w:bCs/>
          <w:color w:val="6366F1"/>
          <w:sz w:val="26"/>
          <w:szCs w:val="26"/>
        </w:rPr>
        <w:t xml:space="preserve">2.7  Registro de Consultas</w:t>
      </w:r>
    </w:p>
    <w:p>
      <w:pPr>
        <w:spacing w:after="80" w:before="80"/>
        <w:jc w:val="both"/>
      </w:pPr>
      <w:r>
        <w:rPr>
          <w:rFonts w:ascii="Calibri" w:cs="Calibri" w:eastAsia="Calibri" w:hAnsi="Calibri"/>
          <w:b w:val="false"/>
          <w:bCs w:val="false"/>
          <w:i w:val="false"/>
          <w:iCs w:val="false"/>
          <w:color w:val="1E293B"/>
          <w:sz w:val="22"/>
          <w:szCs w:val="22"/>
        </w:rPr>
        <w:t xml:space="preserve">Módulo para documentar las consultas médicas del paciente.</w:t>
      </w:r>
    </w:p>
    <w:p>
      <w:r>
        <w:t xml:space="preserve"> </w:t>
      </w:r>
    </w:p>
    <w:p>
      <w:pPr>
        <w:pStyle w:val="ListParagraph"/>
        <w:numPr>
          <w:ilvl w:val="0"/>
          <w:numId w:val="1"/>
        </w:numPr>
        <w:spacing w:after="60" w:before="60"/>
      </w:pPr>
      <w:r>
        <w:rPr>
          <w:rFonts w:ascii="Calibri" w:cs="Calibri" w:eastAsia="Calibri" w:hAnsi="Calibri"/>
          <w:b w:val="false"/>
          <w:bCs w:val="false"/>
          <w:color w:val="1E293B"/>
          <w:sz w:val="21"/>
          <w:szCs w:val="21"/>
        </w:rPr>
        <w:t xml:space="preserve">Registro de fecha, motivo de consulta, hallazgos físicos y plan de manejo.</w:t>
      </w:r>
    </w:p>
    <w:p>
      <w:pPr>
        <w:pStyle w:val="ListParagraph"/>
        <w:numPr>
          <w:ilvl w:val="0"/>
          <w:numId w:val="1"/>
        </w:numPr>
        <w:spacing w:after="60" w:before="60"/>
      </w:pPr>
      <w:r>
        <w:rPr>
          <w:rFonts w:ascii="Calibri" w:cs="Calibri" w:eastAsia="Calibri" w:hAnsi="Calibri"/>
          <w:b w:val="false"/>
          <w:bCs w:val="false"/>
          <w:color w:val="1E293B"/>
          <w:sz w:val="21"/>
          <w:szCs w:val="21"/>
        </w:rPr>
        <w:t xml:space="preserve">Modal de impresión para generar notas de consulta en formato estándar.</w:t>
      </w:r>
    </w:p>
    <w:p>
      <w:pPr>
        <w:pStyle w:val="ListParagraph"/>
        <w:numPr>
          <w:ilvl w:val="0"/>
          <w:numId w:val="1"/>
        </w:numPr>
        <w:spacing w:after="60" w:before="60"/>
      </w:pPr>
      <w:r>
        <w:rPr>
          <w:rFonts w:ascii="Calibri" w:cs="Calibri" w:eastAsia="Calibri" w:hAnsi="Calibri"/>
          <w:b w:val="false"/>
          <w:bCs w:val="false"/>
          <w:color w:val="1E293B"/>
          <w:sz w:val="21"/>
          <w:szCs w:val="21"/>
        </w:rPr>
        <w:t xml:space="preserve">Historial de consultas ordenado cronológicamente por paciente.</w:t>
      </w:r>
    </w:p>
    <w:p>
      <w:r>
        <w:t xml:space="preserve"> </w:t>
      </w:r>
    </w:p>
    <w:p>
      <w:pPr>
        <w:spacing w:after="80" w:before="80"/>
        <w:jc w:val="both"/>
      </w:pPr>
      <w:r>
        <w:rPr>
          <w:rFonts w:ascii="Calibri" w:cs="Calibri" w:eastAsia="Calibri" w:hAnsi="Calibri"/>
          <w:b/>
          <w:bCs/>
          <w:i w:val="false"/>
          <w:iCs w:val="false"/>
          <w:color w:val="16A34A"/>
          <w:sz w:val="22"/>
          <w:szCs w:val="22"/>
        </w:rPr>
        <w:t xml:space="preserve">Ventaja clave: integra la nota de consulta con el análisis MCG y el historial clínico, dando contexto completo al médico en cada visita.</w:t>
      </w:r>
    </w:p>
    <w:p>
      <w:r>
        <w:t xml:space="preserve">  </w:t>
      </w:r>
    </w:p>
    <w:p>
      <w:pPr>
        <w:spacing w:after="120" w:before="280"/>
      </w:pPr>
      <w:r>
        <w:rPr>
          <w:rFonts w:ascii="Calibri" w:cs="Calibri" w:eastAsia="Calibri" w:hAnsi="Calibri"/>
          <w:b/>
          <w:bCs/>
          <w:color w:val="6366F1"/>
          <w:sz w:val="26"/>
          <w:szCs w:val="26"/>
        </w:rPr>
        <w:t xml:space="preserve">2.8  Mapa Epidemiológico de Pacientes</w:t>
      </w:r>
    </w:p>
    <w:p>
      <w:pPr>
        <w:spacing w:after="80" w:before="80"/>
        <w:jc w:val="both"/>
      </w:pPr>
      <w:r>
        <w:rPr>
          <w:rFonts w:ascii="Calibri" w:cs="Calibri" w:eastAsia="Calibri" w:hAnsi="Calibri"/>
          <w:b w:val="false"/>
          <w:bCs w:val="false"/>
          <w:i w:val="false"/>
          <w:iCs w:val="false"/>
          <w:color w:val="1E293B"/>
          <w:sz w:val="22"/>
          <w:szCs w:val="22"/>
        </w:rPr>
        <w:t xml:space="preserve">Visualización geográfica de todos los pacientes activos sobre el mapa de Honduras.</w:t>
      </w:r>
    </w:p>
    <w:p>
      <w:r>
        <w:t xml:space="preserve"> </w:t>
      </w:r>
    </w:p>
    <w:p>
      <w:pPr>
        <w:pStyle w:val="ListParagraph"/>
        <w:numPr>
          <w:ilvl w:val="0"/>
          <w:numId w:val="1"/>
        </w:numPr>
        <w:spacing w:after="60" w:before="60"/>
      </w:pPr>
      <w:r>
        <w:rPr>
          <w:rFonts w:ascii="Calibri" w:cs="Calibri" w:eastAsia="Calibri" w:hAnsi="Calibri"/>
          <w:b w:val="false"/>
          <w:bCs w:val="false"/>
          <w:color w:val="1E293B"/>
          <w:sz w:val="21"/>
          <w:szCs w:val="21"/>
        </w:rPr>
        <w:t xml:space="preserve">Marcadores con color según clasificación ISPAD: verde (Óptimo), naranja (Moderado), rojo (Alto Riesgo), morado (Sin análisis).</w:t>
      </w:r>
    </w:p>
    <w:p>
      <w:pPr>
        <w:pStyle w:val="ListParagraph"/>
        <w:numPr>
          <w:ilvl w:val="0"/>
          <w:numId w:val="1"/>
        </w:numPr>
        <w:spacing w:after="60" w:before="60"/>
      </w:pPr>
      <w:r>
        <w:rPr>
          <w:rFonts w:ascii="Calibri" w:cs="Calibri" w:eastAsia="Calibri" w:hAnsi="Calibri"/>
          <w:b w:val="false"/>
          <w:bCs w:val="false"/>
          <w:color w:val="1E293B"/>
          <w:sz w:val="21"/>
          <w:szCs w:val="21"/>
        </w:rPr>
        <w:t xml:space="preserve">Marcadores de Alto Riesgo con animación pulsante para visibilidad inmediata.</w:t>
      </w:r>
    </w:p>
    <w:p>
      <w:pPr>
        <w:pStyle w:val="ListParagraph"/>
        <w:numPr>
          <w:ilvl w:val="0"/>
          <w:numId w:val="1"/>
        </w:numPr>
        <w:spacing w:after="60" w:before="60"/>
      </w:pPr>
      <w:r>
        <w:rPr>
          <w:rFonts w:ascii="Calibri" w:cs="Calibri" w:eastAsia="Calibri" w:hAnsi="Calibri"/>
          <w:b w:val="false"/>
          <w:bCs w:val="false"/>
          <w:color w:val="1E293B"/>
          <w:sz w:val="21"/>
          <w:szCs w:val="21"/>
        </w:rPr>
        <w:t xml:space="preserve">Popup informativo por paciente: nombre, municipio, departamento, clasificación, institución y enlace a su expediente.</w:t>
      </w:r>
    </w:p>
    <w:p>
      <w:pPr>
        <w:pStyle w:val="ListParagraph"/>
        <w:numPr>
          <w:ilvl w:val="0"/>
          <w:numId w:val="1"/>
        </w:numPr>
        <w:spacing w:after="60" w:before="60"/>
      </w:pPr>
      <w:r>
        <w:rPr>
          <w:rFonts w:ascii="Calibri" w:cs="Calibri" w:eastAsia="Calibri" w:hAnsi="Calibri"/>
          <w:b w:val="false"/>
          <w:bCs w:val="false"/>
          <w:color w:val="1E293B"/>
          <w:sz w:val="21"/>
          <w:szCs w:val="21"/>
        </w:rPr>
        <w:t xml:space="preserve">Filtros por clasificación y búsqueda por nombre.</w:t>
      </w:r>
    </w:p>
    <w:p>
      <w:pPr>
        <w:pStyle w:val="ListParagraph"/>
        <w:numPr>
          <w:ilvl w:val="0"/>
          <w:numId w:val="1"/>
        </w:numPr>
        <w:spacing w:after="60" w:before="60"/>
      </w:pPr>
      <w:r>
        <w:rPr>
          <w:rFonts w:ascii="Calibri" w:cs="Calibri" w:eastAsia="Calibri" w:hAnsi="Calibri"/>
          <w:b w:val="false"/>
          <w:bCs w:val="false"/>
          <w:color w:val="1E293B"/>
          <w:sz w:val="21"/>
          <w:szCs w:val="21"/>
        </w:rPr>
        <w:t xml:space="preserve">Botón de centrado en Honduras con un clic.</w:t>
      </w:r>
    </w:p>
    <w:p>
      <w:r>
        <w:t xml:space="preserve"> </w:t>
      </w:r>
    </w:p>
    <w:p>
      <w:pPr>
        <w:spacing w:after="80" w:before="80"/>
        <w:jc w:val="both"/>
      </w:pPr>
      <w:r>
        <w:rPr>
          <w:rFonts w:ascii="Calibri" w:cs="Calibri" w:eastAsia="Calibri" w:hAnsi="Calibri"/>
          <w:b/>
          <w:bCs/>
          <w:i w:val="false"/>
          <w:iCs w:val="false"/>
          <w:color w:val="16A34A"/>
          <w:sz w:val="22"/>
          <w:szCs w:val="22"/>
        </w:rPr>
        <w:t xml:space="preserve">Ventaja clave: herramienta única para investigación epidemiológica. Permite identificar zonas geográficas con alta concentración de pacientes en riesgo para orientar intervenciones.</w:t>
      </w:r>
    </w:p>
    <w:p>
      <w:r>
        <w:t xml:space="preserve">  </w:t>
      </w:r>
    </w:p>
    <w:p>
      <w:pPr>
        <w:spacing w:after="120" w:before="280"/>
      </w:pPr>
      <w:r>
        <w:rPr>
          <w:rFonts w:ascii="Calibri" w:cs="Calibri" w:eastAsia="Calibri" w:hAnsi="Calibri"/>
          <w:b/>
          <w:bCs/>
          <w:color w:val="6366F1"/>
          <w:sz w:val="26"/>
          <w:szCs w:val="26"/>
        </w:rPr>
        <w:t xml:space="preserve">2.9  Mensajería WhatsApp Automatizada</w:t>
      </w:r>
    </w:p>
    <w:p>
      <w:pPr>
        <w:spacing w:after="80" w:before="80"/>
        <w:jc w:val="both"/>
      </w:pPr>
      <w:r>
        <w:rPr>
          <w:rFonts w:ascii="Calibri" w:cs="Calibri" w:eastAsia="Calibri" w:hAnsi="Calibri"/>
          <w:b w:val="false"/>
          <w:bCs w:val="false"/>
          <w:i w:val="false"/>
          <w:iCs w:val="false"/>
          <w:color w:val="1E293B"/>
          <w:sz w:val="22"/>
          <w:szCs w:val="22"/>
        </w:rPr>
        <w:t xml:space="preserve">Comunicación directa con pacientes o tutores a través de WhatsApp, personalizada por clasificación clínica.</w:t>
      </w:r>
    </w:p>
    <w:p>
      <w:r>
        <w:t xml:space="preserve"> </w:t>
      </w:r>
    </w:p>
    <w:p>
      <w:pPr>
        <w:pStyle w:val="ListParagraph"/>
        <w:numPr>
          <w:ilvl w:val="0"/>
          <w:numId w:val="1"/>
        </w:numPr>
        <w:spacing w:after="60" w:before="60"/>
      </w:pPr>
      <w:r>
        <w:rPr>
          <w:rFonts w:ascii="Calibri" w:cs="Calibri" w:eastAsia="Calibri" w:hAnsi="Calibri"/>
          <w:b w:val="false"/>
          <w:bCs w:val="false"/>
          <w:color w:val="1E293B"/>
          <w:sz w:val="21"/>
          <w:szCs w:val="21"/>
        </w:rPr>
        <w:t xml:space="preserve">Envío de mensajes personalizados según clasificación ISPAD: mensajes de alerta para Alto Riesgo, de seguimiento para Moderado, de felicitación para Óptimo.</w:t>
      </w:r>
    </w:p>
    <w:p>
      <w:pPr>
        <w:pStyle w:val="ListParagraph"/>
        <w:numPr>
          <w:ilvl w:val="0"/>
          <w:numId w:val="1"/>
        </w:numPr>
        <w:spacing w:after="60" w:before="60"/>
      </w:pPr>
      <w:r>
        <w:rPr>
          <w:rFonts w:ascii="Calibri" w:cs="Calibri" w:eastAsia="Calibri" w:hAnsi="Calibri"/>
          <w:b w:val="false"/>
          <w:bCs w:val="false"/>
          <w:color w:val="1E293B"/>
          <w:sz w:val="21"/>
          <w:szCs w:val="21"/>
        </w:rPr>
        <w:t xml:space="preserve">Mensaje generado automáticamente con el nombre del paciente, la institución y recomendaciones específicas.</w:t>
      </w:r>
    </w:p>
    <w:p>
      <w:pPr>
        <w:pStyle w:val="ListParagraph"/>
        <w:numPr>
          <w:ilvl w:val="0"/>
          <w:numId w:val="1"/>
        </w:numPr>
        <w:spacing w:after="60" w:before="60"/>
      </w:pPr>
      <w:r>
        <w:rPr>
          <w:rFonts w:ascii="Calibri" w:cs="Calibri" w:eastAsia="Calibri" w:hAnsi="Calibri"/>
          <w:b w:val="false"/>
          <w:bCs w:val="false"/>
          <w:color w:val="1E293B"/>
          <w:sz w:val="21"/>
          <w:szCs w:val="21"/>
        </w:rPr>
        <w:t xml:space="preserve">El médico puede editar el mensaje antes de enviarlo.</w:t>
      </w:r>
    </w:p>
    <w:p>
      <w:pPr>
        <w:pStyle w:val="ListParagraph"/>
        <w:numPr>
          <w:ilvl w:val="0"/>
          <w:numId w:val="1"/>
        </w:numPr>
        <w:spacing w:after="60" w:before="60"/>
      </w:pPr>
      <w:r>
        <w:rPr>
          <w:rFonts w:ascii="Calibri" w:cs="Calibri" w:eastAsia="Calibri" w:hAnsi="Calibri"/>
          <w:b w:val="false"/>
          <w:bCs w:val="false"/>
          <w:color w:val="1E293B"/>
          <w:sz w:val="21"/>
          <w:szCs w:val="21"/>
        </w:rPr>
        <w:t xml:space="preserve">Historial completo de mensajes enviados: fecha, estado (enviado/fallido), quién lo envió.</w:t>
      </w:r>
    </w:p>
    <w:p>
      <w:pPr>
        <w:pStyle w:val="ListParagraph"/>
        <w:numPr>
          <w:ilvl w:val="0"/>
          <w:numId w:val="1"/>
        </w:numPr>
        <w:spacing w:after="60" w:before="60"/>
      </w:pPr>
      <w:r>
        <w:rPr>
          <w:rFonts w:ascii="Calibri" w:cs="Calibri" w:eastAsia="Calibri" w:hAnsi="Calibri"/>
          <w:b w:val="false"/>
          <w:bCs w:val="false"/>
          <w:color w:val="1E293B"/>
          <w:sz w:val="21"/>
          <w:szCs w:val="21"/>
        </w:rPr>
        <w:t xml:space="preserve">Ideal para pacientes que no pueden movilizarse frecuentemente a la institución.</w:t>
      </w:r>
    </w:p>
    <w:p>
      <w:r>
        <w:t xml:space="preserve"> </w:t>
      </w:r>
    </w:p>
    <w:p>
      <w:pPr>
        <w:spacing w:after="80" w:before="80"/>
        <w:jc w:val="both"/>
      </w:pPr>
      <w:r>
        <w:rPr>
          <w:rFonts w:ascii="Calibri" w:cs="Calibri" w:eastAsia="Calibri" w:hAnsi="Calibri"/>
          <w:b/>
          <w:bCs/>
          <w:i w:val="false"/>
          <w:iCs w:val="false"/>
          <w:color w:val="16A34A"/>
          <w:sz w:val="22"/>
          <w:szCs w:val="22"/>
        </w:rPr>
        <w:t xml:space="preserve">Ventaja clave: extiende el alcance del médico más allá de la consulta presencial, mejorando adherencia al tratamiento sin aumentar la carga de trabajo.</w:t>
      </w:r>
    </w:p>
    <w:p>
      <w:r>
        <w:br w:type="page"/>
      </w:r>
    </w:p>
    <w:p>
      <w:pPr>
        <w:spacing w:after="120" w:before="280"/>
      </w:pPr>
      <w:r>
        <w:rPr>
          <w:rFonts w:ascii="Calibri" w:cs="Calibri" w:eastAsia="Calibri" w:hAnsi="Calibri"/>
          <w:b/>
          <w:bCs/>
          <w:color w:val="6366F1"/>
          <w:sz w:val="26"/>
          <w:szCs w:val="26"/>
        </w:rPr>
        <w:t xml:space="preserve">2.10  Gestión de Usuarios y Permisos</w:t>
      </w:r>
    </w:p>
    <w:p>
      <w:pPr>
        <w:spacing w:after="80" w:before="80"/>
        <w:jc w:val="both"/>
      </w:pPr>
      <w:r>
        <w:rPr>
          <w:rFonts w:ascii="Calibri" w:cs="Calibri" w:eastAsia="Calibri" w:hAnsi="Calibri"/>
          <w:b w:val="false"/>
          <w:bCs w:val="false"/>
          <w:i w:val="false"/>
          <w:iCs w:val="false"/>
          <w:color w:val="1E293B"/>
          <w:sz w:val="22"/>
          <w:szCs w:val="22"/>
        </w:rPr>
        <w:t xml:space="preserve">Control de acceso granular para equipos médicos multidisciplinarios.</w:t>
      </w:r>
    </w:p>
    <w:p>
      <w:r>
        <w:t xml:space="preserve"> </w:t>
      </w:r>
    </w:p>
    <w:p>
      <w:pPr>
        <w:pStyle w:val="ListParagraph"/>
        <w:numPr>
          <w:ilvl w:val="0"/>
          <w:numId w:val="1"/>
        </w:numPr>
        <w:spacing w:after="60" w:before="60"/>
      </w:pPr>
      <w:r>
        <w:rPr>
          <w:rFonts w:ascii="Calibri" w:cs="Calibri" w:eastAsia="Calibri" w:hAnsi="Calibri"/>
          <w:b w:val="false"/>
          <w:bCs w:val="false"/>
          <w:color w:val="1E293B"/>
          <w:sz w:val="21"/>
          <w:szCs w:val="21"/>
        </w:rPr>
        <w:t xml:space="preserve">Creación de usuarios con roles diferenciados: Administrador, Médico, Enfermería, etc.</w:t>
      </w:r>
    </w:p>
    <w:p>
      <w:pPr>
        <w:pStyle w:val="ListParagraph"/>
        <w:numPr>
          <w:ilvl w:val="0"/>
          <w:numId w:val="1"/>
        </w:numPr>
        <w:spacing w:after="60" w:before="60"/>
      </w:pPr>
      <w:r>
        <w:rPr>
          <w:rFonts w:ascii="Calibri" w:cs="Calibri" w:eastAsia="Calibri" w:hAnsi="Calibri"/>
          <w:b w:val="false"/>
          <w:bCs w:val="false"/>
          <w:color w:val="1E293B"/>
          <w:sz w:val="21"/>
          <w:szCs w:val="21"/>
        </w:rPr>
        <w:t xml:space="preserve">Control de permisos por módulo: quién puede leer, escribir o administrar cada sección.</w:t>
      </w:r>
    </w:p>
    <w:p>
      <w:pPr>
        <w:pStyle w:val="ListParagraph"/>
        <w:numPr>
          <w:ilvl w:val="0"/>
          <w:numId w:val="1"/>
        </w:numPr>
        <w:spacing w:after="60" w:before="60"/>
      </w:pPr>
      <w:r>
        <w:rPr>
          <w:rFonts w:ascii="Calibri" w:cs="Calibri" w:eastAsia="Calibri" w:hAnsi="Calibri"/>
          <w:b w:val="false"/>
          <w:bCs w:val="false"/>
          <w:color w:val="1E293B"/>
          <w:sz w:val="21"/>
          <w:szCs w:val="21"/>
        </w:rPr>
        <w:t xml:space="preserve">Autenticación segura con JWT (tokens de sesión encriptados).</w:t>
      </w:r>
    </w:p>
    <w:p>
      <w:pPr>
        <w:pStyle w:val="ListParagraph"/>
        <w:numPr>
          <w:ilvl w:val="0"/>
          <w:numId w:val="1"/>
        </w:numPr>
        <w:spacing w:after="60" w:before="60"/>
      </w:pPr>
      <w:r>
        <w:rPr>
          <w:rFonts w:ascii="Calibri" w:cs="Calibri" w:eastAsia="Calibri" w:hAnsi="Calibri"/>
          <w:b w:val="false"/>
          <w:bCs w:val="false"/>
          <w:color w:val="1E293B"/>
          <w:sz w:val="21"/>
          <w:szCs w:val="21"/>
        </w:rPr>
        <w:t xml:space="preserve">Contraseñas almacenadas con cifrado bcrypt.</w:t>
      </w:r>
    </w:p>
    <w:p>
      <w:r>
        <w:t xml:space="preserve"> </w:t>
      </w:r>
    </w:p>
    <w:p>
      <w:pPr>
        <w:spacing w:after="80" w:before="80"/>
        <w:jc w:val="both"/>
      </w:pPr>
      <w:r>
        <w:rPr>
          <w:rFonts w:ascii="Calibri" w:cs="Calibri" w:eastAsia="Calibri" w:hAnsi="Calibri"/>
          <w:b/>
          <w:bCs/>
          <w:i w:val="false"/>
          <w:iCs w:val="false"/>
          <w:color w:val="16A34A"/>
          <w:sz w:val="22"/>
          <w:szCs w:val="22"/>
        </w:rPr>
        <w:t xml:space="preserve">Ventaja clave: cumple con los requisitos de confidencialidad de datos médicos al garantizar que cada usuario accede únicamente a lo que le corresponde.</w:t>
      </w:r>
    </w:p>
    <w:p>
      <w:r>
        <w:t xml:space="preserve">  </w:t>
      </w:r>
    </w:p>
    <w:p>
      <w:pPr>
        <w:spacing w:after="120" w:before="280"/>
      </w:pPr>
      <w:r>
        <w:rPr>
          <w:rFonts w:ascii="Calibri" w:cs="Calibri" w:eastAsia="Calibri" w:hAnsi="Calibri"/>
          <w:b/>
          <w:bCs/>
          <w:color w:val="6366F1"/>
          <w:sz w:val="26"/>
          <w:szCs w:val="26"/>
        </w:rPr>
        <w:t xml:space="preserve">2.11  Bitácora de Auditoría</w:t>
      </w:r>
    </w:p>
    <w:p>
      <w:pPr>
        <w:spacing w:after="80" w:before="80"/>
        <w:jc w:val="both"/>
      </w:pPr>
      <w:r>
        <w:rPr>
          <w:rFonts w:ascii="Calibri" w:cs="Calibri" w:eastAsia="Calibri" w:hAnsi="Calibri"/>
          <w:b w:val="false"/>
          <w:bCs w:val="false"/>
          <w:i w:val="false"/>
          <w:iCs w:val="false"/>
          <w:color w:val="1E293B"/>
          <w:sz w:val="22"/>
          <w:szCs w:val="22"/>
        </w:rPr>
        <w:t xml:space="preserve">Registro automático de todas las acciones realizadas en el sistema.</w:t>
      </w:r>
    </w:p>
    <w:p>
      <w:r>
        <w:t xml:space="preserve"> </w:t>
      </w:r>
    </w:p>
    <w:p>
      <w:pPr>
        <w:pStyle w:val="ListParagraph"/>
        <w:numPr>
          <w:ilvl w:val="0"/>
          <w:numId w:val="1"/>
        </w:numPr>
        <w:spacing w:after="60" w:before="60"/>
      </w:pPr>
      <w:r>
        <w:rPr>
          <w:rFonts w:ascii="Calibri" w:cs="Calibri" w:eastAsia="Calibri" w:hAnsi="Calibri"/>
          <w:b w:val="false"/>
          <w:bCs w:val="false"/>
          <w:color w:val="1E293B"/>
          <w:sz w:val="21"/>
          <w:szCs w:val="21"/>
        </w:rPr>
        <w:t xml:space="preserve">Registro de quién hizo qué y cuándo: creación, edición y eliminación de registros.</w:t>
      </w:r>
    </w:p>
    <w:p>
      <w:pPr>
        <w:pStyle w:val="ListParagraph"/>
        <w:numPr>
          <w:ilvl w:val="0"/>
          <w:numId w:val="1"/>
        </w:numPr>
        <w:spacing w:after="60" w:before="60"/>
      </w:pPr>
      <w:r>
        <w:rPr>
          <w:rFonts w:ascii="Calibri" w:cs="Calibri" w:eastAsia="Calibri" w:hAnsi="Calibri"/>
          <w:b w:val="false"/>
          <w:bCs w:val="false"/>
          <w:color w:val="1E293B"/>
          <w:sz w:val="21"/>
          <w:szCs w:val="21"/>
        </w:rPr>
        <w:t xml:space="preserve">Trazabilidad completa del expediente del paciente.</w:t>
      </w:r>
    </w:p>
    <w:p>
      <w:pPr>
        <w:pStyle w:val="ListParagraph"/>
        <w:numPr>
          <w:ilvl w:val="0"/>
          <w:numId w:val="1"/>
        </w:numPr>
        <w:spacing w:after="60" w:before="60"/>
      </w:pPr>
      <w:r>
        <w:rPr>
          <w:rFonts w:ascii="Calibri" w:cs="Calibri" w:eastAsia="Calibri" w:hAnsi="Calibri"/>
          <w:b w:val="false"/>
          <w:bCs w:val="false"/>
          <w:color w:val="1E293B"/>
          <w:sz w:val="21"/>
          <w:szCs w:val="21"/>
        </w:rPr>
        <w:t xml:space="preserve">Requisito fundamental para sistemas de información en salud.</w:t>
      </w:r>
    </w:p>
    <w:p>
      <w:r>
        <w:t xml:space="preserve"> </w:t>
      </w:r>
    </w:p>
    <w:p>
      <w:pPr>
        <w:spacing w:after="80" w:before="80"/>
        <w:jc w:val="both"/>
      </w:pPr>
      <w:r>
        <w:rPr>
          <w:rFonts w:ascii="Calibri" w:cs="Calibri" w:eastAsia="Calibri" w:hAnsi="Calibri"/>
          <w:b/>
          <w:bCs/>
          <w:i w:val="false"/>
          <w:iCs w:val="false"/>
          <w:color w:val="16A34A"/>
          <w:sz w:val="22"/>
          <w:szCs w:val="22"/>
        </w:rPr>
        <w:t xml:space="preserve">Ventaja clave: ofrece respaldo legal y cumplimiento normativo en el manejo de información clínica sensible.</w:t>
      </w:r>
    </w:p>
    <w:p>
      <w:r>
        <w:br w:type="page"/>
      </w:r>
    </w:p>
    <w:p>
      <w:pPr>
        <w:pStyle w:val="Heading1"/>
        <w:spacing w:after="160" w:before="360"/>
      </w:pPr>
      <w:r>
        <w:rPr>
          <w:rFonts w:ascii="Calibri" w:cs="Calibri" w:eastAsia="Calibri" w:hAnsi="Calibri"/>
          <w:b/>
          <w:bCs/>
          <w:color w:val="6366F1"/>
          <w:sz w:val="32"/>
          <w:szCs w:val="32"/>
        </w:rPr>
        <w:t xml:space="preserve">3. Planes y Precios</w:t>
      </w:r>
    </w:p>
    <w:p>
      <w:pPr>
        <w:pBdr>
          <w:bottom w:color="6366F1" w:sz="6" w:space="1"/>
        </w:pBdr>
        <w:spacing w:after="200" w:before="200"/>
      </w:pPr>
    </w:p>
    <w:p>
      <w:pPr>
        <w:spacing w:after="80" w:before="80"/>
        <w:jc w:val="both"/>
      </w:pPr>
      <w:r>
        <w:rPr>
          <w:rFonts w:ascii="Calibri" w:cs="Calibri" w:eastAsia="Calibri" w:hAnsi="Calibri"/>
          <w:b w:val="false"/>
          <w:bCs w:val="false"/>
          <w:i w:val="false"/>
          <w:iCs w:val="false"/>
          <w:color w:val="1E293B"/>
          <w:sz w:val="22"/>
          <w:szCs w:val="22"/>
        </w:rPr>
        <w:t xml:space="preserve">Evolución Metabólica se ofrece bajo modelo de suscripción mensual (SaaS), lo que incluye alojamiento en la nube, copias de seguridad automáticas, actualizaciones del sistema y soporte técnico. No se requiere inversión en servidores ni en infraestructura local.</w:t>
      </w:r>
    </w:p>
    <w:p>
      <w:r>
        <w:t xml:space="preserve"> </w:t>
      </w:r>
    </w:p>
    <w:p>
      <w:pPr>
        <w:spacing w:after="120" w:before="280"/>
      </w:pPr>
      <w:r>
        <w:rPr>
          <w:rFonts w:ascii="Calibri" w:cs="Calibri" w:eastAsia="Calibri" w:hAnsi="Calibri"/>
          <w:b/>
          <w:bCs/>
          <w:color w:val="6366F1"/>
          <w:sz w:val="26"/>
          <w:szCs w:val="26"/>
        </w:rPr>
        <w:t xml:space="preserve">3.1  Tabla Comparativa de Planes</w:t>
      </w:r>
    </w:p>
    <w:p>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6366F1" w:color="6366F1" w:val="clear"/>
            <w:tcMar>
              <w:top w:type="dxa" w:w="100"/>
              <w:left w:type="dxa" w:w="120"/>
              <w:bottom w:type="dxa" w:w="100"/>
              <w:right w:type="dxa" w:w="120"/>
            </w:tcMar>
            <w:vAlign w:val="center"/>
          </w:tcPr>
          <w:p>
            <w:pPr>
              <w:jc w:val="center"/>
            </w:pPr>
            <w:r>
              <w:rPr>
                <w:rFonts w:ascii="Calibri" w:cs="Calibri" w:eastAsia="Calibri" w:hAnsi="Calibri"/>
                <w:b/>
                <w:bCs/>
                <w:color w:val="FFFFFF"/>
                <w:sz w:val="20"/>
                <w:szCs w:val="20"/>
              </w:rPr>
              <w:t xml:space="preserve">Característica</w:t>
            </w:r>
          </w:p>
        </w:tc>
        <w:tc>
          <w:tcPr>
            <w:shd w:fill="1E40AF" w:color="1E40AF" w:val="clear"/>
            <w:tcMar>
              <w:top w:type="dxa" w:w="100"/>
              <w:left w:type="dxa" w:w="120"/>
              <w:bottom w:type="dxa" w:w="100"/>
              <w:right w:type="dxa" w:w="120"/>
            </w:tcMar>
            <w:vAlign w:val="center"/>
          </w:tcPr>
          <w:p>
            <w:pPr>
              <w:jc w:val="center"/>
            </w:pPr>
            <w:r>
              <w:rPr>
                <w:rFonts w:ascii="Calibri" w:cs="Calibri" w:eastAsia="Calibri" w:hAnsi="Calibri"/>
                <w:b/>
                <w:bCs/>
                <w:color w:val="FFFFFF"/>
                <w:sz w:val="20"/>
                <w:szCs w:val="20"/>
              </w:rPr>
              <w:t xml:space="preserve">Plan Básico</w:t>
            </w:r>
          </w:p>
        </w:tc>
        <w:tc>
          <w:tcPr>
            <w:shd w:fill="16A34A" w:color="16A34A" w:val="clear"/>
            <w:tcMar>
              <w:top w:type="dxa" w:w="100"/>
              <w:left w:type="dxa" w:w="120"/>
              <w:bottom w:type="dxa" w:w="100"/>
              <w:right w:type="dxa" w:w="120"/>
            </w:tcMar>
            <w:vAlign w:val="center"/>
          </w:tcPr>
          <w:p>
            <w:pPr>
              <w:jc w:val="center"/>
            </w:pPr>
            <w:r>
              <w:rPr>
                <w:rFonts w:ascii="Calibri" w:cs="Calibri" w:eastAsia="Calibri" w:hAnsi="Calibri"/>
                <w:b/>
                <w:bCs/>
                <w:color w:val="FFFFFF"/>
                <w:sz w:val="20"/>
                <w:szCs w:val="20"/>
              </w:rPr>
              <w:t xml:space="preserve">Plan Profesional</w:t>
            </w:r>
          </w:p>
        </w:tc>
        <w:tc>
          <w:tcPr>
            <w:shd w:fill="B45309" w:color="B45309" w:val="clear"/>
            <w:tcMar>
              <w:top w:type="dxa" w:w="100"/>
              <w:left w:type="dxa" w:w="120"/>
              <w:bottom w:type="dxa" w:w="100"/>
              <w:right w:type="dxa" w:w="120"/>
            </w:tcMar>
            <w:vAlign w:val="center"/>
          </w:tcPr>
          <w:p>
            <w:pPr>
              <w:jc w:val="center"/>
            </w:pPr>
            <w:r>
              <w:rPr>
                <w:rFonts w:ascii="Calibri" w:cs="Calibri" w:eastAsia="Calibri" w:hAnsi="Calibri"/>
                <w:b/>
                <w:bCs/>
                <w:color w:val="FFFFFF"/>
                <w:sz w:val="20"/>
                <w:szCs w:val="20"/>
              </w:rPr>
              <w:t xml:space="preserve">Plan Institucional</w:t>
            </w:r>
          </w:p>
        </w:tc>
        <w:tc>
          <w:tcPr>
            <w:shd w:fill="7C3AED" w:color="7C3AED" w:val="clear"/>
            <w:tcMar>
              <w:top w:type="dxa" w:w="100"/>
              <w:left w:type="dxa" w:w="120"/>
              <w:bottom w:type="dxa" w:w="100"/>
              <w:right w:type="dxa" w:w="120"/>
            </w:tcMar>
            <w:vAlign w:val="center"/>
          </w:tcPr>
          <w:p>
            <w:pPr>
              <w:jc w:val="center"/>
            </w:pPr>
            <w:r>
              <w:rPr>
                <w:rFonts w:ascii="Calibri" w:cs="Calibri" w:eastAsia="Calibri" w:hAnsi="Calibri"/>
                <w:b/>
                <w:bCs/>
                <w:color w:val="FFFFFF"/>
                <w:sz w:val="20"/>
                <w:szCs w:val="20"/>
              </w:rPr>
              <w:t xml:space="preserve">Plan Asociación</w:t>
            </w:r>
          </w:p>
        </w:tc>
      </w:tr>
      <w:tr>
        <w:tc>
          <w:tcPr>
            <w:shd w:fill="F8FAFC" w:color="F8FAFC" w:val="clear"/>
            <w:tcMar>
              <w:top w:type="dxa" w:w="80"/>
              <w:left w:type="dxa" w:w="120"/>
              <w:bottom w:type="dxa" w:w="80"/>
              <w:right w:type="dxa" w:w="120"/>
            </w:tcMar>
            <w:vAlign w:val="center"/>
          </w:tcPr>
          <w:p>
            <w:pPr>
              <w:jc w:val="left"/>
            </w:pPr>
            <w:r>
              <w:rPr>
                <w:rFonts w:ascii="Calibri" w:cs="Calibri" w:eastAsia="Calibri" w:hAnsi="Calibri"/>
                <w:b/>
                <w:bCs/>
                <w:color w:val="1E293B"/>
                <w:sz w:val="20"/>
                <w:szCs w:val="20"/>
              </w:rPr>
              <w:t xml:space="preserve">Precio mensual (USD)</w:t>
            </w:r>
          </w:p>
        </w:tc>
        <w:tc>
          <w:tcPr>
            <w:shd w:fill="EFF6FF" w:color="EFF6FF" w:val="clear"/>
            <w:tcMar>
              <w:top w:type="dxa" w:w="80"/>
              <w:left w:type="dxa" w:w="120"/>
              <w:bottom w:type="dxa" w:w="80"/>
              <w:right w:type="dxa" w:w="120"/>
            </w:tcMar>
            <w:vAlign w:val="center"/>
          </w:tcPr>
          <w:p>
            <w:pPr>
              <w:jc w:val="center"/>
            </w:pPr>
            <w:r>
              <w:rPr>
                <w:rFonts w:ascii="Calibri" w:cs="Calibri" w:eastAsia="Calibri" w:hAnsi="Calibri"/>
                <w:b/>
                <w:bCs/>
                <w:color w:val="1E40AF"/>
                <w:sz w:val="20"/>
                <w:szCs w:val="20"/>
              </w:rPr>
              <w:t xml:space="preserve">$80 – $120</w:t>
            </w:r>
          </w:p>
        </w:tc>
        <w:tc>
          <w:tcPr>
            <w:shd w:fill="F0FDF4" w:color="F0FDF4" w:val="clear"/>
            <w:tcMar>
              <w:top w:type="dxa" w:w="80"/>
              <w:left w:type="dxa" w:w="120"/>
              <w:bottom w:type="dxa" w:w="80"/>
              <w:right w:type="dxa" w:w="120"/>
            </w:tcMar>
            <w:vAlign w:val="center"/>
          </w:tcPr>
          <w:p>
            <w:pPr>
              <w:jc w:val="center"/>
            </w:pPr>
            <w:r>
              <w:rPr>
                <w:rFonts w:ascii="Calibri" w:cs="Calibri" w:eastAsia="Calibri" w:hAnsi="Calibri"/>
                <w:b/>
                <w:bCs/>
                <w:color w:val="16A34A"/>
                <w:sz w:val="20"/>
                <w:szCs w:val="20"/>
              </w:rPr>
              <w:t xml:space="preserve">$200 – $350</w:t>
            </w:r>
          </w:p>
        </w:tc>
        <w:tc>
          <w:tcPr>
            <w:shd w:fill="FFFBEB" w:color="FFFBEB" w:val="clear"/>
            <w:tcMar>
              <w:top w:type="dxa" w:w="80"/>
              <w:left w:type="dxa" w:w="120"/>
              <w:bottom w:type="dxa" w:w="80"/>
              <w:right w:type="dxa" w:w="120"/>
            </w:tcMar>
            <w:vAlign w:val="center"/>
          </w:tcPr>
          <w:p>
            <w:pPr>
              <w:jc w:val="center"/>
            </w:pPr>
            <w:r>
              <w:rPr>
                <w:rFonts w:ascii="Calibri" w:cs="Calibri" w:eastAsia="Calibri" w:hAnsi="Calibri"/>
                <w:b/>
                <w:bCs/>
                <w:color w:val="B45309"/>
                <w:sz w:val="20"/>
                <w:szCs w:val="20"/>
              </w:rPr>
              <w:t xml:space="preserve">$500 – $800</w:t>
            </w:r>
          </w:p>
        </w:tc>
        <w:tc>
          <w:tcPr>
            <w:shd w:fill="F5F3FF" w:color="F5F3FF" w:val="clear"/>
            <w:tcMar>
              <w:top w:type="dxa" w:w="80"/>
              <w:left w:type="dxa" w:w="120"/>
              <w:bottom w:type="dxa" w:w="80"/>
              <w:right w:type="dxa" w:w="120"/>
            </w:tcMar>
            <w:vAlign w:val="center"/>
          </w:tcPr>
          <w:p>
            <w:pPr>
              <w:jc w:val="center"/>
            </w:pPr>
            <w:r>
              <w:rPr>
                <w:rFonts w:ascii="Calibri" w:cs="Calibri" w:eastAsia="Calibri" w:hAnsi="Calibri"/>
                <w:b/>
                <w:bCs/>
                <w:color w:val="7C3AED"/>
                <w:sz w:val="20"/>
                <w:szCs w:val="20"/>
              </w:rPr>
              <w:t xml:space="preserve">$900 – $1,500</w:t>
            </w:r>
          </w:p>
        </w:tc>
      </w:tr>
      <w:tr>
        <w:tc>
          <w:tcPr>
            <w:shd w:fill="F8FAFC" w:color="F8FAFC" w:val="clear"/>
            <w:tcMar>
              <w:top w:type="dxa" w:w="80"/>
              <w:left w:type="dxa" w:w="120"/>
              <w:bottom w:type="dxa" w:w="80"/>
              <w:right w:type="dxa" w:w="120"/>
            </w:tcMar>
            <w:vAlign w:val="center"/>
          </w:tcPr>
          <w:p>
            <w:pPr>
              <w:jc w:val="left"/>
            </w:pPr>
            <w:r>
              <w:rPr>
                <w:rFonts w:ascii="Calibri" w:cs="Calibri" w:eastAsia="Calibri" w:hAnsi="Calibri"/>
                <w:b/>
                <w:bCs/>
                <w:color w:val="1E293B"/>
                <w:sz w:val="20"/>
                <w:szCs w:val="20"/>
              </w:rPr>
              <w:t xml:space="preserve">Usuarios incluidos</w:t>
            </w:r>
          </w:p>
        </w:tc>
        <w:tc>
          <w:tcPr>
            <w:shd w:fill="FFFFFF" w:color="FFFFFF" w:val="clear"/>
            <w:tcMar>
              <w:top w:type="dxa" w:w="80"/>
              <w:left w:type="dxa" w:w="120"/>
              <w:bottom w:type="dxa" w:w="80"/>
              <w:right w:type="dxa" w:w="120"/>
            </w:tcMar>
            <w:vAlign w:val="center"/>
          </w:tcPr>
          <w:p>
            <w:pPr>
              <w:jc w:val="center"/>
            </w:pPr>
            <w:r>
              <w:rPr>
                <w:rFonts w:ascii="Calibri" w:cs="Calibri" w:eastAsia="Calibri" w:hAnsi="Calibri"/>
                <w:b w:val="false"/>
                <w:bCs w:val="false"/>
                <w:color w:val="1E293B"/>
                <w:sz w:val="20"/>
                <w:szCs w:val="20"/>
              </w:rPr>
              <w:t xml:space="preserve">1 – 3</w:t>
            </w:r>
          </w:p>
        </w:tc>
        <w:tc>
          <w:tcPr>
            <w:shd w:fill="FFFFFF" w:color="FFFFFF" w:val="clear"/>
            <w:tcMar>
              <w:top w:type="dxa" w:w="80"/>
              <w:left w:type="dxa" w:w="120"/>
              <w:bottom w:type="dxa" w:w="80"/>
              <w:right w:type="dxa" w:w="120"/>
            </w:tcMar>
            <w:vAlign w:val="center"/>
          </w:tcPr>
          <w:p>
            <w:pPr>
              <w:jc w:val="center"/>
            </w:pPr>
            <w:r>
              <w:rPr>
                <w:rFonts w:ascii="Calibri" w:cs="Calibri" w:eastAsia="Calibri" w:hAnsi="Calibri"/>
                <w:b w:val="false"/>
                <w:bCs w:val="false"/>
                <w:color w:val="1E293B"/>
                <w:sz w:val="20"/>
                <w:szCs w:val="20"/>
              </w:rPr>
              <w:t xml:space="preserve">4 – 10</w:t>
            </w:r>
          </w:p>
        </w:tc>
        <w:tc>
          <w:tcPr>
            <w:shd w:fill="FFFFFF" w:color="FFFFFF" w:val="clear"/>
            <w:tcMar>
              <w:top w:type="dxa" w:w="80"/>
              <w:left w:type="dxa" w:w="120"/>
              <w:bottom w:type="dxa" w:w="80"/>
              <w:right w:type="dxa" w:w="120"/>
            </w:tcMar>
            <w:vAlign w:val="center"/>
          </w:tcPr>
          <w:p>
            <w:pPr>
              <w:jc w:val="center"/>
            </w:pPr>
            <w:r>
              <w:rPr>
                <w:rFonts w:ascii="Calibri" w:cs="Calibri" w:eastAsia="Calibri" w:hAnsi="Calibri"/>
                <w:b w:val="false"/>
                <w:bCs w:val="false"/>
                <w:color w:val="1E293B"/>
                <w:sz w:val="20"/>
                <w:szCs w:val="20"/>
              </w:rPr>
              <w:t xml:space="preserve">11 – 30</w:t>
            </w:r>
          </w:p>
        </w:tc>
        <w:tc>
          <w:tcPr>
            <w:shd w:fill="FFFFFF" w:color="FFFFFF" w:val="clear"/>
            <w:tcMar>
              <w:top w:type="dxa" w:w="80"/>
              <w:left w:type="dxa" w:w="120"/>
              <w:bottom w:type="dxa" w:w="80"/>
              <w:right w:type="dxa" w:w="120"/>
            </w:tcMar>
            <w:vAlign w:val="center"/>
          </w:tcPr>
          <w:p>
            <w:pPr>
              <w:jc w:val="center"/>
            </w:pPr>
            <w:r>
              <w:rPr>
                <w:rFonts w:ascii="Calibri" w:cs="Calibri" w:eastAsia="Calibri" w:hAnsi="Calibri"/>
                <w:b w:val="false"/>
                <w:bCs w:val="false"/>
                <w:color w:val="1E293B"/>
                <w:sz w:val="20"/>
                <w:szCs w:val="20"/>
              </w:rPr>
              <w:t xml:space="preserve">Usuarios ilimitados</w:t>
            </w:r>
          </w:p>
        </w:tc>
      </w:tr>
      <w:tr>
        <w:tc>
          <w:tcPr>
            <w:shd w:fill="F8FAFC" w:color="F8FAFC" w:val="clear"/>
            <w:tcMar>
              <w:top w:type="dxa" w:w="80"/>
              <w:left w:type="dxa" w:w="120"/>
              <w:bottom w:type="dxa" w:w="80"/>
              <w:right w:type="dxa" w:w="120"/>
            </w:tcMar>
            <w:vAlign w:val="center"/>
          </w:tcPr>
          <w:p>
            <w:pPr>
              <w:jc w:val="left"/>
            </w:pPr>
            <w:r>
              <w:rPr>
                <w:rFonts w:ascii="Calibri" w:cs="Calibri" w:eastAsia="Calibri" w:hAnsi="Calibri"/>
                <w:b/>
                <w:bCs/>
                <w:color w:val="1E293B"/>
                <w:sz w:val="20"/>
                <w:szCs w:val="20"/>
              </w:rPr>
              <w:t xml:space="preserve">Instituciones</w:t>
            </w:r>
          </w:p>
        </w:tc>
        <w:tc>
          <w:tcPr>
            <w:shd w:fill="FFFFFF" w:color="FFFFFF" w:val="clear"/>
            <w:tcMar>
              <w:top w:type="dxa" w:w="80"/>
              <w:left w:type="dxa" w:w="120"/>
              <w:bottom w:type="dxa" w:w="80"/>
              <w:right w:type="dxa" w:w="120"/>
            </w:tcMar>
            <w:vAlign w:val="center"/>
          </w:tcPr>
          <w:p>
            <w:pPr>
              <w:jc w:val="center"/>
            </w:pPr>
            <w:r>
              <w:rPr>
                <w:rFonts w:ascii="Calibri" w:cs="Calibri" w:eastAsia="Calibri" w:hAnsi="Calibri"/>
                <w:b w:val="false"/>
                <w:bCs w:val="false"/>
                <w:color w:val="1E293B"/>
                <w:sz w:val="20"/>
                <w:szCs w:val="20"/>
              </w:rPr>
              <w:t xml:space="preserve">1</w:t>
            </w:r>
          </w:p>
        </w:tc>
        <w:tc>
          <w:tcPr>
            <w:shd w:fill="FFFFFF" w:color="FFFFFF" w:val="clear"/>
            <w:tcMar>
              <w:top w:type="dxa" w:w="80"/>
              <w:left w:type="dxa" w:w="120"/>
              <w:bottom w:type="dxa" w:w="80"/>
              <w:right w:type="dxa" w:w="120"/>
            </w:tcMar>
            <w:vAlign w:val="center"/>
          </w:tcPr>
          <w:p>
            <w:pPr>
              <w:jc w:val="center"/>
            </w:pPr>
            <w:r>
              <w:rPr>
                <w:rFonts w:ascii="Calibri" w:cs="Calibri" w:eastAsia="Calibri" w:hAnsi="Calibri"/>
                <w:b w:val="false"/>
                <w:bCs w:val="false"/>
                <w:color w:val="1E293B"/>
                <w:sz w:val="20"/>
                <w:szCs w:val="20"/>
              </w:rPr>
              <w:t xml:space="preserve">1</w:t>
            </w:r>
          </w:p>
        </w:tc>
        <w:tc>
          <w:tcPr>
            <w:shd w:fill="FFFFFF" w:color="FFFFFF" w:val="clear"/>
            <w:tcMar>
              <w:top w:type="dxa" w:w="80"/>
              <w:left w:type="dxa" w:w="120"/>
              <w:bottom w:type="dxa" w:w="80"/>
              <w:right w:type="dxa" w:w="120"/>
            </w:tcMar>
            <w:vAlign w:val="center"/>
          </w:tcPr>
          <w:p>
            <w:pPr>
              <w:jc w:val="center"/>
            </w:pPr>
            <w:r>
              <w:rPr>
                <w:rFonts w:ascii="Calibri" w:cs="Calibri" w:eastAsia="Calibri" w:hAnsi="Calibri"/>
                <w:b w:val="false"/>
                <w:bCs w:val="false"/>
                <w:color w:val="1E293B"/>
                <w:sz w:val="20"/>
                <w:szCs w:val="20"/>
              </w:rPr>
              <w:t xml:space="preserve">1</w:t>
            </w:r>
          </w:p>
        </w:tc>
        <w:tc>
          <w:tcPr>
            <w:shd w:fill="FFFFFF" w:color="FFFFFF" w:val="clear"/>
            <w:tcMar>
              <w:top w:type="dxa" w:w="80"/>
              <w:left w:type="dxa" w:w="120"/>
              <w:bottom w:type="dxa" w:w="80"/>
              <w:right w:type="dxa" w:w="120"/>
            </w:tcMar>
            <w:vAlign w:val="center"/>
          </w:tcPr>
          <w:p>
            <w:pPr>
              <w:jc w:val="center"/>
            </w:pPr>
            <w:r>
              <w:rPr>
                <w:rFonts w:ascii="Calibri" w:cs="Calibri" w:eastAsia="Calibri" w:hAnsi="Calibri"/>
                <w:b w:val="false"/>
                <w:bCs w:val="false"/>
                <w:color w:val="1E293B"/>
                <w:sz w:val="20"/>
                <w:szCs w:val="20"/>
              </w:rPr>
              <w:t xml:space="preserve">Múltiples</w:t>
            </w:r>
          </w:p>
        </w:tc>
      </w:tr>
      <w:tr>
        <w:tc>
          <w:tcPr>
            <w:shd w:fill="F8FAFC" w:color="F8FAFC" w:val="clear"/>
            <w:tcMar>
              <w:top w:type="dxa" w:w="80"/>
              <w:left w:type="dxa" w:w="120"/>
              <w:bottom w:type="dxa" w:w="80"/>
              <w:right w:type="dxa" w:w="120"/>
            </w:tcMar>
            <w:vAlign w:val="center"/>
          </w:tcPr>
          <w:p>
            <w:pPr>
              <w:jc w:val="left"/>
            </w:pPr>
            <w:r>
              <w:rPr>
                <w:rFonts w:ascii="Calibri" w:cs="Calibri" w:eastAsia="Calibri" w:hAnsi="Calibri"/>
                <w:b/>
                <w:bCs/>
                <w:color w:val="1E293B"/>
                <w:sz w:val="20"/>
                <w:szCs w:val="20"/>
              </w:rPr>
              <w:t xml:space="preserve">Análisis MCG + clasificación ISPAD</w:t>
            </w:r>
          </w:p>
        </w:tc>
        <w:tc>
          <w:tcPr>
            <w:shd w:fill="FFFFFF" w:color="FFFFFF" w:val="clear"/>
            <w:tcMar>
              <w:top w:type="dxa" w:w="80"/>
              <w:left w:type="dxa" w:w="120"/>
              <w:bottom w:type="dxa" w:w="80"/>
              <w:right w:type="dxa" w:w="120"/>
            </w:tcMar>
            <w:vAlign w:val="center"/>
          </w:tcPr>
          <w:p>
            <w:pPr>
              <w:jc w:val="center"/>
            </w:pPr>
            <w:r>
              <w:rPr>
                <w:rFonts w:ascii="Calibri" w:cs="Calibri" w:eastAsia="Calibri" w:hAnsi="Calibri"/>
                <w:b/>
                <w:bCs/>
                <w:color w:val="16A34A"/>
                <w:sz w:val="20"/>
                <w:szCs w:val="20"/>
              </w:rPr>
              <w:t xml:space="preserve">✔</w:t>
            </w:r>
          </w:p>
        </w:tc>
        <w:tc>
          <w:tcPr>
            <w:shd w:fill="FFFFFF" w:color="FFFFFF" w:val="clear"/>
            <w:tcMar>
              <w:top w:type="dxa" w:w="80"/>
              <w:left w:type="dxa" w:w="120"/>
              <w:bottom w:type="dxa" w:w="80"/>
              <w:right w:type="dxa" w:w="120"/>
            </w:tcMar>
            <w:vAlign w:val="center"/>
          </w:tcPr>
          <w:p>
            <w:pPr>
              <w:jc w:val="center"/>
            </w:pPr>
            <w:r>
              <w:rPr>
                <w:rFonts w:ascii="Calibri" w:cs="Calibri" w:eastAsia="Calibri" w:hAnsi="Calibri"/>
                <w:b/>
                <w:bCs/>
                <w:color w:val="16A34A"/>
                <w:sz w:val="20"/>
                <w:szCs w:val="20"/>
              </w:rPr>
              <w:t xml:space="preserve">✔</w:t>
            </w:r>
          </w:p>
        </w:tc>
        <w:tc>
          <w:tcPr>
            <w:shd w:fill="FFFFFF" w:color="FFFFFF" w:val="clear"/>
            <w:tcMar>
              <w:top w:type="dxa" w:w="80"/>
              <w:left w:type="dxa" w:w="120"/>
              <w:bottom w:type="dxa" w:w="80"/>
              <w:right w:type="dxa" w:w="120"/>
            </w:tcMar>
            <w:vAlign w:val="center"/>
          </w:tcPr>
          <w:p>
            <w:pPr>
              <w:jc w:val="center"/>
            </w:pPr>
            <w:r>
              <w:rPr>
                <w:rFonts w:ascii="Calibri" w:cs="Calibri" w:eastAsia="Calibri" w:hAnsi="Calibri"/>
                <w:b/>
                <w:bCs/>
                <w:color w:val="16A34A"/>
                <w:sz w:val="20"/>
                <w:szCs w:val="20"/>
              </w:rPr>
              <w:t xml:space="preserve">✔</w:t>
            </w:r>
          </w:p>
        </w:tc>
        <w:tc>
          <w:tcPr>
            <w:shd w:fill="FFFFFF" w:color="FFFFFF" w:val="clear"/>
            <w:tcMar>
              <w:top w:type="dxa" w:w="80"/>
              <w:left w:type="dxa" w:w="120"/>
              <w:bottom w:type="dxa" w:w="80"/>
              <w:right w:type="dxa" w:w="120"/>
            </w:tcMar>
            <w:vAlign w:val="center"/>
          </w:tcPr>
          <w:p>
            <w:pPr>
              <w:jc w:val="center"/>
            </w:pPr>
            <w:r>
              <w:rPr>
                <w:rFonts w:ascii="Calibri" w:cs="Calibri" w:eastAsia="Calibri" w:hAnsi="Calibri"/>
                <w:b/>
                <w:bCs/>
                <w:color w:val="16A34A"/>
                <w:sz w:val="20"/>
                <w:szCs w:val="20"/>
              </w:rPr>
              <w:t xml:space="preserve">✔</w:t>
            </w:r>
          </w:p>
        </w:tc>
      </w:tr>
      <w:tr>
        <w:tc>
          <w:tcPr>
            <w:shd w:fill="F8FAFC" w:color="F8FAFC" w:val="clear"/>
            <w:tcMar>
              <w:top w:type="dxa" w:w="80"/>
              <w:left w:type="dxa" w:w="120"/>
              <w:bottom w:type="dxa" w:w="80"/>
              <w:right w:type="dxa" w:w="120"/>
            </w:tcMar>
            <w:vAlign w:val="center"/>
          </w:tcPr>
          <w:p>
            <w:pPr>
              <w:jc w:val="left"/>
            </w:pPr>
            <w:r>
              <w:rPr>
                <w:rFonts w:ascii="Calibri" w:cs="Calibri" w:eastAsia="Calibri" w:hAnsi="Calibri"/>
                <w:b/>
                <w:bCs/>
                <w:color w:val="1E293B"/>
                <w:sz w:val="20"/>
                <w:szCs w:val="20"/>
              </w:rPr>
              <w:t xml:space="preserve">Parseo automático de PDF Syai</w:t>
            </w:r>
          </w:p>
        </w:tc>
        <w:tc>
          <w:tcPr>
            <w:shd w:fill="FFFFFF" w:color="FFFFFF" w:val="clear"/>
            <w:tcMar>
              <w:top w:type="dxa" w:w="80"/>
              <w:left w:type="dxa" w:w="120"/>
              <w:bottom w:type="dxa" w:w="80"/>
              <w:right w:type="dxa" w:w="120"/>
            </w:tcMar>
            <w:vAlign w:val="center"/>
          </w:tcPr>
          <w:p>
            <w:pPr>
              <w:jc w:val="center"/>
            </w:pPr>
            <w:r>
              <w:rPr>
                <w:rFonts w:ascii="Calibri" w:cs="Calibri" w:eastAsia="Calibri" w:hAnsi="Calibri"/>
                <w:b/>
                <w:bCs/>
                <w:color w:val="16A34A"/>
                <w:sz w:val="20"/>
                <w:szCs w:val="20"/>
              </w:rPr>
              <w:t xml:space="preserve">✔</w:t>
            </w:r>
          </w:p>
        </w:tc>
        <w:tc>
          <w:tcPr>
            <w:shd w:fill="FFFFFF" w:color="FFFFFF" w:val="clear"/>
            <w:tcMar>
              <w:top w:type="dxa" w:w="80"/>
              <w:left w:type="dxa" w:w="120"/>
              <w:bottom w:type="dxa" w:w="80"/>
              <w:right w:type="dxa" w:w="120"/>
            </w:tcMar>
            <w:vAlign w:val="center"/>
          </w:tcPr>
          <w:p>
            <w:pPr>
              <w:jc w:val="center"/>
            </w:pPr>
            <w:r>
              <w:rPr>
                <w:rFonts w:ascii="Calibri" w:cs="Calibri" w:eastAsia="Calibri" w:hAnsi="Calibri"/>
                <w:b/>
                <w:bCs/>
                <w:color w:val="16A34A"/>
                <w:sz w:val="20"/>
                <w:szCs w:val="20"/>
              </w:rPr>
              <w:t xml:space="preserve">✔</w:t>
            </w:r>
          </w:p>
        </w:tc>
        <w:tc>
          <w:tcPr>
            <w:shd w:fill="FFFFFF" w:color="FFFFFF" w:val="clear"/>
            <w:tcMar>
              <w:top w:type="dxa" w:w="80"/>
              <w:left w:type="dxa" w:w="120"/>
              <w:bottom w:type="dxa" w:w="80"/>
              <w:right w:type="dxa" w:w="120"/>
            </w:tcMar>
            <w:vAlign w:val="center"/>
          </w:tcPr>
          <w:p>
            <w:pPr>
              <w:jc w:val="center"/>
            </w:pPr>
            <w:r>
              <w:rPr>
                <w:rFonts w:ascii="Calibri" w:cs="Calibri" w:eastAsia="Calibri" w:hAnsi="Calibri"/>
                <w:b/>
                <w:bCs/>
                <w:color w:val="16A34A"/>
                <w:sz w:val="20"/>
                <w:szCs w:val="20"/>
              </w:rPr>
              <w:t xml:space="preserve">✔</w:t>
            </w:r>
          </w:p>
        </w:tc>
        <w:tc>
          <w:tcPr>
            <w:shd w:fill="FFFFFF" w:color="FFFFFF" w:val="clear"/>
            <w:tcMar>
              <w:top w:type="dxa" w:w="80"/>
              <w:left w:type="dxa" w:w="120"/>
              <w:bottom w:type="dxa" w:w="80"/>
              <w:right w:type="dxa" w:w="120"/>
            </w:tcMar>
            <w:vAlign w:val="center"/>
          </w:tcPr>
          <w:p>
            <w:pPr>
              <w:jc w:val="center"/>
            </w:pPr>
            <w:r>
              <w:rPr>
                <w:rFonts w:ascii="Calibri" w:cs="Calibri" w:eastAsia="Calibri" w:hAnsi="Calibri"/>
                <w:b/>
                <w:bCs/>
                <w:color w:val="16A34A"/>
                <w:sz w:val="20"/>
                <w:szCs w:val="20"/>
              </w:rPr>
              <w:t xml:space="preserve">✔</w:t>
            </w:r>
          </w:p>
        </w:tc>
      </w:tr>
      <w:tr>
        <w:tc>
          <w:tcPr>
            <w:shd w:fill="F8FAFC" w:color="F8FAFC" w:val="clear"/>
            <w:tcMar>
              <w:top w:type="dxa" w:w="80"/>
              <w:left w:type="dxa" w:w="120"/>
              <w:bottom w:type="dxa" w:w="80"/>
              <w:right w:type="dxa" w:w="120"/>
            </w:tcMar>
            <w:vAlign w:val="center"/>
          </w:tcPr>
          <w:p>
            <w:pPr>
              <w:jc w:val="left"/>
            </w:pPr>
            <w:r>
              <w:rPr>
                <w:rFonts w:ascii="Calibri" w:cs="Calibri" w:eastAsia="Calibri" w:hAnsi="Calibri"/>
                <w:b/>
                <w:bCs/>
                <w:color w:val="1E293B"/>
                <w:sz w:val="20"/>
                <w:szCs w:val="20"/>
              </w:rPr>
              <w:t xml:space="preserve">Curvas de crecimiento OMS</w:t>
            </w:r>
          </w:p>
        </w:tc>
        <w:tc>
          <w:tcPr>
            <w:shd w:fill="FFFFFF" w:color="FFFFFF" w:val="clear"/>
            <w:tcMar>
              <w:top w:type="dxa" w:w="80"/>
              <w:left w:type="dxa" w:w="120"/>
              <w:bottom w:type="dxa" w:w="80"/>
              <w:right w:type="dxa" w:w="120"/>
            </w:tcMar>
            <w:vAlign w:val="center"/>
          </w:tcPr>
          <w:p>
            <w:pPr>
              <w:jc w:val="center"/>
            </w:pPr>
            <w:r>
              <w:rPr>
                <w:rFonts w:ascii="Calibri" w:cs="Calibri" w:eastAsia="Calibri" w:hAnsi="Calibri"/>
                <w:b/>
                <w:bCs/>
                <w:color w:val="16A34A"/>
                <w:sz w:val="20"/>
                <w:szCs w:val="20"/>
              </w:rPr>
              <w:t xml:space="preserve">✔</w:t>
            </w:r>
          </w:p>
        </w:tc>
        <w:tc>
          <w:tcPr>
            <w:shd w:fill="FFFFFF" w:color="FFFFFF" w:val="clear"/>
            <w:tcMar>
              <w:top w:type="dxa" w:w="80"/>
              <w:left w:type="dxa" w:w="120"/>
              <w:bottom w:type="dxa" w:w="80"/>
              <w:right w:type="dxa" w:w="120"/>
            </w:tcMar>
            <w:vAlign w:val="center"/>
          </w:tcPr>
          <w:p>
            <w:pPr>
              <w:jc w:val="center"/>
            </w:pPr>
            <w:r>
              <w:rPr>
                <w:rFonts w:ascii="Calibri" w:cs="Calibri" w:eastAsia="Calibri" w:hAnsi="Calibri"/>
                <w:b/>
                <w:bCs/>
                <w:color w:val="16A34A"/>
                <w:sz w:val="20"/>
                <w:szCs w:val="20"/>
              </w:rPr>
              <w:t xml:space="preserve">✔</w:t>
            </w:r>
          </w:p>
        </w:tc>
        <w:tc>
          <w:tcPr>
            <w:shd w:fill="FFFFFF" w:color="FFFFFF" w:val="clear"/>
            <w:tcMar>
              <w:top w:type="dxa" w:w="80"/>
              <w:left w:type="dxa" w:w="120"/>
              <w:bottom w:type="dxa" w:w="80"/>
              <w:right w:type="dxa" w:w="120"/>
            </w:tcMar>
            <w:vAlign w:val="center"/>
          </w:tcPr>
          <w:p>
            <w:pPr>
              <w:jc w:val="center"/>
            </w:pPr>
            <w:r>
              <w:rPr>
                <w:rFonts w:ascii="Calibri" w:cs="Calibri" w:eastAsia="Calibri" w:hAnsi="Calibri"/>
                <w:b/>
                <w:bCs/>
                <w:color w:val="16A34A"/>
                <w:sz w:val="20"/>
                <w:szCs w:val="20"/>
              </w:rPr>
              <w:t xml:space="preserve">✔</w:t>
            </w:r>
          </w:p>
        </w:tc>
        <w:tc>
          <w:tcPr>
            <w:shd w:fill="FFFFFF" w:color="FFFFFF" w:val="clear"/>
            <w:tcMar>
              <w:top w:type="dxa" w:w="80"/>
              <w:left w:type="dxa" w:w="120"/>
              <w:bottom w:type="dxa" w:w="80"/>
              <w:right w:type="dxa" w:w="120"/>
            </w:tcMar>
            <w:vAlign w:val="center"/>
          </w:tcPr>
          <w:p>
            <w:pPr>
              <w:jc w:val="center"/>
            </w:pPr>
            <w:r>
              <w:rPr>
                <w:rFonts w:ascii="Calibri" w:cs="Calibri" w:eastAsia="Calibri" w:hAnsi="Calibri"/>
                <w:b/>
                <w:bCs/>
                <w:color w:val="16A34A"/>
                <w:sz w:val="20"/>
                <w:szCs w:val="20"/>
              </w:rPr>
              <w:t xml:space="preserve">✔</w:t>
            </w:r>
          </w:p>
        </w:tc>
      </w:tr>
      <w:tr>
        <w:tc>
          <w:tcPr>
            <w:shd w:fill="F8FAFC" w:color="F8FAFC" w:val="clear"/>
            <w:tcMar>
              <w:top w:type="dxa" w:w="80"/>
              <w:left w:type="dxa" w:w="120"/>
              <w:bottom w:type="dxa" w:w="80"/>
              <w:right w:type="dxa" w:w="120"/>
            </w:tcMar>
            <w:vAlign w:val="center"/>
          </w:tcPr>
          <w:p>
            <w:pPr>
              <w:jc w:val="left"/>
            </w:pPr>
            <w:r>
              <w:rPr>
                <w:rFonts w:ascii="Calibri" w:cs="Calibri" w:eastAsia="Calibri" w:hAnsi="Calibri"/>
                <w:b/>
                <w:bCs/>
                <w:color w:val="1E293B"/>
                <w:sz w:val="20"/>
                <w:szCs w:val="20"/>
              </w:rPr>
              <w:t xml:space="preserve">Mensajería WhatsApp</w:t>
            </w:r>
          </w:p>
        </w:tc>
        <w:tc>
          <w:tcPr>
            <w:shd w:fill="FFFFFF" w:color="FFFFFF" w:val="clear"/>
            <w:tcMar>
              <w:top w:type="dxa" w:w="80"/>
              <w:left w:type="dxa" w:w="120"/>
              <w:bottom w:type="dxa" w:w="80"/>
              <w:right w:type="dxa" w:w="120"/>
            </w:tcMar>
            <w:vAlign w:val="center"/>
          </w:tcPr>
          <w:p>
            <w:pPr>
              <w:jc w:val="center"/>
            </w:pPr>
            <w:r>
              <w:rPr>
                <w:rFonts w:ascii="Calibri" w:cs="Calibri" w:eastAsia="Calibri" w:hAnsi="Calibri"/>
                <w:b w:val="false"/>
                <w:bCs w:val="false"/>
                <w:color w:val="64748B"/>
                <w:sz w:val="20"/>
                <w:szCs w:val="20"/>
              </w:rPr>
              <w:t xml:space="preserve">—</w:t>
            </w:r>
          </w:p>
        </w:tc>
        <w:tc>
          <w:tcPr>
            <w:shd w:fill="FFFFFF" w:color="FFFFFF" w:val="clear"/>
            <w:tcMar>
              <w:top w:type="dxa" w:w="80"/>
              <w:left w:type="dxa" w:w="120"/>
              <w:bottom w:type="dxa" w:w="80"/>
              <w:right w:type="dxa" w:w="120"/>
            </w:tcMar>
            <w:vAlign w:val="center"/>
          </w:tcPr>
          <w:p>
            <w:pPr>
              <w:jc w:val="center"/>
            </w:pPr>
            <w:r>
              <w:rPr>
                <w:rFonts w:ascii="Calibri" w:cs="Calibri" w:eastAsia="Calibri" w:hAnsi="Calibri"/>
                <w:b/>
                <w:bCs/>
                <w:color w:val="16A34A"/>
                <w:sz w:val="20"/>
                <w:szCs w:val="20"/>
              </w:rPr>
              <w:t xml:space="preserve">✔</w:t>
            </w:r>
          </w:p>
        </w:tc>
        <w:tc>
          <w:tcPr>
            <w:shd w:fill="FFFFFF" w:color="FFFFFF" w:val="clear"/>
            <w:tcMar>
              <w:top w:type="dxa" w:w="80"/>
              <w:left w:type="dxa" w:w="120"/>
              <w:bottom w:type="dxa" w:w="80"/>
              <w:right w:type="dxa" w:w="120"/>
            </w:tcMar>
            <w:vAlign w:val="center"/>
          </w:tcPr>
          <w:p>
            <w:pPr>
              <w:jc w:val="center"/>
            </w:pPr>
            <w:r>
              <w:rPr>
                <w:rFonts w:ascii="Calibri" w:cs="Calibri" w:eastAsia="Calibri" w:hAnsi="Calibri"/>
                <w:b/>
                <w:bCs/>
                <w:color w:val="16A34A"/>
                <w:sz w:val="20"/>
                <w:szCs w:val="20"/>
              </w:rPr>
              <w:t xml:space="preserve">✔</w:t>
            </w:r>
          </w:p>
        </w:tc>
        <w:tc>
          <w:tcPr>
            <w:shd w:fill="FFFFFF" w:color="FFFFFF" w:val="clear"/>
            <w:tcMar>
              <w:top w:type="dxa" w:w="80"/>
              <w:left w:type="dxa" w:w="120"/>
              <w:bottom w:type="dxa" w:w="80"/>
              <w:right w:type="dxa" w:w="120"/>
            </w:tcMar>
            <w:vAlign w:val="center"/>
          </w:tcPr>
          <w:p>
            <w:pPr>
              <w:jc w:val="center"/>
            </w:pPr>
            <w:r>
              <w:rPr>
                <w:rFonts w:ascii="Calibri" w:cs="Calibri" w:eastAsia="Calibri" w:hAnsi="Calibri"/>
                <w:b/>
                <w:bCs/>
                <w:color w:val="16A34A"/>
                <w:sz w:val="20"/>
                <w:szCs w:val="20"/>
              </w:rPr>
              <w:t xml:space="preserve">✔</w:t>
            </w:r>
          </w:p>
        </w:tc>
      </w:tr>
      <w:tr>
        <w:tc>
          <w:tcPr>
            <w:shd w:fill="F8FAFC" w:color="F8FAFC" w:val="clear"/>
            <w:tcMar>
              <w:top w:type="dxa" w:w="80"/>
              <w:left w:type="dxa" w:w="120"/>
              <w:bottom w:type="dxa" w:w="80"/>
              <w:right w:type="dxa" w:w="120"/>
            </w:tcMar>
            <w:vAlign w:val="center"/>
          </w:tcPr>
          <w:p>
            <w:pPr>
              <w:jc w:val="left"/>
            </w:pPr>
            <w:r>
              <w:rPr>
                <w:rFonts w:ascii="Calibri" w:cs="Calibri" w:eastAsia="Calibri" w:hAnsi="Calibri"/>
                <w:b/>
                <w:bCs/>
                <w:color w:val="1E293B"/>
                <w:sz w:val="20"/>
                <w:szCs w:val="20"/>
              </w:rPr>
              <w:t xml:space="preserve">Mapa epidemiológico</w:t>
            </w:r>
          </w:p>
        </w:tc>
        <w:tc>
          <w:tcPr>
            <w:shd w:fill="FFFFFF" w:color="FFFFFF" w:val="clear"/>
            <w:tcMar>
              <w:top w:type="dxa" w:w="80"/>
              <w:left w:type="dxa" w:w="120"/>
              <w:bottom w:type="dxa" w:w="80"/>
              <w:right w:type="dxa" w:w="120"/>
            </w:tcMar>
            <w:vAlign w:val="center"/>
          </w:tcPr>
          <w:p>
            <w:pPr>
              <w:jc w:val="center"/>
            </w:pPr>
            <w:r>
              <w:rPr>
                <w:rFonts w:ascii="Calibri" w:cs="Calibri" w:eastAsia="Calibri" w:hAnsi="Calibri"/>
                <w:b w:val="false"/>
                <w:bCs w:val="false"/>
                <w:color w:val="64748B"/>
                <w:sz w:val="20"/>
                <w:szCs w:val="20"/>
              </w:rPr>
              <w:t xml:space="preserve">—</w:t>
            </w:r>
          </w:p>
        </w:tc>
        <w:tc>
          <w:tcPr>
            <w:shd w:fill="FFFFFF" w:color="FFFFFF" w:val="clear"/>
            <w:tcMar>
              <w:top w:type="dxa" w:w="80"/>
              <w:left w:type="dxa" w:w="120"/>
              <w:bottom w:type="dxa" w:w="80"/>
              <w:right w:type="dxa" w:w="120"/>
            </w:tcMar>
            <w:vAlign w:val="center"/>
          </w:tcPr>
          <w:p>
            <w:pPr>
              <w:jc w:val="center"/>
            </w:pPr>
            <w:r>
              <w:rPr>
                <w:rFonts w:ascii="Calibri" w:cs="Calibri" w:eastAsia="Calibri" w:hAnsi="Calibri"/>
                <w:b/>
                <w:bCs/>
                <w:color w:val="16A34A"/>
                <w:sz w:val="20"/>
                <w:szCs w:val="20"/>
              </w:rPr>
              <w:t xml:space="preserve">✔</w:t>
            </w:r>
          </w:p>
        </w:tc>
        <w:tc>
          <w:tcPr>
            <w:shd w:fill="FFFFFF" w:color="FFFFFF" w:val="clear"/>
            <w:tcMar>
              <w:top w:type="dxa" w:w="80"/>
              <w:left w:type="dxa" w:w="120"/>
              <w:bottom w:type="dxa" w:w="80"/>
              <w:right w:type="dxa" w:w="120"/>
            </w:tcMar>
            <w:vAlign w:val="center"/>
          </w:tcPr>
          <w:p>
            <w:pPr>
              <w:jc w:val="center"/>
            </w:pPr>
            <w:r>
              <w:rPr>
                <w:rFonts w:ascii="Calibri" w:cs="Calibri" w:eastAsia="Calibri" w:hAnsi="Calibri"/>
                <w:b/>
                <w:bCs/>
                <w:color w:val="16A34A"/>
                <w:sz w:val="20"/>
                <w:szCs w:val="20"/>
              </w:rPr>
              <w:t xml:space="preserve">✔</w:t>
            </w:r>
          </w:p>
        </w:tc>
        <w:tc>
          <w:tcPr>
            <w:shd w:fill="FFFFFF" w:color="FFFFFF" w:val="clear"/>
            <w:tcMar>
              <w:top w:type="dxa" w:w="80"/>
              <w:left w:type="dxa" w:w="120"/>
              <w:bottom w:type="dxa" w:w="80"/>
              <w:right w:type="dxa" w:w="120"/>
            </w:tcMar>
            <w:vAlign w:val="center"/>
          </w:tcPr>
          <w:p>
            <w:pPr>
              <w:jc w:val="center"/>
            </w:pPr>
            <w:r>
              <w:rPr>
                <w:rFonts w:ascii="Calibri" w:cs="Calibri" w:eastAsia="Calibri" w:hAnsi="Calibri"/>
                <w:b/>
                <w:bCs/>
                <w:color w:val="16A34A"/>
                <w:sz w:val="20"/>
                <w:szCs w:val="20"/>
              </w:rPr>
              <w:t xml:space="preserve">✔</w:t>
            </w:r>
          </w:p>
        </w:tc>
      </w:tr>
      <w:tr>
        <w:tc>
          <w:tcPr>
            <w:shd w:fill="F8FAFC" w:color="F8FAFC" w:val="clear"/>
            <w:tcMar>
              <w:top w:type="dxa" w:w="80"/>
              <w:left w:type="dxa" w:w="120"/>
              <w:bottom w:type="dxa" w:w="80"/>
              <w:right w:type="dxa" w:w="120"/>
            </w:tcMar>
            <w:vAlign w:val="center"/>
          </w:tcPr>
          <w:p>
            <w:pPr>
              <w:jc w:val="left"/>
            </w:pPr>
            <w:r>
              <w:rPr>
                <w:rFonts w:ascii="Calibri" w:cs="Calibri" w:eastAsia="Calibri" w:hAnsi="Calibri"/>
                <w:b/>
                <w:bCs/>
                <w:color w:val="1E293B"/>
                <w:sz w:val="20"/>
                <w:szCs w:val="20"/>
              </w:rPr>
              <w:t xml:space="preserve">Dashboard multi-institución</w:t>
            </w:r>
          </w:p>
        </w:tc>
        <w:tc>
          <w:tcPr>
            <w:shd w:fill="FFFFFF" w:color="FFFFFF" w:val="clear"/>
            <w:tcMar>
              <w:top w:type="dxa" w:w="80"/>
              <w:left w:type="dxa" w:w="120"/>
              <w:bottom w:type="dxa" w:w="80"/>
              <w:right w:type="dxa" w:w="120"/>
            </w:tcMar>
            <w:vAlign w:val="center"/>
          </w:tcPr>
          <w:p>
            <w:pPr>
              <w:jc w:val="center"/>
            </w:pPr>
            <w:r>
              <w:rPr>
                <w:rFonts w:ascii="Calibri" w:cs="Calibri" w:eastAsia="Calibri" w:hAnsi="Calibri"/>
                <w:b w:val="false"/>
                <w:bCs w:val="false"/>
                <w:color w:val="64748B"/>
                <w:sz w:val="20"/>
                <w:szCs w:val="20"/>
              </w:rPr>
              <w:t xml:space="preserve">—</w:t>
            </w:r>
          </w:p>
        </w:tc>
        <w:tc>
          <w:tcPr>
            <w:shd w:fill="FFFFFF" w:color="FFFFFF" w:val="clear"/>
            <w:tcMar>
              <w:top w:type="dxa" w:w="80"/>
              <w:left w:type="dxa" w:w="120"/>
              <w:bottom w:type="dxa" w:w="80"/>
              <w:right w:type="dxa" w:w="120"/>
            </w:tcMar>
            <w:vAlign w:val="center"/>
          </w:tcPr>
          <w:p>
            <w:pPr>
              <w:jc w:val="center"/>
            </w:pPr>
            <w:r>
              <w:rPr>
                <w:rFonts w:ascii="Calibri" w:cs="Calibri" w:eastAsia="Calibri" w:hAnsi="Calibri"/>
                <w:b w:val="false"/>
                <w:bCs w:val="false"/>
                <w:color w:val="64748B"/>
                <w:sz w:val="20"/>
                <w:szCs w:val="20"/>
              </w:rPr>
              <w:t xml:space="preserve">—</w:t>
            </w:r>
          </w:p>
        </w:tc>
        <w:tc>
          <w:tcPr>
            <w:shd w:fill="FFFFFF" w:color="FFFFFF" w:val="clear"/>
            <w:tcMar>
              <w:top w:type="dxa" w:w="80"/>
              <w:left w:type="dxa" w:w="120"/>
              <w:bottom w:type="dxa" w:w="80"/>
              <w:right w:type="dxa" w:w="120"/>
            </w:tcMar>
            <w:vAlign w:val="center"/>
          </w:tcPr>
          <w:p>
            <w:pPr>
              <w:jc w:val="center"/>
            </w:pPr>
            <w:r>
              <w:rPr>
                <w:rFonts w:ascii="Calibri" w:cs="Calibri" w:eastAsia="Calibri" w:hAnsi="Calibri"/>
                <w:b/>
                <w:bCs/>
                <w:color w:val="16A34A"/>
                <w:sz w:val="20"/>
                <w:szCs w:val="20"/>
              </w:rPr>
              <w:t xml:space="preserve">✔</w:t>
            </w:r>
          </w:p>
        </w:tc>
        <w:tc>
          <w:tcPr>
            <w:shd w:fill="FFFFFF" w:color="FFFFFF" w:val="clear"/>
            <w:tcMar>
              <w:top w:type="dxa" w:w="80"/>
              <w:left w:type="dxa" w:w="120"/>
              <w:bottom w:type="dxa" w:w="80"/>
              <w:right w:type="dxa" w:w="120"/>
            </w:tcMar>
            <w:vAlign w:val="center"/>
          </w:tcPr>
          <w:p>
            <w:pPr>
              <w:jc w:val="center"/>
            </w:pPr>
            <w:r>
              <w:rPr>
                <w:rFonts w:ascii="Calibri" w:cs="Calibri" w:eastAsia="Calibri" w:hAnsi="Calibri"/>
                <w:b/>
                <w:bCs/>
                <w:color w:val="16A34A"/>
                <w:sz w:val="20"/>
                <w:szCs w:val="20"/>
              </w:rPr>
              <w:t xml:space="preserve">✔</w:t>
            </w:r>
          </w:p>
        </w:tc>
      </w:tr>
      <w:tr>
        <w:tc>
          <w:tcPr>
            <w:shd w:fill="F8FAFC" w:color="F8FAFC" w:val="clear"/>
            <w:tcMar>
              <w:top w:type="dxa" w:w="80"/>
              <w:left w:type="dxa" w:w="120"/>
              <w:bottom w:type="dxa" w:w="80"/>
              <w:right w:type="dxa" w:w="120"/>
            </w:tcMar>
            <w:vAlign w:val="center"/>
          </w:tcPr>
          <w:p>
            <w:pPr>
              <w:jc w:val="left"/>
            </w:pPr>
            <w:r>
              <w:rPr>
                <w:rFonts w:ascii="Calibri" w:cs="Calibri" w:eastAsia="Calibri" w:hAnsi="Calibri"/>
                <w:b/>
                <w:bCs/>
                <w:color w:val="1E293B"/>
                <w:sz w:val="20"/>
                <w:szCs w:val="20"/>
              </w:rPr>
              <w:t xml:space="preserve">Auditoría y bitácora</w:t>
            </w:r>
          </w:p>
        </w:tc>
        <w:tc>
          <w:tcPr>
            <w:shd w:fill="FFFFFF" w:color="FFFFFF" w:val="clear"/>
            <w:tcMar>
              <w:top w:type="dxa" w:w="80"/>
              <w:left w:type="dxa" w:w="120"/>
              <w:bottom w:type="dxa" w:w="80"/>
              <w:right w:type="dxa" w:w="120"/>
            </w:tcMar>
            <w:vAlign w:val="center"/>
          </w:tcPr>
          <w:p>
            <w:pPr>
              <w:jc w:val="center"/>
            </w:pPr>
            <w:r>
              <w:rPr>
                <w:rFonts w:ascii="Calibri" w:cs="Calibri" w:eastAsia="Calibri" w:hAnsi="Calibri"/>
                <w:b w:val="false"/>
                <w:bCs w:val="false"/>
                <w:color w:val="64748B"/>
                <w:sz w:val="20"/>
                <w:szCs w:val="20"/>
              </w:rPr>
              <w:t xml:space="preserve">—</w:t>
            </w:r>
          </w:p>
        </w:tc>
        <w:tc>
          <w:tcPr>
            <w:shd w:fill="FFFFFF" w:color="FFFFFF" w:val="clear"/>
            <w:tcMar>
              <w:top w:type="dxa" w:w="80"/>
              <w:left w:type="dxa" w:w="120"/>
              <w:bottom w:type="dxa" w:w="80"/>
              <w:right w:type="dxa" w:w="120"/>
            </w:tcMar>
            <w:vAlign w:val="center"/>
          </w:tcPr>
          <w:p>
            <w:pPr>
              <w:jc w:val="center"/>
            </w:pPr>
            <w:r>
              <w:rPr>
                <w:rFonts w:ascii="Calibri" w:cs="Calibri" w:eastAsia="Calibri" w:hAnsi="Calibri"/>
                <w:b/>
                <w:bCs/>
                <w:color w:val="16A34A"/>
                <w:sz w:val="20"/>
                <w:szCs w:val="20"/>
              </w:rPr>
              <w:t xml:space="preserve">✔</w:t>
            </w:r>
          </w:p>
        </w:tc>
        <w:tc>
          <w:tcPr>
            <w:shd w:fill="FFFFFF" w:color="FFFFFF" w:val="clear"/>
            <w:tcMar>
              <w:top w:type="dxa" w:w="80"/>
              <w:left w:type="dxa" w:w="120"/>
              <w:bottom w:type="dxa" w:w="80"/>
              <w:right w:type="dxa" w:w="120"/>
            </w:tcMar>
            <w:vAlign w:val="center"/>
          </w:tcPr>
          <w:p>
            <w:pPr>
              <w:jc w:val="center"/>
            </w:pPr>
            <w:r>
              <w:rPr>
                <w:rFonts w:ascii="Calibri" w:cs="Calibri" w:eastAsia="Calibri" w:hAnsi="Calibri"/>
                <w:b/>
                <w:bCs/>
                <w:color w:val="16A34A"/>
                <w:sz w:val="20"/>
                <w:szCs w:val="20"/>
              </w:rPr>
              <w:t xml:space="preserve">✔</w:t>
            </w:r>
          </w:p>
        </w:tc>
        <w:tc>
          <w:tcPr>
            <w:shd w:fill="FFFFFF" w:color="FFFFFF" w:val="clear"/>
            <w:tcMar>
              <w:top w:type="dxa" w:w="80"/>
              <w:left w:type="dxa" w:w="120"/>
              <w:bottom w:type="dxa" w:w="80"/>
              <w:right w:type="dxa" w:w="120"/>
            </w:tcMar>
            <w:vAlign w:val="center"/>
          </w:tcPr>
          <w:p>
            <w:pPr>
              <w:jc w:val="center"/>
            </w:pPr>
            <w:r>
              <w:rPr>
                <w:rFonts w:ascii="Calibri" w:cs="Calibri" w:eastAsia="Calibri" w:hAnsi="Calibri"/>
                <w:b/>
                <w:bCs/>
                <w:color w:val="16A34A"/>
                <w:sz w:val="20"/>
                <w:szCs w:val="20"/>
              </w:rPr>
              <w:t xml:space="preserve">✔</w:t>
            </w:r>
          </w:p>
        </w:tc>
      </w:tr>
      <w:tr>
        <w:tc>
          <w:tcPr>
            <w:shd w:fill="F8FAFC" w:color="F8FAFC" w:val="clear"/>
            <w:tcMar>
              <w:top w:type="dxa" w:w="80"/>
              <w:left w:type="dxa" w:w="120"/>
              <w:bottom w:type="dxa" w:w="80"/>
              <w:right w:type="dxa" w:w="120"/>
            </w:tcMar>
            <w:vAlign w:val="center"/>
          </w:tcPr>
          <w:p>
            <w:pPr>
              <w:jc w:val="left"/>
            </w:pPr>
            <w:r>
              <w:rPr>
                <w:rFonts w:ascii="Calibri" w:cs="Calibri" w:eastAsia="Calibri" w:hAnsi="Calibri"/>
                <w:b/>
                <w:bCs/>
                <w:color w:val="1E293B"/>
                <w:sz w:val="20"/>
                <w:szCs w:val="20"/>
              </w:rPr>
              <w:t xml:space="preserve">Soporte técnico</w:t>
            </w:r>
          </w:p>
        </w:tc>
        <w:tc>
          <w:tcPr>
            <w:shd w:fill="FFFFFF" w:color="FFFFFF" w:val="clear"/>
            <w:tcMar>
              <w:top w:type="dxa" w:w="80"/>
              <w:left w:type="dxa" w:w="120"/>
              <w:bottom w:type="dxa" w:w="80"/>
              <w:right w:type="dxa" w:w="120"/>
            </w:tcMar>
            <w:vAlign w:val="center"/>
          </w:tcPr>
          <w:p>
            <w:pPr>
              <w:jc w:val="center"/>
            </w:pPr>
            <w:r>
              <w:rPr>
                <w:rFonts w:ascii="Calibri" w:cs="Calibri" w:eastAsia="Calibri" w:hAnsi="Calibri"/>
                <w:b w:val="false"/>
                <w:bCs w:val="false"/>
                <w:color w:val="1E293B"/>
                <w:sz w:val="20"/>
                <w:szCs w:val="20"/>
              </w:rPr>
              <w:t xml:space="preserve">Correo / 48h</w:t>
            </w:r>
          </w:p>
        </w:tc>
        <w:tc>
          <w:tcPr>
            <w:shd w:fill="FFFFFF" w:color="FFFFFF" w:val="clear"/>
            <w:tcMar>
              <w:top w:type="dxa" w:w="80"/>
              <w:left w:type="dxa" w:w="120"/>
              <w:bottom w:type="dxa" w:w="80"/>
              <w:right w:type="dxa" w:w="120"/>
            </w:tcMar>
            <w:vAlign w:val="center"/>
          </w:tcPr>
          <w:p>
            <w:pPr>
              <w:jc w:val="center"/>
            </w:pPr>
            <w:r>
              <w:rPr>
                <w:rFonts w:ascii="Calibri" w:cs="Calibri" w:eastAsia="Calibri" w:hAnsi="Calibri"/>
                <w:b w:val="false"/>
                <w:bCs w:val="false"/>
                <w:color w:val="1E293B"/>
                <w:sz w:val="20"/>
                <w:szCs w:val="20"/>
              </w:rPr>
              <w:t xml:space="preserve">WhatsApp / 24h</w:t>
            </w:r>
          </w:p>
        </w:tc>
        <w:tc>
          <w:tcPr>
            <w:shd w:fill="FFFFFF" w:color="FFFFFF" w:val="clear"/>
            <w:tcMar>
              <w:top w:type="dxa" w:w="80"/>
              <w:left w:type="dxa" w:w="120"/>
              <w:bottom w:type="dxa" w:w="80"/>
              <w:right w:type="dxa" w:w="120"/>
            </w:tcMar>
            <w:vAlign w:val="center"/>
          </w:tcPr>
          <w:p>
            <w:pPr>
              <w:jc w:val="center"/>
            </w:pPr>
            <w:r>
              <w:rPr>
                <w:rFonts w:ascii="Calibri" w:cs="Calibri" w:eastAsia="Calibri" w:hAnsi="Calibri"/>
                <w:b w:val="false"/>
                <w:bCs w:val="false"/>
                <w:color w:val="1E293B"/>
                <w:sz w:val="20"/>
                <w:szCs w:val="20"/>
              </w:rPr>
              <w:t xml:space="preserve">Prioritario / 8h</w:t>
            </w:r>
          </w:p>
        </w:tc>
        <w:tc>
          <w:tcPr>
            <w:shd w:fill="FFFFFF" w:color="FFFFFF" w:val="clear"/>
            <w:tcMar>
              <w:top w:type="dxa" w:w="80"/>
              <w:left w:type="dxa" w:w="120"/>
              <w:bottom w:type="dxa" w:w="80"/>
              <w:right w:type="dxa" w:w="120"/>
            </w:tcMar>
            <w:vAlign w:val="center"/>
          </w:tcPr>
          <w:p>
            <w:pPr>
              <w:jc w:val="center"/>
            </w:pPr>
            <w:r>
              <w:rPr>
                <w:rFonts w:ascii="Calibri" w:cs="Calibri" w:eastAsia="Calibri" w:hAnsi="Calibri"/>
                <w:b w:val="false"/>
                <w:bCs w:val="false"/>
                <w:color w:val="1E293B"/>
                <w:sz w:val="20"/>
                <w:szCs w:val="20"/>
              </w:rPr>
              <w:t xml:space="preserve">Dedicado / 4h</w:t>
            </w:r>
          </w:p>
        </w:tc>
      </w:tr>
      <w:tr>
        <w:tc>
          <w:tcPr>
            <w:shd w:fill="F8FAFC" w:color="F8FAFC" w:val="clear"/>
            <w:tcMar>
              <w:top w:type="dxa" w:w="80"/>
              <w:left w:type="dxa" w:w="120"/>
              <w:bottom w:type="dxa" w:w="80"/>
              <w:right w:type="dxa" w:w="120"/>
            </w:tcMar>
            <w:vAlign w:val="center"/>
          </w:tcPr>
          <w:p>
            <w:pPr>
              <w:jc w:val="left"/>
            </w:pPr>
            <w:r>
              <w:rPr>
                <w:rFonts w:ascii="Calibri" w:cs="Calibri" w:eastAsia="Calibri" w:hAnsi="Calibri"/>
                <w:b/>
                <w:bCs/>
                <w:color w:val="1E293B"/>
                <w:sz w:val="20"/>
                <w:szCs w:val="20"/>
              </w:rPr>
              <w:t xml:space="preserve">Capacitación inicial</w:t>
            </w:r>
          </w:p>
        </w:tc>
        <w:tc>
          <w:tcPr>
            <w:shd w:fill="FFFFFF" w:color="FFFFFF" w:val="clear"/>
            <w:tcMar>
              <w:top w:type="dxa" w:w="80"/>
              <w:left w:type="dxa" w:w="120"/>
              <w:bottom w:type="dxa" w:w="80"/>
              <w:right w:type="dxa" w:w="120"/>
            </w:tcMar>
            <w:vAlign w:val="center"/>
          </w:tcPr>
          <w:p>
            <w:pPr>
              <w:jc w:val="center"/>
            </w:pPr>
            <w:r>
              <w:rPr>
                <w:rFonts w:ascii="Calibri" w:cs="Calibri" w:eastAsia="Calibri" w:hAnsi="Calibri"/>
                <w:b w:val="false"/>
                <w:bCs w:val="false"/>
                <w:color w:val="1E293B"/>
                <w:sz w:val="20"/>
                <w:szCs w:val="20"/>
              </w:rPr>
              <w:t xml:space="preserve">1 sesión virtual</w:t>
            </w:r>
          </w:p>
        </w:tc>
        <w:tc>
          <w:tcPr>
            <w:shd w:fill="FFFFFF" w:color="FFFFFF" w:val="clear"/>
            <w:tcMar>
              <w:top w:type="dxa" w:w="80"/>
              <w:left w:type="dxa" w:w="120"/>
              <w:bottom w:type="dxa" w:w="80"/>
              <w:right w:type="dxa" w:w="120"/>
            </w:tcMar>
            <w:vAlign w:val="center"/>
          </w:tcPr>
          <w:p>
            <w:pPr>
              <w:jc w:val="center"/>
            </w:pPr>
            <w:r>
              <w:rPr>
                <w:rFonts w:ascii="Calibri" w:cs="Calibri" w:eastAsia="Calibri" w:hAnsi="Calibri"/>
                <w:b w:val="false"/>
                <w:bCs w:val="false"/>
                <w:color w:val="1E293B"/>
                <w:sz w:val="20"/>
                <w:szCs w:val="20"/>
              </w:rPr>
              <w:t xml:space="preserve">2 sesiones virtuales</w:t>
            </w:r>
          </w:p>
        </w:tc>
        <w:tc>
          <w:tcPr>
            <w:shd w:fill="FFFFFF" w:color="FFFFFF" w:val="clear"/>
            <w:tcMar>
              <w:top w:type="dxa" w:w="80"/>
              <w:left w:type="dxa" w:w="120"/>
              <w:bottom w:type="dxa" w:w="80"/>
              <w:right w:type="dxa" w:w="120"/>
            </w:tcMar>
            <w:vAlign w:val="center"/>
          </w:tcPr>
          <w:p>
            <w:pPr>
              <w:jc w:val="center"/>
            </w:pPr>
            <w:r>
              <w:rPr>
                <w:rFonts w:ascii="Calibri" w:cs="Calibri" w:eastAsia="Calibri" w:hAnsi="Calibri"/>
                <w:b w:val="false"/>
                <w:bCs w:val="false"/>
                <w:color w:val="1E293B"/>
                <w:sz w:val="20"/>
                <w:szCs w:val="20"/>
              </w:rPr>
              <w:t xml:space="preserve">Presencial incluida</w:t>
            </w:r>
          </w:p>
        </w:tc>
        <w:tc>
          <w:tcPr>
            <w:shd w:fill="FFFFFF" w:color="FFFFFF" w:val="clear"/>
            <w:tcMar>
              <w:top w:type="dxa" w:w="80"/>
              <w:left w:type="dxa" w:w="120"/>
              <w:bottom w:type="dxa" w:w="80"/>
              <w:right w:type="dxa" w:w="120"/>
            </w:tcMar>
            <w:vAlign w:val="center"/>
          </w:tcPr>
          <w:p>
            <w:pPr>
              <w:jc w:val="center"/>
            </w:pPr>
            <w:r>
              <w:rPr>
                <w:rFonts w:ascii="Calibri" w:cs="Calibri" w:eastAsia="Calibri" w:hAnsi="Calibri"/>
                <w:b w:val="false"/>
                <w:bCs w:val="false"/>
                <w:color w:val="1E293B"/>
                <w:sz w:val="20"/>
                <w:szCs w:val="20"/>
              </w:rPr>
              <w:t xml:space="preserve">2 visitas presenciales</w:t>
            </w:r>
          </w:p>
        </w:tc>
      </w:tr>
    </w:tbl>
    <w:p>
      <w:r>
        <w:t xml:space="preserve">  </w:t>
      </w:r>
    </w:p>
    <w:p>
      <w:pPr>
        <w:spacing w:after="120" w:before="280"/>
      </w:pPr>
      <w:r>
        <w:rPr>
          <w:rFonts w:ascii="Calibri" w:cs="Calibri" w:eastAsia="Calibri" w:hAnsi="Calibri"/>
          <w:b/>
          <w:bCs/>
          <w:color w:val="6366F1"/>
          <w:sz w:val="26"/>
          <w:szCs w:val="26"/>
        </w:rPr>
        <w:t xml:space="preserve">3.2  Descripción Detallada de los Planes</w:t>
      </w:r>
    </w:p>
    <w:p>
      <w:r>
        <w:t xml:space="preserve"> </w:t>
      </w:r>
    </w:p>
    <w:p>
      <w:pPr>
        <w:spacing w:after="80" w:before="200"/>
      </w:pPr>
      <w:r>
        <w:rPr>
          <w:rFonts w:ascii="Calibri" w:cs="Calibri" w:eastAsia="Calibri" w:hAnsi="Calibri"/>
          <w:b/>
          <w:bCs/>
          <w:color w:val="1E40AF"/>
          <w:sz w:val="22"/>
          <w:szCs w:val="22"/>
        </w:rPr>
        <w:t xml:space="preserve">Plan Básico — $80 a $120 / mes</w:t>
      </w:r>
    </w:p>
    <w:p>
      <w:pPr>
        <w:spacing w:after="80" w:before="80"/>
        <w:jc w:val="both"/>
      </w:pPr>
      <w:r>
        <w:rPr>
          <w:rFonts w:ascii="Calibri" w:cs="Calibri" w:eastAsia="Calibri" w:hAnsi="Calibri"/>
          <w:b w:val="false"/>
          <w:bCs w:val="false"/>
          <w:i w:val="false"/>
          <w:iCs w:val="false"/>
          <w:color w:val="1E293B"/>
          <w:sz w:val="22"/>
          <w:szCs w:val="22"/>
        </w:rPr>
        <w:t xml:space="preserve">Ideal para médicos en consulta privada o residentes que atienden un volumen reducido de pacientes con MCG. Incluye todos los módulos clínicos esenciales: registro de pacientes, análisis MCG con clasificación ISPAD, parseo de PDF, curvas de crecimiento, historial de insulina y consultas. Hasta 3 usuarios simultáneos.</w:t>
      </w:r>
    </w:p>
    <w:p>
      <w:r>
        <w:t xml:space="preserve"> </w:t>
      </w:r>
    </w:p>
    <w:p>
      <w:pPr>
        <w:spacing w:after="80" w:before="200"/>
      </w:pPr>
      <w:r>
        <w:rPr>
          <w:rFonts w:ascii="Calibri" w:cs="Calibri" w:eastAsia="Calibri" w:hAnsi="Calibri"/>
          <w:b/>
          <w:bCs/>
          <w:color w:val="16A34A"/>
          <w:sz w:val="22"/>
          <w:szCs w:val="22"/>
        </w:rPr>
        <w:t xml:space="preserve">Plan Profesional — $200 a $350 / mes</w:t>
      </w:r>
    </w:p>
    <w:p>
      <w:pPr>
        <w:spacing w:after="80" w:before="80"/>
        <w:jc w:val="both"/>
      </w:pPr>
      <w:r>
        <w:rPr>
          <w:rFonts w:ascii="Calibri" w:cs="Calibri" w:eastAsia="Calibri" w:hAnsi="Calibri"/>
          <w:b w:val="false"/>
          <w:bCs w:val="false"/>
          <w:i w:val="false"/>
          <w:iCs w:val="false"/>
          <w:color w:val="1E293B"/>
          <w:sz w:val="22"/>
          <w:szCs w:val="22"/>
        </w:rPr>
        <w:t xml:space="preserve">Diseñado para equipos médicos pequeños de 4 a 10 usuarios dentro de una institución. Agrega mensajería WhatsApp para seguimiento remoto de pacientes, mapa epidemiológico, bitácora de auditoría y soporte técnico por WhatsApp con respuesta en 24 horas. Recomendado para clínicas especializadas o consultorios grupales.</w:t>
      </w:r>
    </w:p>
    <w:p>
      <w:r>
        <w:t xml:space="preserve"> </w:t>
      </w:r>
    </w:p>
    <w:p>
      <w:pPr>
        <w:spacing w:after="80" w:before="200"/>
      </w:pPr>
      <w:r>
        <w:rPr>
          <w:rFonts w:ascii="Calibri" w:cs="Calibri" w:eastAsia="Calibri" w:hAnsi="Calibri"/>
          <w:b/>
          <w:bCs/>
          <w:color w:val="B45309"/>
          <w:sz w:val="22"/>
          <w:szCs w:val="22"/>
        </w:rPr>
        <w:t xml:space="preserve">Plan Institucional — $500 a $800 / mes</w:t>
      </w:r>
    </w:p>
    <w:p>
      <w:pPr>
        <w:spacing w:after="80" w:before="80"/>
        <w:jc w:val="both"/>
      </w:pPr>
      <w:r>
        <w:rPr>
          <w:rFonts w:ascii="Calibri" w:cs="Calibri" w:eastAsia="Calibri" w:hAnsi="Calibri"/>
          <w:b w:val="false"/>
          <w:bCs w:val="false"/>
          <w:i w:val="false"/>
          <w:iCs w:val="false"/>
          <w:color w:val="1E293B"/>
          <w:sz w:val="22"/>
          <w:szCs w:val="22"/>
        </w:rPr>
        <w:t xml:space="preserve">Orientado a hospitales con departamentos de endocrinología de 11 a 30 usuarios. Incluye dashboard multi-institución con filtros por hospital, capacitación presencial en las instalaciones, soporte prioritario con respuesta máxima en 8 horas, y acceso completo a todos los módulos del sistema.</w:t>
      </w:r>
    </w:p>
    <w:p>
      <w:r>
        <w:t xml:space="preserve"> </w:t>
      </w:r>
    </w:p>
    <w:p>
      <w:pPr>
        <w:spacing w:after="80" w:before="200"/>
      </w:pPr>
      <w:r>
        <w:rPr>
          <w:rFonts w:ascii="Calibri" w:cs="Calibri" w:eastAsia="Calibri" w:hAnsi="Calibri"/>
          <w:b/>
          <w:bCs/>
          <w:color w:val="7C3AED"/>
          <w:sz w:val="22"/>
          <w:szCs w:val="22"/>
        </w:rPr>
        <w:t xml:space="preserve">Plan Asociación — $900 a $1,500 / mes</w:t>
      </w:r>
    </w:p>
    <w:p>
      <w:pPr>
        <w:spacing w:after="80" w:before="80"/>
        <w:jc w:val="both"/>
      </w:pPr>
      <w:r>
        <w:rPr>
          <w:rFonts w:ascii="Calibri" w:cs="Calibri" w:eastAsia="Calibri" w:hAnsi="Calibri"/>
          <w:b w:val="false"/>
          <w:bCs w:val="false"/>
          <w:i w:val="false"/>
          <w:iCs w:val="false"/>
          <w:color w:val="1E293B"/>
          <w:sz w:val="22"/>
          <w:szCs w:val="22"/>
        </w:rPr>
        <w:t xml:space="preserve">Solución para asociaciones médicas, redes hospitalarias o proyectos de investigación que agrupan múltiples instituciones (ej. HMEP + IHSS + Hospital Escuela + clínicas regionales). Incluye usuarios ilimitados, gestión de múltiples instituciones desde un solo panel, mapa epidemiológico nacional, 2 visitas presenciales de capacitación, soporte dedicado con respuesta en 4 horas e informes epidemiológicos consolidados. Precio final negociable según número de instituciones y volumen de pacientes.</w:t>
      </w:r>
    </w:p>
    <w:p>
      <w:r>
        <w:br w:type="page"/>
      </w:r>
    </w:p>
    <w:p>
      <w:pPr>
        <w:pStyle w:val="Heading1"/>
        <w:spacing w:after="160" w:before="360"/>
      </w:pPr>
      <w:r>
        <w:rPr>
          <w:rFonts w:ascii="Calibri" w:cs="Calibri" w:eastAsia="Calibri" w:hAnsi="Calibri"/>
          <w:b/>
          <w:bCs/>
          <w:color w:val="6366F1"/>
          <w:sz w:val="32"/>
          <w:szCs w:val="32"/>
        </w:rPr>
        <w:t xml:space="preserve">4. Opción de Licencia Única (Compra)</w:t>
      </w:r>
    </w:p>
    <w:p>
      <w:pPr>
        <w:pBdr>
          <w:bottom w:color="6366F1" w:sz="6" w:space="1"/>
        </w:pBdr>
        <w:spacing w:after="200" w:before="200"/>
      </w:pPr>
    </w:p>
    <w:p>
      <w:pPr>
        <w:spacing w:after="80" w:before="80"/>
        <w:jc w:val="both"/>
      </w:pPr>
      <w:r>
        <w:rPr>
          <w:rFonts w:ascii="Calibri" w:cs="Calibri" w:eastAsia="Calibri" w:hAnsi="Calibri"/>
          <w:b w:val="false"/>
          <w:bCs w:val="false"/>
          <w:i w:val="false"/>
          <w:iCs w:val="false"/>
          <w:color w:val="1E293B"/>
          <w:sz w:val="22"/>
          <w:szCs w:val="22"/>
        </w:rPr>
        <w:t xml:space="preserve">Para instituciones que prefieren una inversión única en lugar de pago mensual, se ofrece la venta de licencia perpetua con las siguientes condiciones:</w:t>
      </w:r>
    </w:p>
    <w:p>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6366F1" w:color="6366F1" w:val="clear"/>
            <w:tcMar>
              <w:top w:type="dxa" w:w="100"/>
              <w:left w:type="dxa" w:w="120"/>
              <w:bottom w:type="dxa" w:w="100"/>
              <w:right w:type="dxa" w:w="120"/>
            </w:tcMar>
            <w:vAlign w:val="center"/>
          </w:tcPr>
          <w:p>
            <w:pPr>
              <w:jc w:val="center"/>
            </w:pPr>
            <w:r>
              <w:rPr>
                <w:rFonts w:ascii="Calibri" w:cs="Calibri" w:eastAsia="Calibri" w:hAnsi="Calibri"/>
                <w:b/>
                <w:bCs/>
                <w:color w:val="FFFFFF"/>
                <w:sz w:val="20"/>
                <w:szCs w:val="20"/>
              </w:rPr>
              <w:t xml:space="preserve">Alcance de la Licencia</w:t>
            </w:r>
          </w:p>
        </w:tc>
        <w:tc>
          <w:tcPr>
            <w:shd w:fill="6366F1" w:color="6366F1" w:val="clear"/>
            <w:tcMar>
              <w:top w:type="dxa" w:w="100"/>
              <w:left w:type="dxa" w:w="120"/>
              <w:bottom w:type="dxa" w:w="100"/>
              <w:right w:type="dxa" w:w="120"/>
            </w:tcMar>
            <w:vAlign w:val="center"/>
          </w:tcPr>
          <w:p>
            <w:pPr>
              <w:jc w:val="center"/>
            </w:pPr>
            <w:r>
              <w:rPr>
                <w:rFonts w:ascii="Calibri" w:cs="Calibri" w:eastAsia="Calibri" w:hAnsi="Calibri"/>
                <w:b/>
                <w:bCs/>
                <w:color w:val="FFFFFF"/>
                <w:sz w:val="20"/>
                <w:szCs w:val="20"/>
              </w:rPr>
              <w:t xml:space="preserve">Precio único (USD)</w:t>
            </w:r>
          </w:p>
        </w:tc>
        <w:tc>
          <w:tcPr>
            <w:shd w:fill="6366F1" w:color="6366F1" w:val="clear"/>
            <w:tcMar>
              <w:top w:type="dxa" w:w="100"/>
              <w:left w:type="dxa" w:w="120"/>
              <w:bottom w:type="dxa" w:w="100"/>
              <w:right w:type="dxa" w:w="120"/>
            </w:tcMar>
            <w:vAlign w:val="center"/>
          </w:tcPr>
          <w:p>
            <w:pPr>
              <w:jc w:val="center"/>
            </w:pPr>
            <w:r>
              <w:rPr>
                <w:rFonts w:ascii="Calibri" w:cs="Calibri" w:eastAsia="Calibri" w:hAnsi="Calibri"/>
                <w:b/>
                <w:bCs/>
                <w:color w:val="FFFFFF"/>
                <w:sz w:val="20"/>
                <w:szCs w:val="20"/>
              </w:rPr>
              <w:t xml:space="preserve">Incluye</w:t>
            </w:r>
          </w:p>
        </w:tc>
      </w:tr>
      <w:tr>
        <w:tc>
          <w:tcPr>
            <w:shd w:fill="F8FAFC" w:color="F8FAFC" w:val="clear"/>
            <w:tcMar>
              <w:top w:type="dxa" w:w="80"/>
              <w:left w:type="dxa" w:w="120"/>
              <w:bottom w:type="dxa" w:w="80"/>
              <w:right w:type="dxa" w:w="120"/>
            </w:tcMar>
            <w:vAlign w:val="center"/>
          </w:tcPr>
          <w:p>
            <w:pPr>
              <w:jc w:val="left"/>
            </w:pPr>
            <w:r>
              <w:rPr>
                <w:rFonts w:ascii="Calibri" w:cs="Calibri" w:eastAsia="Calibri" w:hAnsi="Calibri"/>
                <w:b/>
                <w:bCs/>
                <w:color w:val="1E293B"/>
                <w:sz w:val="20"/>
                <w:szCs w:val="20"/>
              </w:rPr>
              <w:t xml:space="preserve">1 médico / consultorio privado</w:t>
            </w:r>
          </w:p>
        </w:tc>
        <w:tc>
          <w:tcPr>
            <w:shd w:fill="FFFFFF" w:color="FFFFFF" w:val="clear"/>
            <w:tcMar>
              <w:top w:type="dxa" w:w="80"/>
              <w:left w:type="dxa" w:w="120"/>
              <w:bottom w:type="dxa" w:w="80"/>
              <w:right w:type="dxa" w:w="120"/>
            </w:tcMar>
            <w:vAlign w:val="center"/>
          </w:tcPr>
          <w:p>
            <w:pPr>
              <w:jc w:val="center"/>
            </w:pPr>
            <w:r>
              <w:rPr>
                <w:rFonts w:ascii="Calibri" w:cs="Calibri" w:eastAsia="Calibri" w:hAnsi="Calibri"/>
                <w:b/>
                <w:bCs/>
                <w:color w:val="1E40AF"/>
                <w:sz w:val="20"/>
                <w:szCs w:val="20"/>
              </w:rPr>
              <w:t xml:space="preserve">$800 – $1,500</w:t>
            </w:r>
          </w:p>
        </w:tc>
        <w:tc>
          <w:tcPr>
            <w:shd w:fill="FFFFFF" w:color="FFFFFF" w:val="clear"/>
            <w:tcMar>
              <w:top w:type="dxa" w:w="80"/>
              <w:left w:type="dxa" w:w="120"/>
              <w:bottom w:type="dxa" w:w="80"/>
              <w:right w:type="dxa" w:w="120"/>
            </w:tcMar>
            <w:vAlign w:val="center"/>
          </w:tcPr>
          <w:p>
            <w:pPr>
              <w:jc w:val="left"/>
            </w:pPr>
            <w:r>
              <w:rPr>
                <w:rFonts w:ascii="Calibri" w:cs="Calibri" w:eastAsia="Calibri" w:hAnsi="Calibri"/>
                <w:b w:val="false"/>
                <w:bCs w:val="false"/>
                <w:color w:val="1E293B"/>
                <w:sz w:val="20"/>
                <w:szCs w:val="20"/>
              </w:rPr>
              <w:t xml:space="preserve">Instalación + 1 capacitación</w:t>
            </w:r>
          </w:p>
        </w:tc>
      </w:tr>
      <w:tr>
        <w:tc>
          <w:tcPr>
            <w:shd w:fill="F8FAFC" w:color="F8FAFC" w:val="clear"/>
            <w:tcMar>
              <w:top w:type="dxa" w:w="80"/>
              <w:left w:type="dxa" w:w="120"/>
              <w:bottom w:type="dxa" w:w="80"/>
              <w:right w:type="dxa" w:w="120"/>
            </w:tcMar>
            <w:vAlign w:val="center"/>
          </w:tcPr>
          <w:p>
            <w:pPr>
              <w:jc w:val="left"/>
            </w:pPr>
            <w:r>
              <w:rPr>
                <w:rFonts w:ascii="Calibri" w:cs="Calibri" w:eastAsia="Calibri" w:hAnsi="Calibri"/>
                <w:b/>
                <w:bCs/>
                <w:color w:val="1E293B"/>
                <w:sz w:val="20"/>
                <w:szCs w:val="20"/>
              </w:rPr>
              <w:t xml:space="preserve">Departamento (3–10 usuarios)</w:t>
            </w:r>
          </w:p>
        </w:tc>
        <w:tc>
          <w:tcPr>
            <w:shd w:fill="FFFFFF" w:color="FFFFFF" w:val="clear"/>
            <w:tcMar>
              <w:top w:type="dxa" w:w="80"/>
              <w:left w:type="dxa" w:w="120"/>
              <w:bottom w:type="dxa" w:w="80"/>
              <w:right w:type="dxa" w:w="120"/>
            </w:tcMar>
            <w:vAlign w:val="center"/>
          </w:tcPr>
          <w:p>
            <w:pPr>
              <w:jc w:val="center"/>
            </w:pPr>
            <w:r>
              <w:rPr>
                <w:rFonts w:ascii="Calibri" w:cs="Calibri" w:eastAsia="Calibri" w:hAnsi="Calibri"/>
                <w:b/>
                <w:bCs/>
                <w:color w:val="16A34A"/>
                <w:sz w:val="20"/>
                <w:szCs w:val="20"/>
              </w:rPr>
              <w:t xml:space="preserve">$2,500 – $4,000</w:t>
            </w:r>
          </w:p>
        </w:tc>
        <w:tc>
          <w:tcPr>
            <w:shd w:fill="FFFFFF" w:color="FFFFFF" w:val="clear"/>
            <w:tcMar>
              <w:top w:type="dxa" w:w="80"/>
              <w:left w:type="dxa" w:w="120"/>
              <w:bottom w:type="dxa" w:w="80"/>
              <w:right w:type="dxa" w:w="120"/>
            </w:tcMar>
            <w:vAlign w:val="center"/>
          </w:tcPr>
          <w:p>
            <w:pPr>
              <w:jc w:val="left"/>
            </w:pPr>
            <w:r>
              <w:rPr>
                <w:rFonts w:ascii="Calibri" w:cs="Calibri" w:eastAsia="Calibri" w:hAnsi="Calibri"/>
                <w:b w:val="false"/>
                <w:bCs w:val="false"/>
                <w:color w:val="1E293B"/>
                <w:sz w:val="20"/>
                <w:szCs w:val="20"/>
              </w:rPr>
              <w:t xml:space="preserve">Instalación + 2 capacitaciones + 6 meses de soporte</w:t>
            </w:r>
          </w:p>
        </w:tc>
      </w:tr>
      <w:tr>
        <w:tc>
          <w:tcPr>
            <w:shd w:fill="F8FAFC" w:color="F8FAFC" w:val="clear"/>
            <w:tcMar>
              <w:top w:type="dxa" w:w="80"/>
              <w:left w:type="dxa" w:w="120"/>
              <w:bottom w:type="dxa" w:w="80"/>
              <w:right w:type="dxa" w:w="120"/>
            </w:tcMar>
            <w:vAlign w:val="center"/>
          </w:tcPr>
          <w:p>
            <w:pPr>
              <w:jc w:val="left"/>
            </w:pPr>
            <w:r>
              <w:rPr>
                <w:rFonts w:ascii="Calibri" w:cs="Calibri" w:eastAsia="Calibri" w:hAnsi="Calibri"/>
                <w:b/>
                <w:bCs/>
                <w:color w:val="1E293B"/>
                <w:sz w:val="20"/>
                <w:szCs w:val="20"/>
              </w:rPr>
              <w:t xml:space="preserve">Licencia institucional completa</w:t>
            </w:r>
          </w:p>
        </w:tc>
        <w:tc>
          <w:tcPr>
            <w:shd w:fill="FFFFFF" w:color="FFFFFF" w:val="clear"/>
            <w:tcMar>
              <w:top w:type="dxa" w:w="80"/>
              <w:left w:type="dxa" w:w="120"/>
              <w:bottom w:type="dxa" w:w="80"/>
              <w:right w:type="dxa" w:w="120"/>
            </w:tcMar>
            <w:vAlign w:val="center"/>
          </w:tcPr>
          <w:p>
            <w:pPr>
              <w:jc w:val="center"/>
            </w:pPr>
            <w:r>
              <w:rPr>
                <w:rFonts w:ascii="Calibri" w:cs="Calibri" w:eastAsia="Calibri" w:hAnsi="Calibri"/>
                <w:b/>
                <w:bCs/>
                <w:color w:val="B45309"/>
                <w:sz w:val="20"/>
                <w:szCs w:val="20"/>
              </w:rPr>
              <w:t xml:space="preserve">$5,000 – $10,000</w:t>
            </w:r>
          </w:p>
        </w:tc>
        <w:tc>
          <w:tcPr>
            <w:shd w:fill="FFFFFF" w:color="FFFFFF" w:val="clear"/>
            <w:tcMar>
              <w:top w:type="dxa" w:w="80"/>
              <w:left w:type="dxa" w:w="120"/>
              <w:bottom w:type="dxa" w:w="80"/>
              <w:right w:type="dxa" w:w="120"/>
            </w:tcMar>
            <w:vAlign w:val="center"/>
          </w:tcPr>
          <w:p>
            <w:pPr>
              <w:jc w:val="left"/>
            </w:pPr>
            <w:r>
              <w:rPr>
                <w:rFonts w:ascii="Calibri" w:cs="Calibri" w:eastAsia="Calibri" w:hAnsi="Calibri"/>
                <w:b w:val="false"/>
                <w:bCs w:val="false"/>
                <w:color w:val="1E293B"/>
                <w:sz w:val="20"/>
                <w:szCs w:val="20"/>
              </w:rPr>
              <w:t xml:space="preserve">Instalación + capacitación presencial + 12 meses de soporte</w:t>
            </w:r>
          </w:p>
        </w:tc>
      </w:tr>
      <w:tr>
        <w:tc>
          <w:tcPr>
            <w:shd w:fill="F8FAFC" w:color="F8FAFC" w:val="clear"/>
            <w:tcMar>
              <w:top w:type="dxa" w:w="80"/>
              <w:left w:type="dxa" w:w="120"/>
              <w:bottom w:type="dxa" w:w="80"/>
              <w:right w:type="dxa" w:w="120"/>
            </w:tcMar>
            <w:vAlign w:val="center"/>
          </w:tcPr>
          <w:p>
            <w:pPr>
              <w:jc w:val="left"/>
            </w:pPr>
            <w:r>
              <w:rPr>
                <w:rFonts w:ascii="Calibri" w:cs="Calibri" w:eastAsia="Calibri" w:hAnsi="Calibri"/>
                <w:b/>
                <w:bCs/>
                <w:color w:val="1E293B"/>
                <w:sz w:val="20"/>
                <w:szCs w:val="20"/>
              </w:rPr>
              <w:t xml:space="preserve">Red / Asociación (multi-institución)</w:t>
            </w:r>
          </w:p>
        </w:tc>
        <w:tc>
          <w:tcPr>
            <w:shd w:fill="FFFFFF" w:color="FFFFFF" w:val="clear"/>
            <w:tcMar>
              <w:top w:type="dxa" w:w="80"/>
              <w:left w:type="dxa" w:w="120"/>
              <w:bottom w:type="dxa" w:w="80"/>
              <w:right w:type="dxa" w:w="120"/>
            </w:tcMar>
            <w:vAlign w:val="center"/>
          </w:tcPr>
          <w:p>
            <w:pPr>
              <w:jc w:val="center"/>
            </w:pPr>
            <w:r>
              <w:rPr>
                <w:rFonts w:ascii="Calibri" w:cs="Calibri" w:eastAsia="Calibri" w:hAnsi="Calibri"/>
                <w:b/>
                <w:bCs/>
                <w:color w:val="7C3AED"/>
                <w:sz w:val="20"/>
                <w:szCs w:val="20"/>
              </w:rPr>
              <w:t xml:space="preserve">$12,000 – $20,000</w:t>
            </w:r>
          </w:p>
        </w:tc>
        <w:tc>
          <w:tcPr>
            <w:shd w:fill="FFFFFF" w:color="FFFFFF" w:val="clear"/>
            <w:tcMar>
              <w:top w:type="dxa" w:w="80"/>
              <w:left w:type="dxa" w:w="120"/>
              <w:bottom w:type="dxa" w:w="80"/>
              <w:right w:type="dxa" w:w="120"/>
            </w:tcMar>
            <w:vAlign w:val="center"/>
          </w:tcPr>
          <w:p>
            <w:pPr>
              <w:jc w:val="left"/>
            </w:pPr>
            <w:r>
              <w:rPr>
                <w:rFonts w:ascii="Calibri" w:cs="Calibri" w:eastAsia="Calibri" w:hAnsi="Calibri"/>
                <w:b w:val="false"/>
                <w:bCs w:val="false"/>
                <w:color w:val="1E293B"/>
                <w:sz w:val="20"/>
                <w:szCs w:val="20"/>
              </w:rPr>
              <w:t xml:space="preserve">Instalación + 2 visitas + 12 meses de soporte dedicado</w:t>
            </w:r>
          </w:p>
        </w:tc>
      </w:tr>
    </w:tbl>
    <w:p>
      <w:r>
        <w:t xml:space="preserve"> </w:t>
      </w:r>
    </w:p>
    <w:p>
      <w:pPr>
        <w:spacing w:after="80" w:before="80"/>
        <w:jc w:val="both"/>
      </w:pPr>
      <w:r>
        <w:rPr>
          <w:rFonts w:ascii="Calibri" w:cs="Calibri" w:eastAsia="Calibri" w:hAnsi="Calibri"/>
          <w:b w:val="false"/>
          <w:bCs w:val="false"/>
          <w:i/>
          <w:iCs/>
          <w:color w:val="64748B"/>
          <w:sz w:val="22"/>
          <w:szCs w:val="22"/>
        </w:rPr>
        <w:t xml:space="preserve">Nota: La venta de licencia única no incluye actualizaciones futuras del software. Las actualizaciones anuales tienen un costo equivalente al 20% del valor de la licencia adquirida. El soporte posterior al período incluido se cotiza por separado.</w:t>
      </w:r>
    </w:p>
    <w:p>
      <w:r>
        <w:br w:type="page"/>
      </w:r>
    </w:p>
    <w:p>
      <w:pPr>
        <w:pStyle w:val="Heading1"/>
        <w:spacing w:after="160" w:before="360"/>
      </w:pPr>
      <w:r>
        <w:rPr>
          <w:rFonts w:ascii="Calibri" w:cs="Calibri" w:eastAsia="Calibri" w:hAnsi="Calibri"/>
          <w:b/>
          <w:bCs/>
          <w:color w:val="6366F1"/>
          <w:sz w:val="32"/>
          <w:szCs w:val="32"/>
        </w:rPr>
        <w:t xml:space="preserve">5. Comparativa: ¿Renta o Compra?</w:t>
      </w:r>
    </w:p>
    <w:p>
      <w:pPr>
        <w:pBdr>
          <w:bottom w:color="6366F1" w:sz="6" w:space="1"/>
        </w:pBdr>
        <w:spacing w:after="200" w:before="2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6366F1" w:color="6366F1" w:val="clear"/>
            <w:tcMar>
              <w:top w:type="dxa" w:w="100"/>
              <w:left w:type="dxa" w:w="120"/>
              <w:bottom w:type="dxa" w:w="100"/>
              <w:right w:type="dxa" w:w="120"/>
            </w:tcMar>
            <w:vAlign w:val="center"/>
          </w:tcPr>
          <w:p>
            <w:pPr>
              <w:jc w:val="center"/>
            </w:pPr>
            <w:r>
              <w:rPr>
                <w:rFonts w:ascii="Calibri" w:cs="Calibri" w:eastAsia="Calibri" w:hAnsi="Calibri"/>
                <w:b/>
                <w:bCs/>
                <w:color w:val="FFFFFF"/>
                <w:sz w:val="20"/>
                <w:szCs w:val="20"/>
              </w:rPr>
              <w:t xml:space="preserve">Factor</w:t>
            </w:r>
          </w:p>
        </w:tc>
        <w:tc>
          <w:tcPr>
            <w:shd w:fill="16A34A" w:color="16A34A" w:val="clear"/>
            <w:tcMar>
              <w:top w:type="dxa" w:w="100"/>
              <w:left w:type="dxa" w:w="120"/>
              <w:bottom w:type="dxa" w:w="100"/>
              <w:right w:type="dxa" w:w="120"/>
            </w:tcMar>
            <w:vAlign w:val="center"/>
          </w:tcPr>
          <w:p>
            <w:pPr>
              <w:jc w:val="center"/>
            </w:pPr>
            <w:r>
              <w:rPr>
                <w:rFonts w:ascii="Calibri" w:cs="Calibri" w:eastAsia="Calibri" w:hAnsi="Calibri"/>
                <w:b/>
                <w:bCs/>
                <w:color w:val="FFFFFF"/>
                <w:sz w:val="20"/>
                <w:szCs w:val="20"/>
              </w:rPr>
              <w:t xml:space="preserve">Suscripción mensual (SaaS)</w:t>
            </w:r>
          </w:p>
        </w:tc>
        <w:tc>
          <w:tcPr>
            <w:shd w:fill="1E40AF" w:color="1E40AF" w:val="clear"/>
            <w:tcMar>
              <w:top w:type="dxa" w:w="100"/>
              <w:left w:type="dxa" w:w="120"/>
              <w:bottom w:type="dxa" w:w="100"/>
              <w:right w:type="dxa" w:w="120"/>
            </w:tcMar>
            <w:vAlign w:val="center"/>
          </w:tcPr>
          <w:p>
            <w:pPr>
              <w:jc w:val="center"/>
            </w:pPr>
            <w:r>
              <w:rPr>
                <w:rFonts w:ascii="Calibri" w:cs="Calibri" w:eastAsia="Calibri" w:hAnsi="Calibri"/>
                <w:b/>
                <w:bCs/>
                <w:color w:val="FFFFFF"/>
                <w:sz w:val="20"/>
                <w:szCs w:val="20"/>
              </w:rPr>
              <w:t xml:space="preserve">Licencia única (Compra)</w:t>
            </w:r>
          </w:p>
        </w:tc>
      </w:tr>
      <w:tr>
        <w:tc>
          <w:tcPr>
            <w:shd w:fill="F8FAFC" w:color="F8FAFC" w:val="clear"/>
            <w:tcMar>
              <w:top w:type="dxa" w:w="80"/>
              <w:left w:type="dxa" w:w="120"/>
              <w:bottom w:type="dxa" w:w="80"/>
              <w:right w:type="dxa" w:w="120"/>
            </w:tcMar>
            <w:vAlign w:val="center"/>
          </w:tcPr>
          <w:p>
            <w:pPr>
              <w:jc w:val="left"/>
            </w:pPr>
            <w:r>
              <w:rPr>
                <w:rFonts w:ascii="Calibri" w:cs="Calibri" w:eastAsia="Calibri" w:hAnsi="Calibri"/>
                <w:b/>
                <w:bCs/>
                <w:color w:val="1E293B"/>
                <w:sz w:val="20"/>
                <w:szCs w:val="20"/>
              </w:rPr>
              <w:t xml:space="preserve">Inversión inicial</w:t>
            </w:r>
          </w:p>
        </w:tc>
        <w:tc>
          <w:tcPr>
            <w:shd w:fill="FFFFFF" w:color="FFFFFF" w:val="clear"/>
            <w:tcMar>
              <w:top w:type="dxa" w:w="80"/>
              <w:left w:type="dxa" w:w="120"/>
              <w:bottom w:type="dxa" w:w="80"/>
              <w:right w:type="dxa" w:w="120"/>
            </w:tcMar>
            <w:vAlign w:val="center"/>
          </w:tcPr>
          <w:p>
            <w:pPr>
              <w:jc w:val="left"/>
            </w:pPr>
            <w:r>
              <w:rPr>
                <w:rFonts w:ascii="Calibri" w:cs="Calibri" w:eastAsia="Calibri" w:hAnsi="Calibri"/>
                <w:b w:val="false"/>
                <w:bCs w:val="false"/>
                <w:color w:val="16A34A"/>
                <w:sz w:val="20"/>
                <w:szCs w:val="20"/>
              </w:rPr>
              <w:t xml:space="preserve">Muy baja (desde $80/mes)</w:t>
            </w:r>
          </w:p>
        </w:tc>
        <w:tc>
          <w:tcPr>
            <w:shd w:fill="FFFFFF" w:color="FFFFFF" w:val="clear"/>
            <w:tcMar>
              <w:top w:type="dxa" w:w="80"/>
              <w:left w:type="dxa" w:w="120"/>
              <w:bottom w:type="dxa" w:w="80"/>
              <w:right w:type="dxa" w:w="120"/>
            </w:tcMar>
            <w:vAlign w:val="center"/>
          </w:tcPr>
          <w:p>
            <w:pPr>
              <w:jc w:val="left"/>
            </w:pPr>
            <w:r>
              <w:rPr>
                <w:rFonts w:ascii="Calibri" w:cs="Calibri" w:eastAsia="Calibri" w:hAnsi="Calibri"/>
                <w:b w:val="false"/>
                <w:bCs w:val="false"/>
                <w:color w:val="DC2626"/>
                <w:sz w:val="20"/>
                <w:szCs w:val="20"/>
              </w:rPr>
              <w:t xml:space="preserve">Alta ($800 – $20,000)</w:t>
            </w:r>
          </w:p>
        </w:tc>
      </w:tr>
      <w:tr>
        <w:tc>
          <w:tcPr>
            <w:shd w:fill="F8FAFC" w:color="F8FAFC" w:val="clear"/>
            <w:tcMar>
              <w:top w:type="dxa" w:w="80"/>
              <w:left w:type="dxa" w:w="120"/>
              <w:bottom w:type="dxa" w:w="80"/>
              <w:right w:type="dxa" w:w="120"/>
            </w:tcMar>
            <w:vAlign w:val="center"/>
          </w:tcPr>
          <w:p>
            <w:pPr>
              <w:jc w:val="left"/>
            </w:pPr>
            <w:r>
              <w:rPr>
                <w:rFonts w:ascii="Calibri" w:cs="Calibri" w:eastAsia="Calibri" w:hAnsi="Calibri"/>
                <w:b/>
                <w:bCs/>
                <w:color w:val="1E293B"/>
                <w:sz w:val="20"/>
                <w:szCs w:val="20"/>
              </w:rPr>
              <w:t xml:space="preserve">Actualizaciones</w:t>
            </w:r>
          </w:p>
        </w:tc>
        <w:tc>
          <w:tcPr>
            <w:shd w:fill="FFFFFF" w:color="FFFFFF" w:val="clear"/>
            <w:tcMar>
              <w:top w:type="dxa" w:w="80"/>
              <w:left w:type="dxa" w:w="120"/>
              <w:bottom w:type="dxa" w:w="80"/>
              <w:right w:type="dxa" w:w="120"/>
            </w:tcMar>
            <w:vAlign w:val="center"/>
          </w:tcPr>
          <w:p>
            <w:pPr>
              <w:jc w:val="left"/>
            </w:pPr>
            <w:r>
              <w:rPr>
                <w:rFonts w:ascii="Calibri" w:cs="Calibri" w:eastAsia="Calibri" w:hAnsi="Calibri"/>
                <w:b w:val="false"/>
                <w:bCs w:val="false"/>
                <w:color w:val="16A34A"/>
                <w:sz w:val="20"/>
                <w:szCs w:val="20"/>
              </w:rPr>
              <w:t xml:space="preserve">Incluidas automáticamente</w:t>
            </w:r>
          </w:p>
        </w:tc>
        <w:tc>
          <w:tcPr>
            <w:shd w:fill="FFFFFF" w:color="FFFFFF" w:val="clear"/>
            <w:tcMar>
              <w:top w:type="dxa" w:w="80"/>
              <w:left w:type="dxa" w:w="120"/>
              <w:bottom w:type="dxa" w:w="80"/>
              <w:right w:type="dxa" w:w="120"/>
            </w:tcMar>
            <w:vAlign w:val="center"/>
          </w:tcPr>
          <w:p>
            <w:pPr>
              <w:jc w:val="left"/>
            </w:pPr>
            <w:r>
              <w:rPr>
                <w:rFonts w:ascii="Calibri" w:cs="Calibri" w:eastAsia="Calibri" w:hAnsi="Calibri"/>
                <w:b w:val="false"/>
                <w:bCs w:val="false"/>
                <w:color w:val="64748B"/>
                <w:sz w:val="20"/>
                <w:szCs w:val="20"/>
              </w:rPr>
              <w:t xml:space="preserve">Costo adicional anual (20%)</w:t>
            </w:r>
          </w:p>
        </w:tc>
      </w:tr>
      <w:tr>
        <w:tc>
          <w:tcPr>
            <w:shd w:fill="F8FAFC" w:color="F8FAFC" w:val="clear"/>
            <w:tcMar>
              <w:top w:type="dxa" w:w="80"/>
              <w:left w:type="dxa" w:w="120"/>
              <w:bottom w:type="dxa" w:w="80"/>
              <w:right w:type="dxa" w:w="120"/>
            </w:tcMar>
            <w:vAlign w:val="center"/>
          </w:tcPr>
          <w:p>
            <w:pPr>
              <w:jc w:val="left"/>
            </w:pPr>
            <w:r>
              <w:rPr>
                <w:rFonts w:ascii="Calibri" w:cs="Calibri" w:eastAsia="Calibri" w:hAnsi="Calibri"/>
                <w:b/>
                <w:bCs/>
                <w:color w:val="1E293B"/>
                <w:sz w:val="20"/>
                <w:szCs w:val="20"/>
              </w:rPr>
              <w:t xml:space="preserve">Hosting / servidores</w:t>
            </w:r>
          </w:p>
        </w:tc>
        <w:tc>
          <w:tcPr>
            <w:shd w:fill="FFFFFF" w:color="FFFFFF" w:val="clear"/>
            <w:tcMar>
              <w:top w:type="dxa" w:w="80"/>
              <w:left w:type="dxa" w:w="120"/>
              <w:bottom w:type="dxa" w:w="80"/>
              <w:right w:type="dxa" w:w="120"/>
            </w:tcMar>
            <w:vAlign w:val="center"/>
          </w:tcPr>
          <w:p>
            <w:pPr>
              <w:jc w:val="left"/>
            </w:pPr>
            <w:r>
              <w:rPr>
                <w:rFonts w:ascii="Calibri" w:cs="Calibri" w:eastAsia="Calibri" w:hAnsi="Calibri"/>
                <w:b w:val="false"/>
                <w:bCs w:val="false"/>
                <w:color w:val="16A34A"/>
                <w:sz w:val="20"/>
                <w:szCs w:val="20"/>
              </w:rPr>
              <w:t xml:space="preserve">Incluido en el plan</w:t>
            </w:r>
          </w:p>
        </w:tc>
        <w:tc>
          <w:tcPr>
            <w:shd w:fill="FFFFFF" w:color="FFFFFF" w:val="clear"/>
            <w:tcMar>
              <w:top w:type="dxa" w:w="80"/>
              <w:left w:type="dxa" w:w="120"/>
              <w:bottom w:type="dxa" w:w="80"/>
              <w:right w:type="dxa" w:w="120"/>
            </w:tcMar>
            <w:vAlign w:val="center"/>
          </w:tcPr>
          <w:p>
            <w:pPr>
              <w:jc w:val="left"/>
            </w:pPr>
            <w:r>
              <w:rPr>
                <w:rFonts w:ascii="Calibri" w:cs="Calibri" w:eastAsia="Calibri" w:hAnsi="Calibri"/>
                <w:b w:val="false"/>
                <w:bCs w:val="false"/>
                <w:color w:val="DC2626"/>
                <w:sz w:val="20"/>
                <w:szCs w:val="20"/>
              </w:rPr>
              <w:t xml:space="preserve">A cargo del cliente</w:t>
            </w:r>
          </w:p>
        </w:tc>
      </w:tr>
      <w:tr>
        <w:tc>
          <w:tcPr>
            <w:shd w:fill="F8FAFC" w:color="F8FAFC" w:val="clear"/>
            <w:tcMar>
              <w:top w:type="dxa" w:w="80"/>
              <w:left w:type="dxa" w:w="120"/>
              <w:bottom w:type="dxa" w:w="80"/>
              <w:right w:type="dxa" w:w="120"/>
            </w:tcMar>
            <w:vAlign w:val="center"/>
          </w:tcPr>
          <w:p>
            <w:pPr>
              <w:jc w:val="left"/>
            </w:pPr>
            <w:r>
              <w:rPr>
                <w:rFonts w:ascii="Calibri" w:cs="Calibri" w:eastAsia="Calibri" w:hAnsi="Calibri"/>
                <w:b/>
                <w:bCs/>
                <w:color w:val="1E293B"/>
                <w:sz w:val="20"/>
                <w:szCs w:val="20"/>
              </w:rPr>
              <w:t xml:space="preserve">Soporte técnico</w:t>
            </w:r>
          </w:p>
        </w:tc>
        <w:tc>
          <w:tcPr>
            <w:shd w:fill="FFFFFF" w:color="FFFFFF" w:val="clear"/>
            <w:tcMar>
              <w:top w:type="dxa" w:w="80"/>
              <w:left w:type="dxa" w:w="120"/>
              <w:bottom w:type="dxa" w:w="80"/>
              <w:right w:type="dxa" w:w="120"/>
            </w:tcMar>
            <w:vAlign w:val="center"/>
          </w:tcPr>
          <w:p>
            <w:pPr>
              <w:jc w:val="left"/>
            </w:pPr>
            <w:r>
              <w:rPr>
                <w:rFonts w:ascii="Calibri" w:cs="Calibri" w:eastAsia="Calibri" w:hAnsi="Calibri"/>
                <w:b w:val="false"/>
                <w:bCs w:val="false"/>
                <w:color w:val="16A34A"/>
                <w:sz w:val="20"/>
                <w:szCs w:val="20"/>
              </w:rPr>
              <w:t xml:space="preserve">Incluido según plan</w:t>
            </w:r>
          </w:p>
        </w:tc>
        <w:tc>
          <w:tcPr>
            <w:shd w:fill="FFFFFF" w:color="FFFFFF" w:val="clear"/>
            <w:tcMar>
              <w:top w:type="dxa" w:w="80"/>
              <w:left w:type="dxa" w:w="120"/>
              <w:bottom w:type="dxa" w:w="80"/>
              <w:right w:type="dxa" w:w="120"/>
            </w:tcMar>
            <w:vAlign w:val="center"/>
          </w:tcPr>
          <w:p>
            <w:pPr>
              <w:jc w:val="left"/>
            </w:pPr>
            <w:r>
              <w:rPr>
                <w:rFonts w:ascii="Calibri" w:cs="Calibri" w:eastAsia="Calibri" w:hAnsi="Calibri"/>
                <w:b w:val="false"/>
                <w:bCs w:val="false"/>
                <w:color w:val="64748B"/>
                <w:sz w:val="20"/>
                <w:szCs w:val="20"/>
              </w:rPr>
              <w:t xml:space="preserve">Solo durante período incluido</w:t>
            </w:r>
          </w:p>
        </w:tc>
      </w:tr>
      <w:tr>
        <w:tc>
          <w:tcPr>
            <w:shd w:fill="F8FAFC" w:color="F8FAFC" w:val="clear"/>
            <w:tcMar>
              <w:top w:type="dxa" w:w="80"/>
              <w:left w:type="dxa" w:w="120"/>
              <w:bottom w:type="dxa" w:w="80"/>
              <w:right w:type="dxa" w:w="120"/>
            </w:tcMar>
            <w:vAlign w:val="center"/>
          </w:tcPr>
          <w:p>
            <w:pPr>
              <w:jc w:val="left"/>
            </w:pPr>
            <w:r>
              <w:rPr>
                <w:rFonts w:ascii="Calibri" w:cs="Calibri" w:eastAsia="Calibri" w:hAnsi="Calibri"/>
                <w:b/>
                <w:bCs/>
                <w:color w:val="1E293B"/>
                <w:sz w:val="20"/>
                <w:szCs w:val="20"/>
              </w:rPr>
              <w:t xml:space="preserve">Aprobación presupuestaria</w:t>
            </w:r>
          </w:p>
        </w:tc>
        <w:tc>
          <w:tcPr>
            <w:shd w:fill="FFFFFF" w:color="FFFFFF" w:val="clear"/>
            <w:tcMar>
              <w:top w:type="dxa" w:w="80"/>
              <w:left w:type="dxa" w:w="120"/>
              <w:bottom w:type="dxa" w:w="80"/>
              <w:right w:type="dxa" w:w="120"/>
            </w:tcMar>
            <w:vAlign w:val="center"/>
          </w:tcPr>
          <w:p>
            <w:pPr>
              <w:jc w:val="left"/>
            </w:pPr>
            <w:r>
              <w:rPr>
                <w:rFonts w:ascii="Calibri" w:cs="Calibri" w:eastAsia="Calibri" w:hAnsi="Calibri"/>
                <w:b w:val="false"/>
                <w:bCs w:val="false"/>
                <w:color w:val="16A34A"/>
                <w:sz w:val="20"/>
                <w:szCs w:val="20"/>
              </w:rPr>
              <w:t xml:space="preserve">Gasto operativo (más fácil)</w:t>
            </w:r>
          </w:p>
        </w:tc>
        <w:tc>
          <w:tcPr>
            <w:shd w:fill="FFFFFF" w:color="FFFFFF" w:val="clear"/>
            <w:tcMar>
              <w:top w:type="dxa" w:w="80"/>
              <w:left w:type="dxa" w:w="120"/>
              <w:bottom w:type="dxa" w:w="80"/>
              <w:right w:type="dxa" w:w="120"/>
            </w:tcMar>
            <w:vAlign w:val="center"/>
          </w:tcPr>
          <w:p>
            <w:pPr>
              <w:jc w:val="left"/>
            </w:pPr>
            <w:r>
              <w:rPr>
                <w:rFonts w:ascii="Calibri" w:cs="Calibri" w:eastAsia="Calibri" w:hAnsi="Calibri"/>
                <w:b w:val="false"/>
                <w:bCs w:val="false"/>
                <w:color w:val="64748B"/>
                <w:sz w:val="20"/>
                <w:szCs w:val="20"/>
              </w:rPr>
              <w:t xml:space="preserve">Gasto de capital (más complejo)</w:t>
            </w:r>
          </w:p>
        </w:tc>
      </w:tr>
      <w:tr>
        <w:tc>
          <w:tcPr>
            <w:shd w:fill="F8FAFC" w:color="F8FAFC" w:val="clear"/>
            <w:tcMar>
              <w:top w:type="dxa" w:w="80"/>
              <w:left w:type="dxa" w:w="120"/>
              <w:bottom w:type="dxa" w:w="80"/>
              <w:right w:type="dxa" w:w="120"/>
            </w:tcMar>
            <w:vAlign w:val="center"/>
          </w:tcPr>
          <w:p>
            <w:pPr>
              <w:jc w:val="left"/>
            </w:pPr>
            <w:r>
              <w:rPr>
                <w:rFonts w:ascii="Calibri" w:cs="Calibri" w:eastAsia="Calibri" w:hAnsi="Calibri"/>
                <w:b/>
                <w:bCs/>
                <w:color w:val="1E293B"/>
                <w:sz w:val="20"/>
                <w:szCs w:val="20"/>
              </w:rPr>
              <w:t xml:space="preserve">Flexibilidad</w:t>
            </w:r>
          </w:p>
        </w:tc>
        <w:tc>
          <w:tcPr>
            <w:shd w:fill="FFFFFF" w:color="FFFFFF" w:val="clear"/>
            <w:tcMar>
              <w:top w:type="dxa" w:w="80"/>
              <w:left w:type="dxa" w:w="120"/>
              <w:bottom w:type="dxa" w:w="80"/>
              <w:right w:type="dxa" w:w="120"/>
            </w:tcMar>
            <w:vAlign w:val="center"/>
          </w:tcPr>
          <w:p>
            <w:pPr>
              <w:jc w:val="left"/>
            </w:pPr>
            <w:r>
              <w:rPr>
                <w:rFonts w:ascii="Calibri" w:cs="Calibri" w:eastAsia="Calibri" w:hAnsi="Calibri"/>
                <w:b w:val="false"/>
                <w:bCs w:val="false"/>
                <w:color w:val="16A34A"/>
                <w:sz w:val="20"/>
                <w:szCs w:val="20"/>
              </w:rPr>
              <w:t xml:space="preserve">Alta: se puede pausar o cancelar</w:t>
            </w:r>
          </w:p>
        </w:tc>
        <w:tc>
          <w:tcPr>
            <w:shd w:fill="FFFFFF" w:color="FFFFFF" w:val="clear"/>
            <w:tcMar>
              <w:top w:type="dxa" w:w="80"/>
              <w:left w:type="dxa" w:w="120"/>
              <w:bottom w:type="dxa" w:w="80"/>
              <w:right w:type="dxa" w:w="120"/>
            </w:tcMar>
            <w:vAlign w:val="center"/>
          </w:tcPr>
          <w:p>
            <w:pPr>
              <w:jc w:val="left"/>
            </w:pPr>
            <w:r>
              <w:rPr>
                <w:rFonts w:ascii="Calibri" w:cs="Calibri" w:eastAsia="Calibri" w:hAnsi="Calibri"/>
                <w:b w:val="false"/>
                <w:bCs w:val="false"/>
                <w:color w:val="64748B"/>
                <w:sz w:val="20"/>
                <w:szCs w:val="20"/>
              </w:rPr>
              <w:t xml:space="preserve">Baja: pago único sin reversión</w:t>
            </w:r>
          </w:p>
        </w:tc>
      </w:tr>
      <w:tr>
        <w:tc>
          <w:tcPr>
            <w:shd w:fill="F8FAFC" w:color="F8FAFC" w:val="clear"/>
            <w:tcMar>
              <w:top w:type="dxa" w:w="80"/>
              <w:left w:type="dxa" w:w="120"/>
              <w:bottom w:type="dxa" w:w="80"/>
              <w:right w:type="dxa" w:w="120"/>
            </w:tcMar>
            <w:vAlign w:val="center"/>
          </w:tcPr>
          <w:p>
            <w:pPr>
              <w:jc w:val="left"/>
            </w:pPr>
            <w:r>
              <w:rPr>
                <w:rFonts w:ascii="Calibri" w:cs="Calibri" w:eastAsia="Calibri" w:hAnsi="Calibri"/>
                <w:b/>
                <w:bCs/>
                <w:color w:val="1E293B"/>
                <w:sz w:val="20"/>
                <w:szCs w:val="20"/>
              </w:rPr>
              <w:t xml:space="preserve">Recomendado para</w:t>
            </w:r>
          </w:p>
        </w:tc>
        <w:tc>
          <w:tcPr>
            <w:shd w:fill="FFFFFF" w:color="FFFFFF" w:val="clear"/>
            <w:tcMar>
              <w:top w:type="dxa" w:w="80"/>
              <w:left w:type="dxa" w:w="120"/>
              <w:bottom w:type="dxa" w:w="80"/>
              <w:right w:type="dxa" w:w="120"/>
            </w:tcMar>
            <w:vAlign w:val="center"/>
          </w:tcPr>
          <w:p>
            <w:pPr>
              <w:jc w:val="left"/>
            </w:pPr>
            <w:r>
              <w:rPr>
                <w:rFonts w:ascii="Calibri" w:cs="Calibri" w:eastAsia="Calibri" w:hAnsi="Calibri"/>
                <w:b w:val="false"/>
                <w:bCs w:val="false"/>
                <w:color w:val="16A34A"/>
                <w:sz w:val="20"/>
                <w:szCs w:val="20"/>
              </w:rPr>
              <w:t xml:space="preserve">Hospitales, clínicas, asociaciones</w:t>
            </w:r>
          </w:p>
        </w:tc>
        <w:tc>
          <w:tcPr>
            <w:shd w:fill="FFFFFF" w:color="FFFFFF" w:val="clear"/>
            <w:tcMar>
              <w:top w:type="dxa" w:w="80"/>
              <w:left w:type="dxa" w:w="120"/>
              <w:bottom w:type="dxa" w:w="80"/>
              <w:right w:type="dxa" w:w="120"/>
            </w:tcMar>
            <w:vAlign w:val="center"/>
          </w:tcPr>
          <w:p>
            <w:pPr>
              <w:jc w:val="left"/>
            </w:pPr>
            <w:r>
              <w:rPr>
                <w:rFonts w:ascii="Calibri" w:cs="Calibri" w:eastAsia="Calibri" w:hAnsi="Calibri"/>
                <w:b w:val="false"/>
                <w:bCs w:val="false"/>
                <w:color w:val="1E40AF"/>
                <w:sz w:val="20"/>
                <w:szCs w:val="20"/>
              </w:rPr>
              <w:t xml:space="preserve">Proyectos con financiamiento único (OPS, BID, etc.)</w:t>
            </w:r>
          </w:p>
        </w:tc>
      </w:tr>
    </w:tbl>
    <w:p>
      <w:r>
        <w:t xml:space="preserve">  </w:t>
      </w:r>
    </w:p>
    <w:p>
      <w:pPr>
        <w:spacing w:after="80" w:before="80"/>
        <w:jc w:val="both"/>
      </w:pPr>
      <w:r>
        <w:rPr>
          <w:rFonts w:ascii="Calibri" w:cs="Calibri" w:eastAsia="Calibri" w:hAnsi="Calibri"/>
          <w:b/>
          <w:bCs/>
          <w:i w:val="false"/>
          <w:iCs w:val="false"/>
          <w:color w:val="6366F1"/>
          <w:sz w:val="22"/>
          <w:szCs w:val="22"/>
        </w:rPr>
        <w:t xml:space="preserve">Recomendación: Para el Hospital Escuela Universitario, el modelo de suscripción mensual (Plan Profesional o Institucional) es la opción más conveniente. Facilita la aprobación presupuestaria como gasto operativo, incluye soporte y actualizaciones, y no requiere infraestructura tecnológica adicional.</w:t>
      </w:r>
    </w:p>
    <w:p>
      <w:r>
        <w:br w:type="page"/>
      </w:r>
    </w:p>
    <w:p>
      <w:pPr>
        <w:pStyle w:val="Heading1"/>
        <w:spacing w:after="160" w:before="360"/>
      </w:pPr>
      <w:r>
        <w:rPr>
          <w:rFonts w:ascii="Calibri" w:cs="Calibri" w:eastAsia="Calibri" w:hAnsi="Calibri"/>
          <w:b/>
          <w:bCs/>
          <w:color w:val="6366F1"/>
          <w:sz w:val="32"/>
          <w:szCs w:val="32"/>
        </w:rPr>
        <w:t xml:space="preserve">6. Propuesta de Inicio: Piloto Gratuito</w:t>
      </w:r>
    </w:p>
    <w:p>
      <w:pPr>
        <w:pBdr>
          <w:bottom w:color="6366F1" w:sz="6" w:space="1"/>
        </w:pBdr>
        <w:spacing w:after="200" w:before="200"/>
      </w:pPr>
    </w:p>
    <w:p>
      <w:pPr>
        <w:spacing w:after="80" w:before="80"/>
        <w:jc w:val="both"/>
      </w:pPr>
      <w:r>
        <w:rPr>
          <w:rFonts w:ascii="Calibri" w:cs="Calibri" w:eastAsia="Calibri" w:hAnsi="Calibri"/>
          <w:b w:val="false"/>
          <w:bCs w:val="false"/>
          <w:i w:val="false"/>
          <w:iCs w:val="false"/>
          <w:color w:val="1E293B"/>
          <w:sz w:val="22"/>
          <w:szCs w:val="22"/>
        </w:rPr>
        <w:t xml:space="preserve">Para facilitar la adopción del sistema en el Hospital Escuela Universitario, se propone un período de prueba gratuito de 30 días con acceso completo al Plan Profesional, sin necesidad de datos de pago ni compromiso de continuidad.</w:t>
      </w:r>
    </w:p>
    <w:p>
      <w:r>
        <w:t xml:space="preserve"> </w:t>
      </w:r>
    </w:p>
    <w:p>
      <w:pPr>
        <w:spacing w:after="80" w:before="80"/>
        <w:jc w:val="both"/>
      </w:pPr>
      <w:r>
        <w:rPr>
          <w:rFonts w:ascii="Calibri" w:cs="Calibri" w:eastAsia="Calibri" w:hAnsi="Calibri"/>
          <w:b w:val="false"/>
          <w:bCs w:val="false"/>
          <w:i w:val="false"/>
          <w:iCs w:val="false"/>
          <w:color w:val="1E293B"/>
          <w:sz w:val="22"/>
          <w:szCs w:val="22"/>
        </w:rPr>
        <w:t xml:space="preserve">Durante el piloto, el equipo de endocrinología podrá:</w:t>
      </w:r>
    </w:p>
    <w:p>
      <w:pPr>
        <w:pStyle w:val="ListParagraph"/>
        <w:numPr>
          <w:ilvl w:val="0"/>
          <w:numId w:val="1"/>
        </w:numPr>
        <w:spacing w:after="60" w:before="60"/>
      </w:pPr>
      <w:r>
        <w:rPr>
          <w:rFonts w:ascii="Calibri" w:cs="Calibri" w:eastAsia="Calibri" w:hAnsi="Calibri"/>
          <w:b w:val="false"/>
          <w:bCs w:val="false"/>
          <w:color w:val="1E293B"/>
          <w:sz w:val="21"/>
          <w:szCs w:val="21"/>
        </w:rPr>
        <w:t xml:space="preserve">Registrar sus pacientes actuales con datos reales.</w:t>
      </w:r>
    </w:p>
    <w:p>
      <w:pPr>
        <w:pStyle w:val="ListParagraph"/>
        <w:numPr>
          <w:ilvl w:val="0"/>
          <w:numId w:val="1"/>
        </w:numPr>
        <w:spacing w:after="60" w:before="60"/>
      </w:pPr>
      <w:r>
        <w:rPr>
          <w:rFonts w:ascii="Calibri" w:cs="Calibri" w:eastAsia="Calibri" w:hAnsi="Calibri"/>
          <w:b w:val="false"/>
          <w:bCs w:val="false"/>
          <w:color w:val="1E293B"/>
          <w:sz w:val="21"/>
          <w:szCs w:val="21"/>
        </w:rPr>
        <w:t xml:space="preserve">Subir reportes PDF del monitor Syai X1 y verificar el parseo automático.</w:t>
      </w:r>
    </w:p>
    <w:p>
      <w:pPr>
        <w:pStyle w:val="ListParagraph"/>
        <w:numPr>
          <w:ilvl w:val="0"/>
          <w:numId w:val="1"/>
        </w:numPr>
        <w:spacing w:after="60" w:before="60"/>
      </w:pPr>
      <w:r>
        <w:rPr>
          <w:rFonts w:ascii="Calibri" w:cs="Calibri" w:eastAsia="Calibri" w:hAnsi="Calibri"/>
          <w:b w:val="false"/>
          <w:bCs w:val="false"/>
          <w:color w:val="1E293B"/>
          <w:sz w:val="21"/>
          <w:szCs w:val="21"/>
        </w:rPr>
        <w:t xml:space="preserve">Explorar el mapa epidemiológico con los datos ingresados.</w:t>
      </w:r>
    </w:p>
    <w:p>
      <w:pPr>
        <w:pStyle w:val="ListParagraph"/>
        <w:numPr>
          <w:ilvl w:val="0"/>
          <w:numId w:val="1"/>
        </w:numPr>
        <w:spacing w:after="60" w:before="60"/>
      </w:pPr>
      <w:r>
        <w:rPr>
          <w:rFonts w:ascii="Calibri" w:cs="Calibri" w:eastAsia="Calibri" w:hAnsi="Calibri"/>
          <w:b w:val="false"/>
          <w:bCs w:val="false"/>
          <w:color w:val="1E293B"/>
          <w:sz w:val="21"/>
          <w:szCs w:val="21"/>
        </w:rPr>
        <w:t xml:space="preserve">Enviar mensajes de WhatsApp a pacientes de prueba.</w:t>
      </w:r>
    </w:p>
    <w:p>
      <w:pPr>
        <w:pStyle w:val="ListParagraph"/>
        <w:numPr>
          <w:ilvl w:val="0"/>
          <w:numId w:val="1"/>
        </w:numPr>
        <w:spacing w:after="60" w:before="60"/>
      </w:pPr>
      <w:r>
        <w:rPr>
          <w:rFonts w:ascii="Calibri" w:cs="Calibri" w:eastAsia="Calibri" w:hAnsi="Calibri"/>
          <w:b w:val="false"/>
          <w:bCs w:val="false"/>
          <w:color w:val="1E293B"/>
          <w:sz w:val="21"/>
          <w:szCs w:val="21"/>
        </w:rPr>
        <w:t xml:space="preserve">Capacitación inicial incluida (1 sesión virtual de 2 horas).</w:t>
      </w:r>
    </w:p>
    <w:p>
      <w:r>
        <w:t xml:space="preserve"> </w:t>
      </w:r>
    </w:p>
    <w:p>
      <w:pPr>
        <w:spacing w:after="80" w:before="80"/>
        <w:jc w:val="both"/>
      </w:pPr>
      <w:r>
        <w:rPr>
          <w:rFonts w:ascii="Calibri" w:cs="Calibri" w:eastAsia="Calibri" w:hAnsi="Calibri"/>
          <w:b w:val="false"/>
          <w:bCs w:val="false"/>
          <w:i w:val="false"/>
          <w:iCs w:val="false"/>
          <w:color w:val="1E293B"/>
          <w:sz w:val="22"/>
          <w:szCs w:val="22"/>
        </w:rPr>
        <w:t xml:space="preserve">Al finalizar el piloto, el equipo médico tendrá elementos concretos para evaluar el valor del sistema y tomar una decisión informada sobre la suscripción.</w:t>
      </w:r>
    </w:p>
    <w:p>
      <w:r>
        <w:t xml:space="preserve">  </w:t>
      </w:r>
    </w:p>
    <w:p>
      <w:pPr>
        <w:pStyle w:val="Heading1"/>
        <w:spacing w:after="160" w:before="360"/>
      </w:pPr>
      <w:r>
        <w:rPr>
          <w:rFonts w:ascii="Calibri" w:cs="Calibri" w:eastAsia="Calibri" w:hAnsi="Calibri"/>
          <w:b/>
          <w:bCs/>
          <w:color w:val="6366F1"/>
          <w:sz w:val="32"/>
          <w:szCs w:val="32"/>
        </w:rPr>
        <w:t xml:space="preserve">7. Contacto y Siguiente Paso</w:t>
      </w:r>
    </w:p>
    <w:p>
      <w:pPr>
        <w:pBdr>
          <w:bottom w:color="6366F1" w:sz="6" w:space="1"/>
        </w:pBdr>
        <w:spacing w:after="200" w:before="200"/>
      </w:pPr>
    </w:p>
    <w:p>
      <w:pPr>
        <w:spacing w:after="80" w:before="80"/>
        <w:jc w:val="both"/>
      </w:pPr>
      <w:r>
        <w:rPr>
          <w:rFonts w:ascii="Calibri" w:cs="Calibri" w:eastAsia="Calibri" w:hAnsi="Calibri"/>
          <w:b w:val="false"/>
          <w:bCs w:val="false"/>
          <w:i w:val="false"/>
          <w:iCs w:val="false"/>
          <w:color w:val="1E293B"/>
          <w:sz w:val="22"/>
          <w:szCs w:val="22"/>
        </w:rPr>
        <w:t xml:space="preserve">Para agendar una demostración en vivo del sistema, solicitar el período de piloto gratuito o negociar condiciones específicas para el Hospital Escuela Universitario, por favor comunicarse a:</w:t>
      </w:r>
    </w:p>
    <w:p>
      <w:r>
        <w:t xml:space="preserve"> </w:t>
      </w:r>
    </w:p>
    <w:p>
      <w:pPr>
        <w:spacing w:after="80" w:before="80"/>
        <w:jc w:val="both"/>
      </w:pPr>
      <w:r>
        <w:rPr>
          <w:rFonts w:ascii="Calibri" w:cs="Calibri" w:eastAsia="Calibri" w:hAnsi="Calibri"/>
          <w:b w:val="false"/>
          <w:bCs w:val="false"/>
          <w:i w:val="false"/>
          <w:iCs w:val="false"/>
          <w:color w:val="1E293B"/>
          <w:sz w:val="22"/>
          <w:szCs w:val="22"/>
        </w:rPr>
        <w:t xml:space="preserve">El equipo de Evolución Metabólica está disponible para adaptar cualquier plan a las necesidades específicas del Departamento de Endocrinología Pediátrica.</w:t>
      </w:r>
    </w:p>
    <w:p>
      <w:r>
        <w:t xml:space="preserve">   </w:t>
      </w:r>
    </w:p>
    <w:p>
      <w:pPr>
        <w:spacing w:after="80" w:before="80"/>
        <w:jc w:val="center"/>
      </w:pPr>
      <w:r>
        <w:rPr>
          <w:rFonts w:ascii="Calibri" w:cs="Calibri" w:eastAsia="Calibri" w:hAnsi="Calibri"/>
          <w:b w:val="false"/>
          <w:bCs w:val="false"/>
          <w:i w:val="false"/>
          <w:iCs w:val="false"/>
          <w:color w:val="64748B"/>
          <w:sz w:val="22"/>
          <w:szCs w:val="22"/>
        </w:rPr>
        <w:t xml:space="preserve">─────────────────────────────────────────────────────────────</w:t>
      </w:r>
    </w:p>
    <w:p>
      <w:pPr>
        <w:spacing w:after="80" w:before="80"/>
        <w:jc w:val="center"/>
      </w:pPr>
      <w:r>
        <w:rPr>
          <w:rFonts w:ascii="Calibri" w:cs="Calibri" w:eastAsia="Calibri" w:hAnsi="Calibri"/>
          <w:b w:val="false"/>
          <w:bCs w:val="false"/>
          <w:i/>
          <w:iCs/>
          <w:color w:val="64748B"/>
          <w:sz w:val="22"/>
          <w:szCs w:val="22"/>
        </w:rPr>
        <w:t xml:space="preserve">© 2026 Evolución Metabólica — Todos los derechos reservados</w:t>
      </w:r>
    </w:p>
    <w:sectPr>
      <w:pgSz w:w="11906" w:h="16838" w:orient="portrait"/>
      <w:pgMar w:top="1440" w:right="1727" w:bottom="1440" w:left="172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93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Propuesta Comercial — Sistema Evolución Metabólica</dc:title>
  <dc:creator>Evolución Metabólica</dc:creator>
  <dc:description>Propuesta para gestión de pacientes con diabetes usando MCG</dc:description>
  <cp:lastModifiedBy>Un-named</cp:lastModifiedBy>
  <cp:revision>1</cp:revision>
  <dcterms:created xsi:type="dcterms:W3CDTF">2026-04-29T02:20:41.046Z</dcterms:created>
  <dcterms:modified xsi:type="dcterms:W3CDTF">2026-04-29T02:20:41.047Z</dcterms:modified>
</cp:coreProperties>
</file>

<file path=docProps/custom.xml><?xml version="1.0" encoding="utf-8"?>
<Properties xmlns="http://schemas.openxmlformats.org/officeDocument/2006/custom-properties" xmlns:vt="http://schemas.openxmlformats.org/officeDocument/2006/docPropsVTypes"/>
</file>