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Times New Roman" w:cs="Times New Roman" w:eastAsia="Times New Roman" w:hAnsi="Times New Roman"/>
          <w:b/>
          <w:bCs/>
          <w:color w:val="1F3864"/>
          <w:sz w:val="26"/>
          <w:szCs w:val="26"/>
        </w:rPr>
        <w:t xml:space="preserve">UNIVERSIDAD MARIANO GÁLVEZ DE GUATEMALA</w:t>
      </w:r>
    </w:p>
    <w:p>
      <w:pPr>
        <w:spacing w:after="600"/>
        <w:jc w:val="center"/>
      </w:pPr>
      <w:r>
        <w:rPr>
          <w:rFonts w:ascii="Times New Roman" w:cs="Times New Roman" w:eastAsia="Times New Roman" w:hAnsi="Times New Roman"/>
          <w:color w:val="1F3864"/>
          <w:sz w:val="22"/>
          <w:szCs w:val="22"/>
        </w:rPr>
        <w:t xml:space="preserve">FACULTAD DE INGENIERÍA EN SISTEMAS</w:t>
      </w:r>
    </w:p>
    <w:p>
      <w:pPr>
        <w:spacing w:after="160"/>
        <w:jc w:val="center"/>
      </w:pPr>
      <w:r>
        <w:rPr>
          <w:rFonts w:ascii="Times New Roman" w:cs="Times New Roman" w:eastAsia="Times New Roman" w:hAnsi="Times New Roman"/>
          <w:b/>
          <w:bCs/>
          <w:color w:val="555555"/>
          <w:sz w:val="22"/>
          <w:szCs w:val="22"/>
        </w:rPr>
        <w:t xml:space="preserve">TERCER ENTREGABLE</w:t>
      </w:r>
    </w:p>
    <w:p>
      <w:pPr>
        <w:spacing w:after="120"/>
        <w:jc w:val="center"/>
      </w:pPr>
      <w:r>
        <w:rPr>
          <w:rFonts w:ascii="Times New Roman" w:cs="Times New Roman" w:eastAsia="Times New Roman" w:hAnsi="Times New Roman"/>
          <w:b/>
          <w:bCs/>
          <w:color w:val="1F3864"/>
          <w:sz w:val="30"/>
          <w:szCs w:val="30"/>
        </w:rPr>
        <w:t xml:space="preserve">CAPÍTULO IV: ESPECIFICACIÓN DE REQUERIMIENTOS Y PROPUESTA DE LA SOLUCIÓN</w:t>
      </w:r>
    </w:p>
    <w:p>
      <w:pPr>
        <w:spacing w:after="600"/>
        <w:jc w:val="center"/>
      </w:pPr>
      <w:r>
        <w:rPr>
          <w:rFonts w:ascii="Times New Roman" w:cs="Times New Roman" w:eastAsia="Times New Roman" w:hAnsi="Times New Roman"/>
          <w:i/>
          <w:iCs/>
          <w:sz w:val="24"/>
          <w:szCs w:val="24"/>
        </w:rPr>
        <w:t xml:space="preserve">Desarrollo de un Sistema Web para la Gestión de Incidencias y Mantenimiento Predictivo en Server Guatemala</w:t>
      </w:r>
    </w:p>
    <w:p>
      <w:pPr>
        <w:spacing w:after="100"/>
        <w:jc w:val="center"/>
      </w:pPr>
      <w:r>
        <w:rPr>
          <w:rFonts w:ascii="Times New Roman" w:cs="Times New Roman" w:eastAsia="Times New Roman" w:hAnsi="Times New Roman"/>
          <w:sz w:val="22"/>
          <w:szCs w:val="22"/>
        </w:rPr>
        <w:t xml:space="preserve">Guatemala, junio 2026</w:t>
      </w:r>
    </w:p>
    <w:p>
      <w:r>
        <w:br w:type="page"/>
      </w:r>
    </w:p>
    <w:p>
      <w:pPr>
        <w:pStyle w:val="Heading1"/>
        <w:spacing w:after="200" w:before="240"/>
      </w:pPr>
      <w:r>
        <w:rPr>
          <w:rFonts w:ascii="Times New Roman" w:cs="Times New Roman" w:eastAsia="Times New Roman" w:hAnsi="Times New Roman"/>
          <w:b/>
          <w:bCs/>
          <w:color w:val="1F3864"/>
          <w:sz w:val="30"/>
          <w:szCs w:val="30"/>
        </w:rPr>
        <w:t xml:space="preserve">Nota sobre la incorporación de correcciones</w:t>
      </w:r>
    </w:p>
    <w:p>
      <w:pPr>
        <w:spacing w:after="120" w:line="276"/>
        <w:jc w:val="both"/>
      </w:pPr>
      <w:r>
        <w:rPr>
          <w:rFonts w:ascii="Times New Roman" w:cs="Times New Roman" w:eastAsia="Times New Roman" w:hAnsi="Times New Roman"/>
          <w:sz w:val="24"/>
          <w:szCs w:val="24"/>
        </w:rPr>
        <w:t xml:space="preserve">El presente capítulo integra las observaciones formuladas en la revisión del entregable anterior. De manera específica, se incorporaron los siguientes ajustes: (1) se precisó el funcionamiento del componente predictivo mediante la descripción detallada de sus entradas, proceso y salidas (sección 4.6); (2) se justificaron los criterios utilizados para determinar riesgos y generar alertas, definiendo umbrales medibles y su fundamento (sección 4.6.2); (3) se diferenciaron explícitamente las reglas del negocio de las restricciones de la solución, presentándolas en apartados y nomenclaturas independientes (secciones 4.3 y 4.4); y (4) se aseguró que cada requerimiento, funcional y no funcional, incluya un criterio de aceptación verificable mediante pruebas (secciones 4.5 y 4.6).</w:t>
      </w:r>
    </w:p>
    <w:p>
      <w:pPr>
        <w:spacing w:after="160" w:line="276"/>
        <w:jc w:val="both"/>
      </w:pPr>
      <w:r>
        <w:rPr>
          <w:rFonts w:ascii="Times New Roman" w:cs="Times New Roman" w:eastAsia="Times New Roman" w:hAnsi="Times New Roman"/>
          <w:sz w:val="24"/>
          <w:szCs w:val="24"/>
        </w:rPr>
        <w:t xml:space="preserve">Asimismo, se conserva la coherencia entre las características de la solución, las reglas del negocio y los requerimientos, la cual se comprueba mediante la matriz de trazabilidad presentada en la sección 4.9.</w:t>
      </w:r>
    </w:p>
    <w:p>
      <w:r>
        <w:br w:type="page"/>
      </w:r>
    </w:p>
    <w:p>
      <w:pPr>
        <w:pStyle w:val="Heading1"/>
        <w:spacing w:after="200" w:before="240"/>
      </w:pPr>
      <w:r>
        <w:rPr>
          <w:rFonts w:ascii="Times New Roman" w:cs="Times New Roman" w:eastAsia="Times New Roman" w:hAnsi="Times New Roman"/>
          <w:b/>
          <w:bCs/>
          <w:color w:val="1F3864"/>
          <w:sz w:val="30"/>
          <w:szCs w:val="30"/>
        </w:rPr>
        <w:t xml:space="preserve">4.1 Introducción del capítulo</w:t>
      </w:r>
    </w:p>
    <w:p>
      <w:pPr>
        <w:spacing w:after="160" w:line="276"/>
        <w:jc w:val="both"/>
      </w:pPr>
      <w:r>
        <w:rPr>
          <w:rFonts w:ascii="Times New Roman" w:cs="Times New Roman" w:eastAsia="Times New Roman" w:hAnsi="Times New Roman"/>
          <w:sz w:val="24"/>
          <w:szCs w:val="24"/>
        </w:rPr>
        <w:t xml:space="preserve">En este capítulo se presenta la especificación de requerimientos del sistema web para la gestión de incidencias y mantenimiento predictivo propuesto para Server Guatemala. A partir del análisis realizado en el marco metodológico, se definen las características de la solución, las reglas del negocio, las restricciones, los requerimientos funcionales y no funcionales, así como el funcionamiento del componente predictivo. También se describen las herramientas de desarrollo y la infraestructura tecnológica necesarias, y se establece la matriz de trazabilidad que vincula las necesidades identificadas con los elementos de la solución.</w:t>
      </w:r>
    </w:p>
    <w:p>
      <w:pPr>
        <w:spacing w:after="160" w:line="276"/>
        <w:jc w:val="both"/>
      </w:pPr>
      <w:r>
        <w:rPr>
          <w:rFonts w:ascii="Times New Roman" w:cs="Times New Roman" w:eastAsia="Times New Roman" w:hAnsi="Times New Roman"/>
          <w:sz w:val="24"/>
          <w:szCs w:val="24"/>
        </w:rPr>
        <w:t xml:space="preserve">Para garantizar la verificabilidad, cada requerimiento se redacta de forma específica, medible y comprobable, y se le asocia un criterio de aceptación que podrá evaluarse durante la fase de pruebas del sistema (sección 3.8.6 del marco metodológico).</w:t>
      </w:r>
    </w:p>
    <w:p>
      <w:pPr>
        <w:pStyle w:val="Heading1"/>
        <w:spacing w:after="200" w:before="240"/>
      </w:pPr>
      <w:r>
        <w:rPr>
          <w:rFonts w:ascii="Times New Roman" w:cs="Times New Roman" w:eastAsia="Times New Roman" w:hAnsi="Times New Roman"/>
          <w:b/>
          <w:bCs/>
          <w:color w:val="1F3864"/>
          <w:sz w:val="30"/>
          <w:szCs w:val="30"/>
        </w:rPr>
        <w:t xml:space="preserve">4.2 Características de la solución</w:t>
      </w:r>
    </w:p>
    <w:p>
      <w:pPr>
        <w:spacing w:after="120" w:line="276"/>
        <w:jc w:val="both"/>
      </w:pPr>
      <w:r>
        <w:rPr>
          <w:rFonts w:ascii="Times New Roman" w:cs="Times New Roman" w:eastAsia="Times New Roman" w:hAnsi="Times New Roman"/>
          <w:sz w:val="24"/>
          <w:szCs w:val="24"/>
        </w:rPr>
        <w:t xml:space="preserve">Las características describen las capacidades generales que la solución debe ofrecer para atender las necesidades detectadas en Server Guatemala. Constituyen el nivel más alto de la especificación y sirven como origen para la definición de reglas del negocio y requerimientos.</w:t>
      </w:r>
    </w:p>
    <w:p>
      <w:pPr>
        <w:spacing w:after="60" w:line="276"/>
        <w:jc w:val="left"/>
      </w:pPr>
      <w:r>
        <w:rPr>
          <w:rFonts w:ascii="Times New Roman" w:cs="Times New Roman" w:eastAsia="Times New Roman" w:hAnsi="Times New Roman"/>
          <w:b/>
          <w:bCs/>
          <w:sz w:val="22"/>
          <w:szCs w:val="22"/>
        </w:rPr>
        <w:t xml:space="preserve">Tabla 14</w:t>
      </w:r>
    </w:p>
    <w:p>
      <w:pPr>
        <w:spacing w:after="60" w:line="276"/>
        <w:jc w:val="left"/>
      </w:pPr>
      <w:r>
        <w:rPr>
          <w:rFonts w:ascii="Times New Roman" w:cs="Times New Roman" w:eastAsia="Times New Roman" w:hAnsi="Times New Roman"/>
          <w:b/>
          <w:bCs/>
          <w:sz w:val="22"/>
          <w:szCs w:val="22"/>
        </w:rPr>
        <w:t xml:space="preserve">Características de la solución propuesta</w:t>
      </w:r>
    </w:p>
    <w:tbl>
      <w:tblPr>
        <w:tblW w:type="dxa" w:w="9360"/>
        <w:tblBorders>
          <w:top w:val="single" w:color="AAB4C8" w:sz="4"/>
          <w:left w:val="single" w:color="AAB4C8" w:sz="4"/>
          <w:bottom w:val="single" w:color="AAB4C8" w:sz="4"/>
          <w:right w:val="single" w:color="AAB4C8" w:sz="4"/>
          <w:insideH w:val="single" w:color="C8D0DE" w:sz="2"/>
          <w:insideV w:val="single" w:color="C8D0DE" w:sz="2"/>
        </w:tblBorders>
        <w:tblLayout w:type="fixed"/>
      </w:tblPr>
      <w:tblGrid>
        <w:gridCol w:w="1300"/>
        <w:gridCol w:w="4460"/>
        <w:gridCol w:w="3600"/>
      </w:tblGrid>
      <w:tr>
        <w:trPr>
          <w:tblHeader/>
        </w:trPr>
        <w:tc>
          <w:tcPr>
            <w:tcW w:type="dxa" w:w="1300"/>
            <w:shd w:fill="1F3864"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color w:val="FFFFFF"/>
                <w:sz w:val="20"/>
                <w:szCs w:val="20"/>
              </w:rPr>
              <w:t xml:space="preserve">Código</w:t>
            </w:r>
          </w:p>
        </w:tc>
        <w:tc>
          <w:tcPr>
            <w:tcW w:type="dxa" w:w="4460"/>
            <w:shd w:fill="1F3864"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color w:val="FFFFFF"/>
                <w:sz w:val="20"/>
                <w:szCs w:val="20"/>
              </w:rPr>
              <w:t xml:space="preserve">Característica</w:t>
            </w:r>
          </w:p>
        </w:tc>
        <w:tc>
          <w:tcPr>
            <w:tcW w:type="dxa" w:w="3600"/>
            <w:shd w:fill="1F3864"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color w:val="FFFFFF"/>
                <w:sz w:val="20"/>
                <w:szCs w:val="20"/>
              </w:rPr>
              <w:t xml:space="preserve">Descripción</w:t>
            </w:r>
          </w:p>
        </w:tc>
      </w:tr>
      <w:tr>
        <w:tc>
          <w:tcPr>
            <w:tcW w:type="dxa" w:w="130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CAR-01</w:t>
            </w:r>
          </w:p>
        </w:tc>
        <w:tc>
          <w:tcPr>
            <w:tcW w:type="dxa" w:w="446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Gestión centralizada de incidencias</w:t>
            </w:r>
          </w:p>
        </w:tc>
        <w:tc>
          <w:tcPr>
            <w:tcW w:type="dxa" w:w="360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Registrar, clasificar y dar seguimiento a las incidencias técnicas en un único repositorio.</w:t>
            </w:r>
          </w:p>
        </w:tc>
      </w:tr>
      <w:tr>
        <w:tc>
          <w:tcPr>
            <w:tcW w:type="dxa" w:w="130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CAR-02</w:t>
            </w:r>
          </w:p>
        </w:tc>
        <w:tc>
          <w:tcPr>
            <w:tcW w:type="dxa" w:w="446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Gestión de actividades de mantenimiento</w:t>
            </w:r>
          </w:p>
        </w:tc>
        <w:tc>
          <w:tcPr>
            <w:tcW w:type="dxa" w:w="360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Administrar mantenimientos preventivos y correctivos, con su programación e historial.</w:t>
            </w:r>
          </w:p>
        </w:tc>
      </w:tr>
      <w:tr>
        <w:tc>
          <w:tcPr>
            <w:tcW w:type="dxa" w:w="130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CAR-03</w:t>
            </w:r>
          </w:p>
        </w:tc>
        <w:tc>
          <w:tcPr>
            <w:tcW w:type="dxa" w:w="446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Mantenimiento predictivo asistido</w:t>
            </w:r>
          </w:p>
        </w:tc>
        <w:tc>
          <w:tcPr>
            <w:tcW w:type="dxa" w:w="360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Anticipar posibles fallas de equipos y servicios a partir del análisis de datos históricos.</w:t>
            </w:r>
          </w:p>
        </w:tc>
      </w:tr>
      <w:tr>
        <w:tc>
          <w:tcPr>
            <w:tcW w:type="dxa" w:w="130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CAR-04</w:t>
            </w:r>
          </w:p>
        </w:tc>
        <w:tc>
          <w:tcPr>
            <w:tcW w:type="dxa" w:w="446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Generación de alertas y notificaciones</w:t>
            </w:r>
          </w:p>
        </w:tc>
        <w:tc>
          <w:tcPr>
            <w:tcW w:type="dxa" w:w="360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Emitir alertas cuando el nivel de riesgo estimado supere los umbrales definidos.</w:t>
            </w:r>
          </w:p>
        </w:tc>
      </w:tr>
      <w:tr>
        <w:tc>
          <w:tcPr>
            <w:tcW w:type="dxa" w:w="130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CAR-05</w:t>
            </w:r>
          </w:p>
        </w:tc>
        <w:tc>
          <w:tcPr>
            <w:tcW w:type="dxa" w:w="446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Tablero de control (dashboard)</w:t>
            </w:r>
          </w:p>
        </w:tc>
        <w:tc>
          <w:tcPr>
            <w:tcW w:type="dxa" w:w="360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Visualizar indicadores, estadísticas y estado de incidencias y mantenimientos en tiempo real.</w:t>
            </w:r>
          </w:p>
        </w:tc>
      </w:tr>
      <w:tr>
        <w:tc>
          <w:tcPr>
            <w:tcW w:type="dxa" w:w="130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CAR-06</w:t>
            </w:r>
          </w:p>
        </w:tc>
        <w:tc>
          <w:tcPr>
            <w:tcW w:type="dxa" w:w="446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Administración de usuarios y roles</w:t>
            </w:r>
          </w:p>
        </w:tc>
        <w:tc>
          <w:tcPr>
            <w:tcW w:type="dxa" w:w="360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Controlar el acceso al sistema mediante roles diferenciados y permisos por funcionalidad.</w:t>
            </w:r>
          </w:p>
        </w:tc>
      </w:tr>
      <w:tr>
        <w:tc>
          <w:tcPr>
            <w:tcW w:type="dxa" w:w="130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CAR-07</w:t>
            </w:r>
          </w:p>
        </w:tc>
        <w:tc>
          <w:tcPr>
            <w:tcW w:type="dxa" w:w="446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Registro histórico y reportería</w:t>
            </w:r>
          </w:p>
        </w:tc>
        <w:tc>
          <w:tcPr>
            <w:tcW w:type="dxa" w:w="360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Conservar el historial de incidencias y mantenimientos y generar reportes para la toma de decisiones.</w:t>
            </w:r>
          </w:p>
        </w:tc>
      </w:tr>
    </w:tbl>
    <w:p>
      <w:pPr>
        <w:spacing w:after="40" w:line="276"/>
        <w:jc w:val="both"/>
      </w:pPr>
      <w:r>
        <w:rPr>
          <w:rFonts w:ascii="Times New Roman" w:cs="Times New Roman" w:eastAsia="Times New Roman" w:hAnsi="Times New Roman"/>
          <w:sz w:val="24"/>
          <w:szCs w:val="24"/>
        </w:rPr>
        <w:t xml:space="preserve"/>
      </w:r>
    </w:p>
    <w:p>
      <w:pPr>
        <w:spacing w:after="220" w:line="276"/>
        <w:jc w:val="left"/>
      </w:pPr>
      <w:r>
        <w:rPr>
          <w:rFonts w:ascii="Times New Roman" w:cs="Times New Roman" w:eastAsia="Times New Roman" w:hAnsi="Times New Roman"/>
          <w:i/>
          <w:iCs/>
          <w:color w:val="555555"/>
          <w:sz w:val="20"/>
          <w:szCs w:val="20"/>
        </w:rPr>
        <w:t xml:space="preserve">Tabla 14. Características de la solución propuesta.          Fuente: Elaboración propia.</w:t>
      </w:r>
    </w:p>
    <w:p>
      <w:pPr>
        <w:pStyle w:val="Heading1"/>
        <w:spacing w:after="200" w:before="240"/>
      </w:pPr>
      <w:r>
        <w:rPr>
          <w:rFonts w:ascii="Times New Roman" w:cs="Times New Roman" w:eastAsia="Times New Roman" w:hAnsi="Times New Roman"/>
          <w:b/>
          <w:bCs/>
          <w:color w:val="1F3864"/>
          <w:sz w:val="30"/>
          <w:szCs w:val="30"/>
        </w:rPr>
        <w:t xml:space="preserve">4.3 Reglas del negocio</w:t>
      </w:r>
    </w:p>
    <w:p>
      <w:pPr>
        <w:spacing w:after="120" w:line="276"/>
        <w:jc w:val="both"/>
      </w:pPr>
      <w:r>
        <w:rPr>
          <w:rFonts w:ascii="Times New Roman" w:cs="Times New Roman" w:eastAsia="Times New Roman" w:hAnsi="Times New Roman"/>
          <w:sz w:val="24"/>
          <w:szCs w:val="24"/>
        </w:rPr>
        <w:t xml:space="preserve">Las reglas del negocio son las políticas, condiciones y lineamientos propios de la operación de Server Guatemala que el sistema debe respetar. Se originan en la forma de trabajar de la organización y no en decisiones técnicas; por ello, se mantienen separadas de las restricciones de la solución (sección 4.4). Se identifican con la nomenclatura RN-##.</w:t>
      </w:r>
    </w:p>
    <w:p>
      <w:pPr>
        <w:spacing w:after="60" w:line="276"/>
        <w:jc w:val="left"/>
      </w:pPr>
      <w:r>
        <w:rPr>
          <w:rFonts w:ascii="Times New Roman" w:cs="Times New Roman" w:eastAsia="Times New Roman" w:hAnsi="Times New Roman"/>
          <w:b/>
          <w:bCs/>
          <w:sz w:val="22"/>
          <w:szCs w:val="22"/>
        </w:rPr>
        <w:t xml:space="preserve">Tabla 15</w:t>
      </w:r>
    </w:p>
    <w:p>
      <w:pPr>
        <w:spacing w:after="60" w:line="276"/>
        <w:jc w:val="left"/>
      </w:pPr>
      <w:r>
        <w:rPr>
          <w:rFonts w:ascii="Times New Roman" w:cs="Times New Roman" w:eastAsia="Times New Roman" w:hAnsi="Times New Roman"/>
          <w:b/>
          <w:bCs/>
          <w:sz w:val="22"/>
          <w:szCs w:val="22"/>
        </w:rPr>
        <w:t xml:space="preserve">Reglas del negocio</w:t>
      </w:r>
    </w:p>
    <w:tbl>
      <w:tblPr>
        <w:tblW w:type="dxa" w:w="9360"/>
        <w:tblBorders>
          <w:top w:val="single" w:color="AAB4C8" w:sz="4"/>
          <w:left w:val="single" w:color="AAB4C8" w:sz="4"/>
          <w:bottom w:val="single" w:color="AAB4C8" w:sz="4"/>
          <w:right w:val="single" w:color="AAB4C8" w:sz="4"/>
          <w:insideH w:val="single" w:color="C8D0DE" w:sz="2"/>
          <w:insideV w:val="single" w:color="C8D0DE" w:sz="2"/>
        </w:tblBorders>
        <w:tblLayout w:type="fixed"/>
      </w:tblPr>
      <w:tblGrid>
        <w:gridCol w:w="1200"/>
        <w:gridCol w:w="4360"/>
        <w:gridCol w:w="3800"/>
      </w:tblGrid>
      <w:tr>
        <w:trPr>
          <w:tblHeader/>
        </w:trPr>
        <w:tc>
          <w:tcPr>
            <w:tcW w:type="dxa" w:w="1200"/>
            <w:shd w:fill="1F3864"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color w:val="FFFFFF"/>
                <w:sz w:val="20"/>
                <w:szCs w:val="20"/>
              </w:rPr>
              <w:t xml:space="preserve">Código</w:t>
            </w:r>
          </w:p>
        </w:tc>
        <w:tc>
          <w:tcPr>
            <w:tcW w:type="dxa" w:w="4360"/>
            <w:shd w:fill="1F3864"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color w:val="FFFFFF"/>
                <w:sz w:val="20"/>
                <w:szCs w:val="20"/>
              </w:rPr>
              <w:t xml:space="preserve">Regla del negocio</w:t>
            </w:r>
          </w:p>
        </w:tc>
        <w:tc>
          <w:tcPr>
            <w:tcW w:type="dxa" w:w="3800"/>
            <w:shd w:fill="1F3864"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color w:val="FFFFFF"/>
                <w:sz w:val="20"/>
                <w:szCs w:val="20"/>
              </w:rPr>
              <w:t xml:space="preserve">Descripción</w:t>
            </w:r>
          </w:p>
        </w:tc>
      </w:tr>
      <w:tr>
        <w:tc>
          <w:tcPr>
            <w:tcW w:type="dxa" w:w="120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RN-01</w:t>
            </w:r>
          </w:p>
        </w:tc>
        <w:tc>
          <w:tcPr>
            <w:tcW w:type="dxa" w:w="436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Toda incidencia debe registrarse con un responsable asignado</w:t>
            </w:r>
          </w:p>
        </w:tc>
        <w:tc>
          <w:tcPr>
            <w:tcW w:type="dxa" w:w="380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Ninguna incidencia puede permanecer sin un técnico responsable de su atención y seguimiento.</w:t>
            </w:r>
          </w:p>
        </w:tc>
      </w:tr>
      <w:tr>
        <w:tc>
          <w:tcPr>
            <w:tcW w:type="dxa" w:w="120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RN-02</w:t>
            </w:r>
          </w:p>
        </w:tc>
        <w:tc>
          <w:tcPr>
            <w:tcW w:type="dxa" w:w="436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Prioridad según criticidad del servicio</w:t>
            </w:r>
          </w:p>
        </w:tc>
        <w:tc>
          <w:tcPr>
            <w:tcW w:type="dxa" w:w="380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Las incidencias sobre servicios críticos (servidores y hosting en producción) se atienden con prioridad alta.</w:t>
            </w:r>
          </w:p>
        </w:tc>
      </w:tr>
      <w:tr>
        <w:tc>
          <w:tcPr>
            <w:tcW w:type="dxa" w:w="120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RN-03</w:t>
            </w:r>
          </w:p>
        </w:tc>
        <w:tc>
          <w:tcPr>
            <w:tcW w:type="dxa" w:w="436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Cierre de incidencia con evidencia</w:t>
            </w:r>
          </w:p>
        </w:tc>
        <w:tc>
          <w:tcPr>
            <w:tcW w:type="dxa" w:w="380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Una incidencia solo puede marcarse como resuelta cuando se documenta la solución aplicada.</w:t>
            </w:r>
          </w:p>
        </w:tc>
      </w:tr>
      <w:tr>
        <w:tc>
          <w:tcPr>
            <w:tcW w:type="dxa" w:w="120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RN-04</w:t>
            </w:r>
          </w:p>
        </w:tc>
        <w:tc>
          <w:tcPr>
            <w:tcW w:type="dxa" w:w="436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Clasificación por tipo de mantenimiento</w:t>
            </w:r>
          </w:p>
        </w:tc>
        <w:tc>
          <w:tcPr>
            <w:tcW w:type="dxa" w:w="380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Cada actividad debe clasificarse como preventiva, correctiva o predictiva para su control y reporte.</w:t>
            </w:r>
          </w:p>
        </w:tc>
      </w:tr>
      <w:tr>
        <w:tc>
          <w:tcPr>
            <w:tcW w:type="dxa" w:w="120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RN-05</w:t>
            </w:r>
          </w:p>
        </w:tc>
        <w:tc>
          <w:tcPr>
            <w:tcW w:type="dxa" w:w="436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Alerta preventiva ante riesgo alto</w:t>
            </w:r>
          </w:p>
        </w:tc>
        <w:tc>
          <w:tcPr>
            <w:tcW w:type="dxa" w:w="380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Cuando el componente predictivo estime un riesgo alto o crítico, debe generarse una orden de revisión preventiva.</w:t>
            </w:r>
          </w:p>
        </w:tc>
      </w:tr>
      <w:tr>
        <w:tc>
          <w:tcPr>
            <w:tcW w:type="dxa" w:w="120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RN-06</w:t>
            </w:r>
          </w:p>
        </w:tc>
        <w:tc>
          <w:tcPr>
            <w:tcW w:type="dxa" w:w="436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Segregación de funciones por rol</w:t>
            </w:r>
          </w:p>
        </w:tc>
        <w:tc>
          <w:tcPr>
            <w:tcW w:type="dxa" w:w="380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Solo el Administrador gestiona usuarios; el Técnico registra y atiende; el Supervisor monitorea y aprueba reportes.</w:t>
            </w:r>
          </w:p>
        </w:tc>
      </w:tr>
      <w:tr>
        <w:tc>
          <w:tcPr>
            <w:tcW w:type="dxa" w:w="120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RN-07</w:t>
            </w:r>
          </w:p>
        </w:tc>
        <w:tc>
          <w:tcPr>
            <w:tcW w:type="dxa" w:w="436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Conservación del historial</w:t>
            </w:r>
          </w:p>
        </w:tc>
        <w:tc>
          <w:tcPr>
            <w:tcW w:type="dxa" w:w="380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Los registros de incidencias y mantenimientos no se eliminan; se conservan para el análisis histórico y predictivo.</w:t>
            </w:r>
          </w:p>
        </w:tc>
      </w:tr>
    </w:tbl>
    <w:p>
      <w:pPr>
        <w:spacing w:after="40" w:line="276"/>
        <w:jc w:val="both"/>
      </w:pPr>
      <w:r>
        <w:rPr>
          <w:rFonts w:ascii="Times New Roman" w:cs="Times New Roman" w:eastAsia="Times New Roman" w:hAnsi="Times New Roman"/>
          <w:sz w:val="24"/>
          <w:szCs w:val="24"/>
        </w:rPr>
        <w:t xml:space="preserve"/>
      </w:r>
    </w:p>
    <w:p>
      <w:pPr>
        <w:spacing w:after="220" w:line="276"/>
        <w:jc w:val="left"/>
      </w:pPr>
      <w:r>
        <w:rPr>
          <w:rFonts w:ascii="Times New Roman" w:cs="Times New Roman" w:eastAsia="Times New Roman" w:hAnsi="Times New Roman"/>
          <w:i/>
          <w:iCs/>
          <w:color w:val="555555"/>
          <w:sz w:val="20"/>
          <w:szCs w:val="20"/>
        </w:rPr>
        <w:t xml:space="preserve">Tabla 15. Reglas del negocio.          Fuente: Elaboración propia.</w:t>
      </w:r>
    </w:p>
    <w:p>
      <w:pPr>
        <w:pStyle w:val="Heading1"/>
        <w:spacing w:after="200" w:before="240"/>
      </w:pPr>
      <w:r>
        <w:rPr>
          <w:rFonts w:ascii="Times New Roman" w:cs="Times New Roman" w:eastAsia="Times New Roman" w:hAnsi="Times New Roman"/>
          <w:b/>
          <w:bCs/>
          <w:color w:val="1F3864"/>
          <w:sz w:val="30"/>
          <w:szCs w:val="30"/>
        </w:rPr>
        <w:t xml:space="preserve">4.4 Restricciones de la solución</w:t>
      </w:r>
    </w:p>
    <w:p>
      <w:pPr>
        <w:spacing w:after="120" w:line="276"/>
        <w:jc w:val="both"/>
      </w:pPr>
      <w:r>
        <w:rPr>
          <w:rFonts w:ascii="Times New Roman" w:cs="Times New Roman" w:eastAsia="Times New Roman" w:hAnsi="Times New Roman"/>
          <w:sz w:val="24"/>
          <w:szCs w:val="24"/>
        </w:rPr>
        <w:t xml:space="preserve">A diferencia de las reglas del negocio, las restricciones son limitaciones técnicas, tecnológicas o de proyecto que condicionan el diseño y la construcción del sistema. No describen la lógica operativa de la empresa, sino los límites dentro de los cuales debe desarrollarse la solución. Se identifican con la nomenclatura RES-##.</w:t>
      </w:r>
    </w:p>
    <w:p>
      <w:pPr>
        <w:spacing w:after="60" w:line="276"/>
        <w:jc w:val="left"/>
      </w:pPr>
      <w:r>
        <w:rPr>
          <w:rFonts w:ascii="Times New Roman" w:cs="Times New Roman" w:eastAsia="Times New Roman" w:hAnsi="Times New Roman"/>
          <w:b/>
          <w:bCs/>
          <w:sz w:val="22"/>
          <w:szCs w:val="22"/>
        </w:rPr>
        <w:t xml:space="preserve">Tabla 16</w:t>
      </w:r>
    </w:p>
    <w:p>
      <w:pPr>
        <w:spacing w:after="60" w:line="276"/>
        <w:jc w:val="left"/>
      </w:pPr>
      <w:r>
        <w:rPr>
          <w:rFonts w:ascii="Times New Roman" w:cs="Times New Roman" w:eastAsia="Times New Roman" w:hAnsi="Times New Roman"/>
          <w:b/>
          <w:bCs/>
          <w:sz w:val="22"/>
          <w:szCs w:val="22"/>
        </w:rPr>
        <w:t xml:space="preserve">Restricciones de la solución</w:t>
      </w:r>
    </w:p>
    <w:tbl>
      <w:tblPr>
        <w:tblW w:type="dxa" w:w="9360"/>
        <w:tblBorders>
          <w:top w:val="single" w:color="AAB4C8" w:sz="4"/>
          <w:left w:val="single" w:color="AAB4C8" w:sz="4"/>
          <w:bottom w:val="single" w:color="AAB4C8" w:sz="4"/>
          <w:right w:val="single" w:color="AAB4C8" w:sz="4"/>
          <w:insideH w:val="single" w:color="C8D0DE" w:sz="2"/>
          <w:insideV w:val="single" w:color="C8D0DE" w:sz="2"/>
        </w:tblBorders>
        <w:tblLayout w:type="fixed"/>
      </w:tblPr>
      <w:tblGrid>
        <w:gridCol w:w="1200"/>
        <w:gridCol w:w="8160"/>
      </w:tblGrid>
      <w:tr>
        <w:trPr>
          <w:tblHeader/>
        </w:trPr>
        <w:tc>
          <w:tcPr>
            <w:tcW w:type="dxa" w:w="1200"/>
            <w:shd w:fill="1F3864"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color w:val="FFFFFF"/>
                <w:sz w:val="20"/>
                <w:szCs w:val="20"/>
              </w:rPr>
              <w:t xml:space="preserve">Código</w:t>
            </w:r>
          </w:p>
        </w:tc>
        <w:tc>
          <w:tcPr>
            <w:tcW w:type="dxa" w:w="8160"/>
            <w:shd w:fill="1F3864"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color w:val="FFFFFF"/>
                <w:sz w:val="20"/>
                <w:szCs w:val="20"/>
              </w:rPr>
              <w:t xml:space="preserve">Restricción</w:t>
            </w:r>
          </w:p>
        </w:tc>
      </w:tr>
      <w:tr>
        <w:tc>
          <w:tcPr>
            <w:tcW w:type="dxa" w:w="120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RES-01</w:t>
            </w:r>
          </w:p>
        </w:tc>
        <w:tc>
          <w:tcPr>
            <w:tcW w:type="dxa" w:w="816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El sistema se desarrollará como aplicación web accesible mediante navegador, sin aplicaciones de escritorio nativas.</w:t>
            </w:r>
          </w:p>
        </w:tc>
      </w:tr>
      <w:tr>
        <w:tc>
          <w:tcPr>
            <w:tcW w:type="dxa" w:w="120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RES-02</w:t>
            </w:r>
          </w:p>
        </w:tc>
        <w:tc>
          <w:tcPr>
            <w:tcW w:type="dxa" w:w="816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La solución utilizará React en el frontend, Node.js en el backend y MySQL como gestor de base de datos.</w:t>
            </w:r>
          </w:p>
        </w:tc>
      </w:tr>
      <w:tr>
        <w:tc>
          <w:tcPr>
            <w:tcW w:type="dxa" w:w="120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RES-03</w:t>
            </w:r>
          </w:p>
        </w:tc>
        <w:tc>
          <w:tcPr>
            <w:tcW w:type="dxa" w:w="816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La comunicación entre frontend y backend se realizará mediante APIs REST sobre HTTPS.</w:t>
            </w:r>
          </w:p>
        </w:tc>
      </w:tr>
      <w:tr>
        <w:tc>
          <w:tcPr>
            <w:tcW w:type="dxa" w:w="120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RES-04</w:t>
            </w:r>
          </w:p>
        </w:tc>
        <w:tc>
          <w:tcPr>
            <w:tcW w:type="dxa" w:w="816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La precisión del componente predictivo dependerá de la disponibilidad y calidad de los datos históricos registrados.</w:t>
            </w:r>
          </w:p>
        </w:tc>
      </w:tr>
      <w:tr>
        <w:tc>
          <w:tcPr>
            <w:tcW w:type="dxa" w:w="120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RES-05</w:t>
            </w:r>
          </w:p>
        </w:tc>
        <w:tc>
          <w:tcPr>
            <w:tcW w:type="dxa" w:w="816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El desarrollo se realizará dentro del período académico establecido para el trabajo de graduación.</w:t>
            </w:r>
          </w:p>
        </w:tc>
      </w:tr>
      <w:tr>
        <w:tc>
          <w:tcPr>
            <w:tcW w:type="dxa" w:w="120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RES-06</w:t>
            </w:r>
          </w:p>
        </w:tc>
        <w:tc>
          <w:tcPr>
            <w:tcW w:type="dxa" w:w="816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El alcance se limita a los procesos de gestión de incidencias y mantenimiento, sin abarcar áreas administrativas o financieras.</w:t>
            </w:r>
          </w:p>
        </w:tc>
      </w:tr>
    </w:tbl>
    <w:p>
      <w:pPr>
        <w:spacing w:after="40" w:line="276"/>
        <w:jc w:val="both"/>
      </w:pPr>
      <w:r>
        <w:rPr>
          <w:rFonts w:ascii="Times New Roman" w:cs="Times New Roman" w:eastAsia="Times New Roman" w:hAnsi="Times New Roman"/>
          <w:sz w:val="24"/>
          <w:szCs w:val="24"/>
        </w:rPr>
        <w:t xml:space="preserve"/>
      </w:r>
    </w:p>
    <w:p>
      <w:pPr>
        <w:spacing w:after="220" w:line="276"/>
        <w:jc w:val="left"/>
      </w:pPr>
      <w:r>
        <w:rPr>
          <w:rFonts w:ascii="Times New Roman" w:cs="Times New Roman" w:eastAsia="Times New Roman" w:hAnsi="Times New Roman"/>
          <w:i/>
          <w:iCs/>
          <w:color w:val="555555"/>
          <w:sz w:val="20"/>
          <w:szCs w:val="20"/>
        </w:rPr>
        <w:t xml:space="preserve">Tabla 16. Restricciones de la solución.          Fuente: Elaboración propia.</w:t>
      </w:r>
    </w:p>
    <w:p>
      <w:pPr>
        <w:pStyle w:val="Heading1"/>
        <w:spacing w:after="200" w:before="240"/>
      </w:pPr>
      <w:r>
        <w:rPr>
          <w:rFonts w:ascii="Times New Roman" w:cs="Times New Roman" w:eastAsia="Times New Roman" w:hAnsi="Times New Roman"/>
          <w:b/>
          <w:bCs/>
          <w:color w:val="1F3864"/>
          <w:sz w:val="30"/>
          <w:szCs w:val="30"/>
        </w:rPr>
        <w:t xml:space="preserve">4.5 Requerimientos funcionales</w:t>
      </w:r>
    </w:p>
    <w:p>
      <w:pPr>
        <w:spacing w:after="120" w:line="276"/>
        <w:jc w:val="both"/>
      </w:pPr>
      <w:r>
        <w:rPr>
          <w:rFonts w:ascii="Times New Roman" w:cs="Times New Roman" w:eastAsia="Times New Roman" w:hAnsi="Times New Roman"/>
          <w:sz w:val="24"/>
          <w:szCs w:val="24"/>
        </w:rPr>
        <w:t xml:space="preserve">Los requerimientos funcionales describen las funciones que el sistema debe ejecutar. Cada uno se redacta de forma verificable e incluye un criterio de aceptación que podrá comprobarse mediante pruebas funcionales. Se identifican con la nomenclatura RF-##.</w:t>
      </w:r>
    </w:p>
    <w:p>
      <w:pPr>
        <w:spacing w:after="60" w:line="276"/>
        <w:jc w:val="left"/>
      </w:pPr>
      <w:r>
        <w:rPr>
          <w:rFonts w:ascii="Times New Roman" w:cs="Times New Roman" w:eastAsia="Times New Roman" w:hAnsi="Times New Roman"/>
          <w:b/>
          <w:bCs/>
          <w:sz w:val="22"/>
          <w:szCs w:val="22"/>
        </w:rPr>
        <w:t xml:space="preserve">Tabla 17</w:t>
      </w:r>
    </w:p>
    <w:p>
      <w:pPr>
        <w:spacing w:after="60" w:line="276"/>
        <w:jc w:val="left"/>
      </w:pPr>
      <w:r>
        <w:rPr>
          <w:rFonts w:ascii="Times New Roman" w:cs="Times New Roman" w:eastAsia="Times New Roman" w:hAnsi="Times New Roman"/>
          <w:b/>
          <w:bCs/>
          <w:sz w:val="22"/>
          <w:szCs w:val="22"/>
        </w:rPr>
        <w:t xml:space="preserve">Requerimientos funcionales del sistema</w:t>
      </w:r>
    </w:p>
    <w:tbl>
      <w:tblPr>
        <w:tblW w:type="dxa" w:w="9360"/>
        <w:tblBorders>
          <w:top w:val="single" w:color="AAB4C8" w:sz="4"/>
          <w:left w:val="single" w:color="AAB4C8" w:sz="4"/>
          <w:bottom w:val="single" w:color="AAB4C8" w:sz="4"/>
          <w:right w:val="single" w:color="AAB4C8" w:sz="4"/>
          <w:insideH w:val="single" w:color="C8D0DE" w:sz="2"/>
          <w:insideV w:val="single" w:color="C8D0DE" w:sz="2"/>
        </w:tblBorders>
        <w:tblLayout w:type="fixed"/>
      </w:tblPr>
      <w:tblGrid>
        <w:gridCol w:w="900"/>
        <w:gridCol w:w="3260"/>
        <w:gridCol w:w="900"/>
        <w:gridCol w:w="4300"/>
      </w:tblGrid>
      <w:tr>
        <w:trPr>
          <w:tblHeader/>
        </w:trPr>
        <w:tc>
          <w:tcPr>
            <w:tcW w:type="dxa" w:w="900"/>
            <w:shd w:fill="1F3864"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color w:val="FFFFFF"/>
                <w:sz w:val="20"/>
                <w:szCs w:val="20"/>
              </w:rPr>
              <w:t xml:space="preserve">Código</w:t>
            </w:r>
          </w:p>
        </w:tc>
        <w:tc>
          <w:tcPr>
            <w:tcW w:type="dxa" w:w="3260"/>
            <w:shd w:fill="1F3864"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color w:val="FFFFFF"/>
                <w:sz w:val="20"/>
                <w:szCs w:val="20"/>
              </w:rPr>
              <w:t xml:space="preserve">Requerimiento funcional</w:t>
            </w:r>
          </w:p>
        </w:tc>
        <w:tc>
          <w:tcPr>
            <w:tcW w:type="dxa" w:w="900"/>
            <w:shd w:fill="1F3864"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color w:val="FFFFFF"/>
                <w:sz w:val="20"/>
                <w:szCs w:val="20"/>
              </w:rPr>
              <w:t xml:space="preserve">Prioridad</w:t>
            </w:r>
          </w:p>
        </w:tc>
        <w:tc>
          <w:tcPr>
            <w:tcW w:type="dxa" w:w="4300"/>
            <w:shd w:fill="1F3864"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color w:val="FFFFFF"/>
                <w:sz w:val="20"/>
                <w:szCs w:val="20"/>
              </w:rPr>
              <w:t xml:space="preserve">Criterio de aceptación (verificable mediante prueba)</w:t>
            </w:r>
          </w:p>
        </w:tc>
      </w:tr>
      <w:tr>
        <w:tc>
          <w:tcPr>
            <w:tcW w:type="dxa" w:w="90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RF-01</w:t>
            </w:r>
          </w:p>
        </w:tc>
        <w:tc>
          <w:tcPr>
            <w:tcW w:type="dxa" w:w="326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Registrar incidencias con tipo, descripción, equipo o servicio afectado y prioridad.</w:t>
            </w:r>
          </w:p>
        </w:tc>
        <w:tc>
          <w:tcPr>
            <w:tcW w:type="dxa" w:w="90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Alta</w:t>
            </w:r>
          </w:p>
        </w:tc>
        <w:tc>
          <w:tcPr>
            <w:tcW w:type="dxa" w:w="430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Al enviar el formulario con datos válidos, la incidencia se almacena y se muestra en el listado con estado “abierta”.</w:t>
            </w:r>
          </w:p>
        </w:tc>
      </w:tr>
      <w:tr>
        <w:tc>
          <w:tcPr>
            <w:tcW w:type="dxa" w:w="90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RF-02</w:t>
            </w:r>
          </w:p>
        </w:tc>
        <w:tc>
          <w:tcPr>
            <w:tcW w:type="dxa" w:w="326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Asignar un responsable a cada incidencia.</w:t>
            </w:r>
          </w:p>
        </w:tc>
        <w:tc>
          <w:tcPr>
            <w:tcW w:type="dxa" w:w="90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Alta</w:t>
            </w:r>
          </w:p>
        </w:tc>
        <w:tc>
          <w:tcPr>
            <w:tcW w:type="dxa" w:w="430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No es posible guardar una incidencia sin responsable; el sistema lo exige y lo registra.</w:t>
            </w:r>
          </w:p>
        </w:tc>
      </w:tr>
      <w:tr>
        <w:tc>
          <w:tcPr>
            <w:tcW w:type="dxa" w:w="90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RF-03</w:t>
            </w:r>
          </w:p>
        </w:tc>
        <w:tc>
          <w:tcPr>
            <w:tcW w:type="dxa" w:w="326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Dar seguimiento y actualizar el estado de la incidencia (abierta, en proceso, resuelta).</w:t>
            </w:r>
          </w:p>
        </w:tc>
        <w:tc>
          <w:tcPr>
            <w:tcW w:type="dxa" w:w="90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Alta</w:t>
            </w:r>
          </w:p>
        </w:tc>
        <w:tc>
          <w:tcPr>
            <w:tcW w:type="dxa" w:w="430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El cambio de estado queda registrado con fecha, usuario y comentario en el historial.</w:t>
            </w:r>
          </w:p>
        </w:tc>
      </w:tr>
      <w:tr>
        <w:tc>
          <w:tcPr>
            <w:tcW w:type="dxa" w:w="90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RF-04</w:t>
            </w:r>
          </w:p>
        </w:tc>
        <w:tc>
          <w:tcPr>
            <w:tcW w:type="dxa" w:w="326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Programar y registrar actividades de mantenimiento preventivo y correctivo.</w:t>
            </w:r>
          </w:p>
        </w:tc>
        <w:tc>
          <w:tcPr>
            <w:tcW w:type="dxa" w:w="90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Alta</w:t>
            </w:r>
          </w:p>
        </w:tc>
        <w:tc>
          <w:tcPr>
            <w:tcW w:type="dxa" w:w="430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La actividad programada aparece en el calendario y genera su registro histórico al completarse.</w:t>
            </w:r>
          </w:p>
        </w:tc>
      </w:tr>
      <w:tr>
        <w:tc>
          <w:tcPr>
            <w:tcW w:type="dxa" w:w="90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RF-05</w:t>
            </w:r>
          </w:p>
        </w:tc>
        <w:tc>
          <w:tcPr>
            <w:tcW w:type="dxa" w:w="326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Ejecutar el análisis predictivo sobre los datos históricos y estimar el riesgo de falla.</w:t>
            </w:r>
          </w:p>
        </w:tc>
        <w:tc>
          <w:tcPr>
            <w:tcW w:type="dxa" w:w="90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Alta</w:t>
            </w:r>
          </w:p>
        </w:tc>
        <w:tc>
          <w:tcPr>
            <w:tcW w:type="dxa" w:w="430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Para un equipo con historial, el sistema devuelve un nivel de riesgo y una probabilidad asociada.</w:t>
            </w:r>
          </w:p>
        </w:tc>
      </w:tr>
      <w:tr>
        <w:tc>
          <w:tcPr>
            <w:tcW w:type="dxa" w:w="90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RF-06</w:t>
            </w:r>
          </w:p>
        </w:tc>
        <w:tc>
          <w:tcPr>
            <w:tcW w:type="dxa" w:w="326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Generar alertas cuando el riesgo estimado supere el umbral definido.</w:t>
            </w:r>
          </w:p>
        </w:tc>
        <w:tc>
          <w:tcPr>
            <w:tcW w:type="dxa" w:w="90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Alta</w:t>
            </w:r>
          </w:p>
        </w:tc>
        <w:tc>
          <w:tcPr>
            <w:tcW w:type="dxa" w:w="430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Al detectarse riesgo alto o crítico, se crea una alerta visible en el dashboard y para el rol Técnico.</w:t>
            </w:r>
          </w:p>
        </w:tc>
      </w:tr>
      <w:tr>
        <w:tc>
          <w:tcPr>
            <w:tcW w:type="dxa" w:w="90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RF-07</w:t>
            </w:r>
          </w:p>
        </w:tc>
        <w:tc>
          <w:tcPr>
            <w:tcW w:type="dxa" w:w="326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Visualizar en el dashboard indicadores de incidencias, mantenimientos y alertas.</w:t>
            </w:r>
          </w:p>
        </w:tc>
        <w:tc>
          <w:tcPr>
            <w:tcW w:type="dxa" w:w="90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Media</w:t>
            </w:r>
          </w:p>
        </w:tc>
        <w:tc>
          <w:tcPr>
            <w:tcW w:type="dxa" w:w="430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El tablero muestra los conteos y gráficos actualizados según los registros existentes.</w:t>
            </w:r>
          </w:p>
        </w:tc>
      </w:tr>
      <w:tr>
        <w:tc>
          <w:tcPr>
            <w:tcW w:type="dxa" w:w="90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RF-08</w:t>
            </w:r>
          </w:p>
        </w:tc>
        <w:tc>
          <w:tcPr>
            <w:tcW w:type="dxa" w:w="326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Autenticar usuarios y controlar el acceso según su rol.</w:t>
            </w:r>
          </w:p>
        </w:tc>
        <w:tc>
          <w:tcPr>
            <w:tcW w:type="dxa" w:w="90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Alta</w:t>
            </w:r>
          </w:p>
        </w:tc>
        <w:tc>
          <w:tcPr>
            <w:tcW w:type="dxa" w:w="430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Un usuario solo accede a las funciones habilitadas para su rol; el acceso no autorizado es rechazado.</w:t>
            </w:r>
          </w:p>
        </w:tc>
      </w:tr>
      <w:tr>
        <w:tc>
          <w:tcPr>
            <w:tcW w:type="dxa" w:w="90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RF-09</w:t>
            </w:r>
          </w:p>
        </w:tc>
        <w:tc>
          <w:tcPr>
            <w:tcW w:type="dxa" w:w="326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Administrar usuarios y roles (crear, editar, activar o desactivar).</w:t>
            </w:r>
          </w:p>
        </w:tc>
        <w:tc>
          <w:tcPr>
            <w:tcW w:type="dxa" w:w="90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Media</w:t>
            </w:r>
          </w:p>
        </w:tc>
        <w:tc>
          <w:tcPr>
            <w:tcW w:type="dxa" w:w="430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El Administrador puede gestionar cuentas; los cambios se reflejan en el acceso del usuario afectado.</w:t>
            </w:r>
          </w:p>
        </w:tc>
      </w:tr>
      <w:tr>
        <w:tc>
          <w:tcPr>
            <w:tcW w:type="dxa" w:w="90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RF-10</w:t>
            </w:r>
          </w:p>
        </w:tc>
        <w:tc>
          <w:tcPr>
            <w:tcW w:type="dxa" w:w="326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Generar reportes e historial de incidencias y mantenimientos.</w:t>
            </w:r>
          </w:p>
        </w:tc>
        <w:tc>
          <w:tcPr>
            <w:tcW w:type="dxa" w:w="90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Media</w:t>
            </w:r>
          </w:p>
        </w:tc>
        <w:tc>
          <w:tcPr>
            <w:tcW w:type="dxa" w:w="430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El sistema produce el reporte del período seleccionado con los datos consistentes con la base de datos.</w:t>
            </w:r>
          </w:p>
        </w:tc>
      </w:tr>
    </w:tbl>
    <w:p>
      <w:pPr>
        <w:spacing w:after="40" w:line="276"/>
        <w:jc w:val="both"/>
      </w:pPr>
      <w:r>
        <w:rPr>
          <w:rFonts w:ascii="Times New Roman" w:cs="Times New Roman" w:eastAsia="Times New Roman" w:hAnsi="Times New Roman"/>
          <w:sz w:val="24"/>
          <w:szCs w:val="24"/>
        </w:rPr>
        <w:t xml:space="preserve"/>
      </w:r>
    </w:p>
    <w:p>
      <w:pPr>
        <w:spacing w:after="220" w:line="276"/>
        <w:jc w:val="left"/>
      </w:pPr>
      <w:r>
        <w:rPr>
          <w:rFonts w:ascii="Times New Roman" w:cs="Times New Roman" w:eastAsia="Times New Roman" w:hAnsi="Times New Roman"/>
          <w:i/>
          <w:iCs/>
          <w:color w:val="555555"/>
          <w:sz w:val="20"/>
          <w:szCs w:val="20"/>
        </w:rPr>
        <w:t xml:space="preserve">Tabla 17. Requerimientos funcionales del sistema.          Fuente: Elaboración propia.</w:t>
      </w:r>
    </w:p>
    <w:p>
      <w:pPr>
        <w:pStyle w:val="Heading1"/>
        <w:spacing w:after="200" w:before="240"/>
      </w:pPr>
      <w:r>
        <w:rPr>
          <w:rFonts w:ascii="Times New Roman" w:cs="Times New Roman" w:eastAsia="Times New Roman" w:hAnsi="Times New Roman"/>
          <w:b/>
          <w:bCs/>
          <w:color w:val="1F3864"/>
          <w:sz w:val="30"/>
          <w:szCs w:val="30"/>
        </w:rPr>
        <w:t xml:space="preserve">4.6 Requerimientos no funcionales</w:t>
      </w:r>
    </w:p>
    <w:p>
      <w:pPr>
        <w:spacing w:after="120" w:line="276"/>
        <w:jc w:val="both"/>
      </w:pPr>
      <w:r>
        <w:rPr>
          <w:rFonts w:ascii="Times New Roman" w:cs="Times New Roman" w:eastAsia="Times New Roman" w:hAnsi="Times New Roman"/>
          <w:sz w:val="24"/>
          <w:szCs w:val="24"/>
        </w:rPr>
        <w:t xml:space="preserve">Los requerimientos no funcionales establecen los atributos de calidad que debe cumplir la solución. Se organizan según el atributo de calidad correspondiente —seguridad, rendimiento, disponibilidad, usabilidad, confiabilidad, mantenibilidad y compatibilidad— y se redactan de forma específica y medible. Cada uno incluye una métrica o criterio de verificación que permite comprobar su cumplimiento durante las pruebas. Se identifican con la nomenclatura RNF-##.</w:t>
      </w:r>
    </w:p>
    <w:p>
      <w:pPr>
        <w:spacing w:after="60" w:line="276"/>
        <w:jc w:val="left"/>
      </w:pPr>
      <w:r>
        <w:rPr>
          <w:rFonts w:ascii="Times New Roman" w:cs="Times New Roman" w:eastAsia="Times New Roman" w:hAnsi="Times New Roman"/>
          <w:b/>
          <w:bCs/>
          <w:sz w:val="22"/>
          <w:szCs w:val="22"/>
        </w:rPr>
        <w:t xml:space="preserve">Tabla 18</w:t>
      </w:r>
    </w:p>
    <w:p>
      <w:pPr>
        <w:spacing w:after="60" w:line="276"/>
        <w:jc w:val="left"/>
      </w:pPr>
      <w:r>
        <w:rPr>
          <w:rFonts w:ascii="Times New Roman" w:cs="Times New Roman" w:eastAsia="Times New Roman" w:hAnsi="Times New Roman"/>
          <w:b/>
          <w:bCs/>
          <w:sz w:val="22"/>
          <w:szCs w:val="22"/>
        </w:rPr>
        <w:t xml:space="preserve">Requerimientos no funcionales del sistema</w:t>
      </w:r>
    </w:p>
    <w:tbl>
      <w:tblPr>
        <w:tblW w:type="dxa" w:w="9360"/>
        <w:tblBorders>
          <w:top w:val="single" w:color="AAB4C8" w:sz="4"/>
          <w:left w:val="single" w:color="AAB4C8" w:sz="4"/>
          <w:bottom w:val="single" w:color="AAB4C8" w:sz="4"/>
          <w:right w:val="single" w:color="AAB4C8" w:sz="4"/>
          <w:insideH w:val="single" w:color="C8D0DE" w:sz="2"/>
          <w:insideV w:val="single" w:color="C8D0DE" w:sz="2"/>
        </w:tblBorders>
        <w:tblLayout w:type="fixed"/>
      </w:tblPr>
      <w:tblGrid>
        <w:gridCol w:w="850"/>
        <w:gridCol w:w="1500"/>
        <w:gridCol w:w="3510"/>
        <w:gridCol w:w="3500"/>
      </w:tblGrid>
      <w:tr>
        <w:trPr>
          <w:tblHeader/>
        </w:trPr>
        <w:tc>
          <w:tcPr>
            <w:tcW w:type="dxa" w:w="850"/>
            <w:shd w:fill="1F3864"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color w:val="FFFFFF"/>
                <w:sz w:val="20"/>
                <w:szCs w:val="20"/>
              </w:rPr>
              <w:t xml:space="preserve">Código</w:t>
            </w:r>
          </w:p>
        </w:tc>
        <w:tc>
          <w:tcPr>
            <w:tcW w:type="dxa" w:w="1500"/>
            <w:shd w:fill="1F3864"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color w:val="FFFFFF"/>
                <w:sz w:val="20"/>
                <w:szCs w:val="20"/>
              </w:rPr>
              <w:t xml:space="preserve">Atributo</w:t>
            </w:r>
          </w:p>
        </w:tc>
        <w:tc>
          <w:tcPr>
            <w:tcW w:type="dxa" w:w="3510"/>
            <w:shd w:fill="1F3864"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color w:val="FFFFFF"/>
                <w:sz w:val="20"/>
                <w:szCs w:val="20"/>
              </w:rPr>
              <w:t xml:space="preserve">Requerimiento no funcional</w:t>
            </w:r>
          </w:p>
        </w:tc>
        <w:tc>
          <w:tcPr>
            <w:tcW w:type="dxa" w:w="3500"/>
            <w:shd w:fill="1F3864"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color w:val="FFFFFF"/>
                <w:sz w:val="20"/>
                <w:szCs w:val="20"/>
              </w:rPr>
              <w:t xml:space="preserve">Métrica / criterio de verificación</w:t>
            </w:r>
          </w:p>
        </w:tc>
      </w:tr>
      <w:tr>
        <w:tc>
          <w:tcPr>
            <w:tcW w:type="dxa" w:w="85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RNF-01</w:t>
            </w:r>
          </w:p>
        </w:tc>
        <w:tc>
          <w:tcPr>
            <w:tcW w:type="dxa" w:w="150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Seguridad</w:t>
            </w:r>
          </w:p>
        </w:tc>
        <w:tc>
          <w:tcPr>
            <w:tcW w:type="dxa" w:w="351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El sistema debe almacenar las contraseñas cifradas mediante un algoritmo de hashing (bcrypt).</w:t>
            </w:r>
          </w:p>
        </w:tc>
        <w:tc>
          <w:tcPr>
            <w:tcW w:type="dxa" w:w="350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Ninguna contraseña se almacena en texto plano; se verifica en la base de datos que el valor es un hash bcrypt.</w:t>
            </w:r>
          </w:p>
        </w:tc>
      </w:tr>
      <w:tr>
        <w:tc>
          <w:tcPr>
            <w:tcW w:type="dxa" w:w="85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RNF-02</w:t>
            </w:r>
          </w:p>
        </w:tc>
        <w:tc>
          <w:tcPr>
            <w:tcW w:type="dxa" w:w="150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Seguridad</w:t>
            </w:r>
          </w:p>
        </w:tc>
        <w:tc>
          <w:tcPr>
            <w:tcW w:type="dxa" w:w="351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El acceso a las funciones debe controlarse mediante roles (control de acceso basado en roles).</w:t>
            </w:r>
          </w:p>
        </w:tc>
        <w:tc>
          <w:tcPr>
            <w:tcW w:type="dxa" w:w="350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Un usuario sin permiso recibe respuesta 403; se prueba por cada rol y funcionalidad.</w:t>
            </w:r>
          </w:p>
        </w:tc>
      </w:tr>
      <w:tr>
        <w:tc>
          <w:tcPr>
            <w:tcW w:type="dxa" w:w="85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RNF-03</w:t>
            </w:r>
          </w:p>
        </w:tc>
        <w:tc>
          <w:tcPr>
            <w:tcW w:type="dxa" w:w="150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Seguridad</w:t>
            </w:r>
          </w:p>
        </w:tc>
        <w:tc>
          <w:tcPr>
            <w:tcW w:type="dxa" w:w="351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Toda comunicación cliente-servidor debe realizarse sobre HTTPS.</w:t>
            </w:r>
          </w:p>
        </w:tc>
        <w:tc>
          <w:tcPr>
            <w:tcW w:type="dxa" w:w="350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Las peticiones por HTTP se redirigen a HTTPS; se valida el certificado en el navegador.</w:t>
            </w:r>
          </w:p>
        </w:tc>
      </w:tr>
      <w:tr>
        <w:tc>
          <w:tcPr>
            <w:tcW w:type="dxa" w:w="85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RNF-04</w:t>
            </w:r>
          </w:p>
        </w:tc>
        <w:tc>
          <w:tcPr>
            <w:tcW w:type="dxa" w:w="150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Seguridad</w:t>
            </w:r>
          </w:p>
        </w:tc>
        <w:tc>
          <w:tcPr>
            <w:tcW w:type="dxa" w:w="351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El sistema debe bloquear temporalmente la cuenta tras 5 intentos fallidos de inicio de sesión.</w:t>
            </w:r>
          </w:p>
        </w:tc>
        <w:tc>
          <w:tcPr>
            <w:tcW w:type="dxa" w:w="350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Al sexto intento fallido, el sistema impide el acceso durante el tiempo definido y lo notifica.</w:t>
            </w:r>
          </w:p>
        </w:tc>
      </w:tr>
      <w:tr>
        <w:tc>
          <w:tcPr>
            <w:tcW w:type="dxa" w:w="85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RNF-05</w:t>
            </w:r>
          </w:p>
        </w:tc>
        <w:tc>
          <w:tcPr>
            <w:tcW w:type="dxa" w:w="150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Rendimiento</w:t>
            </w:r>
          </w:p>
        </w:tc>
        <w:tc>
          <w:tcPr>
            <w:tcW w:type="dxa" w:w="351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Las pantallas principales deben responder en un tiempo no mayor a 3 segundos bajo carga normal.</w:t>
            </w:r>
          </w:p>
        </w:tc>
        <w:tc>
          <w:tcPr>
            <w:tcW w:type="dxa" w:w="350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Con 12 usuarios concurrentes, el 95% de las respuestas se sirve en ≤ 3 s (medido con herramienta de carga).</w:t>
            </w:r>
          </w:p>
        </w:tc>
      </w:tr>
      <w:tr>
        <w:tc>
          <w:tcPr>
            <w:tcW w:type="dxa" w:w="85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RNF-06</w:t>
            </w:r>
          </w:p>
        </w:tc>
        <w:tc>
          <w:tcPr>
            <w:tcW w:type="dxa" w:w="150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Rendimiento</w:t>
            </w:r>
          </w:p>
        </w:tc>
        <w:tc>
          <w:tcPr>
            <w:tcW w:type="dxa" w:w="351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El listado de incidencias y el feed de reportes deben implementar paginación.</w:t>
            </w:r>
          </w:p>
        </w:tc>
        <w:tc>
          <w:tcPr>
            <w:tcW w:type="dxa" w:w="350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Las consultas devuelven resultados paginados; se verifica que no se cargan todos los registros de una sola vez.</w:t>
            </w:r>
          </w:p>
        </w:tc>
      </w:tr>
      <w:tr>
        <w:tc>
          <w:tcPr>
            <w:tcW w:type="dxa" w:w="85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RNF-07</w:t>
            </w:r>
          </w:p>
        </w:tc>
        <w:tc>
          <w:tcPr>
            <w:tcW w:type="dxa" w:w="150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Disponibilidad</w:t>
            </w:r>
          </w:p>
        </w:tc>
        <w:tc>
          <w:tcPr>
            <w:tcW w:type="dxa" w:w="351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El sistema debe estar disponible al menos el 99% del tiempo en horario laboral.</w:t>
            </w:r>
          </w:p>
        </w:tc>
        <w:tc>
          <w:tcPr>
            <w:tcW w:type="dxa" w:w="350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Se calcula la disponibilidad mensual a partir del registro de caídas; debe ser ≥ 99%.</w:t>
            </w:r>
          </w:p>
        </w:tc>
      </w:tr>
      <w:tr>
        <w:tc>
          <w:tcPr>
            <w:tcW w:type="dxa" w:w="85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RNF-08</w:t>
            </w:r>
          </w:p>
        </w:tc>
        <w:tc>
          <w:tcPr>
            <w:tcW w:type="dxa" w:w="150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Disponibilidad</w:t>
            </w:r>
          </w:p>
        </w:tc>
        <w:tc>
          <w:tcPr>
            <w:tcW w:type="dxa" w:w="351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Los servicios deben reiniciarse automáticamente ante fallas y contar con verificación de estado (health check).</w:t>
            </w:r>
          </w:p>
        </w:tc>
        <w:tc>
          <w:tcPr>
            <w:tcW w:type="dxa" w:w="350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Al forzar la caída de un servicio, este se reinicia automáticamente y vuelve a responder.</w:t>
            </w:r>
          </w:p>
        </w:tc>
      </w:tr>
      <w:tr>
        <w:tc>
          <w:tcPr>
            <w:tcW w:type="dxa" w:w="85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RNF-09</w:t>
            </w:r>
          </w:p>
        </w:tc>
        <w:tc>
          <w:tcPr>
            <w:tcW w:type="dxa" w:w="150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Usabilidad</w:t>
            </w:r>
          </w:p>
        </w:tc>
        <w:tc>
          <w:tcPr>
            <w:tcW w:type="dxa" w:w="351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La interfaz debe ser responsiva y compatible con computadoras y dispositivos móviles.</w:t>
            </w:r>
          </w:p>
        </w:tc>
        <w:tc>
          <w:tcPr>
            <w:tcW w:type="dxa" w:w="350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Las pantallas se visualizan correctamente en resoluciones de escritorio y móvil sin pérdida de funcionalidad.</w:t>
            </w:r>
          </w:p>
        </w:tc>
      </w:tr>
      <w:tr>
        <w:tc>
          <w:tcPr>
            <w:tcW w:type="dxa" w:w="85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RNF-10</w:t>
            </w:r>
          </w:p>
        </w:tc>
        <w:tc>
          <w:tcPr>
            <w:tcW w:type="dxa" w:w="150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Usabilidad</w:t>
            </w:r>
          </w:p>
        </w:tc>
        <w:tc>
          <w:tcPr>
            <w:tcW w:type="dxa" w:w="351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El sistema debe mostrar mensajes de error claros y comprensibles.</w:t>
            </w:r>
          </w:p>
        </w:tc>
        <w:tc>
          <w:tcPr>
            <w:tcW w:type="dxa" w:w="350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Ante datos inválidos, se muestra un mensaje específico que orienta al usuario; se valida por caso de error.</w:t>
            </w:r>
          </w:p>
        </w:tc>
      </w:tr>
      <w:tr>
        <w:tc>
          <w:tcPr>
            <w:tcW w:type="dxa" w:w="85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RNF-11</w:t>
            </w:r>
          </w:p>
        </w:tc>
        <w:tc>
          <w:tcPr>
            <w:tcW w:type="dxa" w:w="150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Usabilidad</w:t>
            </w:r>
          </w:p>
        </w:tc>
        <w:tc>
          <w:tcPr>
            <w:tcW w:type="dxa" w:w="351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La satisfacción de uso debe alcanzar un puntaje mínimo de 68 en la escala SUS.</w:t>
            </w:r>
          </w:p>
        </w:tc>
        <w:tc>
          <w:tcPr>
            <w:tcW w:type="dxa" w:w="350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Se aplica el cuestionario SUS a los usuarios y el promedio resulta ≥ 68 puntos.</w:t>
            </w:r>
          </w:p>
        </w:tc>
      </w:tr>
      <w:tr>
        <w:tc>
          <w:tcPr>
            <w:tcW w:type="dxa" w:w="85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RNF-12</w:t>
            </w:r>
          </w:p>
        </w:tc>
        <w:tc>
          <w:tcPr>
            <w:tcW w:type="dxa" w:w="150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Confiabilidad</w:t>
            </w:r>
          </w:p>
        </w:tc>
        <w:tc>
          <w:tcPr>
            <w:tcW w:type="dxa" w:w="351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El componente predictivo debe alcanzar un F1-Score ≥ 0.80 para anticipar fallas a 72 horas.</w:t>
            </w:r>
          </w:p>
        </w:tc>
        <w:tc>
          <w:tcPr>
            <w:tcW w:type="dxa" w:w="350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Sobre el conjunto de prueba, la métrica F1 calculada es ≥ 0.80.</w:t>
            </w:r>
          </w:p>
        </w:tc>
      </w:tr>
      <w:tr>
        <w:tc>
          <w:tcPr>
            <w:tcW w:type="dxa" w:w="85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RNF-13</w:t>
            </w:r>
          </w:p>
        </w:tc>
        <w:tc>
          <w:tcPr>
            <w:tcW w:type="dxa" w:w="150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Confiabilidad</w:t>
            </w:r>
          </w:p>
        </w:tc>
        <w:tc>
          <w:tcPr>
            <w:tcW w:type="dxa" w:w="351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La integridad de la información debe preservarse mediante respaldos periódicos de la base de datos.</w:t>
            </w:r>
          </w:p>
        </w:tc>
        <w:tc>
          <w:tcPr>
            <w:tcW w:type="dxa" w:w="350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Existe un respaldo diario verificable y se comprueba la restauración correcta en un entorno de prueba.</w:t>
            </w:r>
          </w:p>
        </w:tc>
      </w:tr>
      <w:tr>
        <w:tc>
          <w:tcPr>
            <w:tcW w:type="dxa" w:w="85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RNF-14</w:t>
            </w:r>
          </w:p>
        </w:tc>
        <w:tc>
          <w:tcPr>
            <w:tcW w:type="dxa" w:w="150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Mantenibilidad</w:t>
            </w:r>
          </w:p>
        </w:tc>
        <w:tc>
          <w:tcPr>
            <w:tcW w:type="dxa" w:w="351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El sistema debe contar con registro de eventos (logs) y trazabilidad de transacciones relevantes.</w:t>
            </w:r>
          </w:p>
        </w:tc>
        <w:tc>
          <w:tcPr>
            <w:tcW w:type="dxa" w:w="350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Cada transacción relevante genera un registro consultable con fecha, usuario y acción.</w:t>
            </w:r>
          </w:p>
        </w:tc>
      </w:tr>
      <w:tr>
        <w:tc>
          <w:tcPr>
            <w:tcW w:type="dxa" w:w="85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RNF-15</w:t>
            </w:r>
          </w:p>
        </w:tc>
        <w:tc>
          <w:tcPr>
            <w:tcW w:type="dxa" w:w="150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Compatibilidad</w:t>
            </w:r>
          </w:p>
        </w:tc>
        <w:tc>
          <w:tcPr>
            <w:tcW w:type="dxa" w:w="351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La aplicación debe funcionar en las versiones vigentes de los navegadores Chrome, Edge y Firefox.</w:t>
            </w:r>
          </w:p>
        </w:tc>
        <w:tc>
          <w:tcPr>
            <w:tcW w:type="dxa" w:w="350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Las pruebas funcionales se ejecutan sin errores en las tres versiones actuales de dichos navegadores.</w:t>
            </w:r>
          </w:p>
        </w:tc>
      </w:tr>
    </w:tbl>
    <w:p>
      <w:pPr>
        <w:spacing w:after="40" w:line="276"/>
        <w:jc w:val="both"/>
      </w:pPr>
      <w:r>
        <w:rPr>
          <w:rFonts w:ascii="Times New Roman" w:cs="Times New Roman" w:eastAsia="Times New Roman" w:hAnsi="Times New Roman"/>
          <w:sz w:val="24"/>
          <w:szCs w:val="24"/>
        </w:rPr>
        <w:t xml:space="preserve"/>
      </w:r>
    </w:p>
    <w:p>
      <w:pPr>
        <w:spacing w:after="220" w:line="276"/>
        <w:jc w:val="left"/>
      </w:pPr>
      <w:r>
        <w:rPr>
          <w:rFonts w:ascii="Times New Roman" w:cs="Times New Roman" w:eastAsia="Times New Roman" w:hAnsi="Times New Roman"/>
          <w:i/>
          <w:iCs/>
          <w:color w:val="555555"/>
          <w:sz w:val="20"/>
          <w:szCs w:val="20"/>
        </w:rPr>
        <w:t xml:space="preserve">Tabla 18. Requerimientos no funcionales del sistema.          Fuente: Elaboración propia.</w:t>
      </w:r>
    </w:p>
    <w:p>
      <w:pPr>
        <w:pStyle w:val="Heading1"/>
        <w:spacing w:after="200" w:before="240"/>
      </w:pPr>
      <w:r>
        <w:rPr>
          <w:rFonts w:ascii="Times New Roman" w:cs="Times New Roman" w:eastAsia="Times New Roman" w:hAnsi="Times New Roman"/>
          <w:b/>
          <w:bCs/>
          <w:color w:val="1F3864"/>
          <w:sz w:val="30"/>
          <w:szCs w:val="30"/>
        </w:rPr>
        <w:t xml:space="preserve">4.7 Especificación del componente predictivo</w:t>
      </w:r>
    </w:p>
    <w:p>
      <w:pPr>
        <w:spacing w:after="160" w:line="276"/>
        <w:jc w:val="both"/>
      </w:pPr>
      <w:r>
        <w:rPr>
          <w:rFonts w:ascii="Times New Roman" w:cs="Times New Roman" w:eastAsia="Times New Roman" w:hAnsi="Times New Roman"/>
          <w:sz w:val="24"/>
          <w:szCs w:val="24"/>
        </w:rPr>
        <w:t xml:space="preserve">En atención a la observación de precisar el funcionamiento del componente predictivo, en esta sección se describe con detalle cómo opera el modelo, qué información utiliza y cómo produce sus resultados.</w:t>
      </w:r>
    </w:p>
    <w:p>
      <w:pPr>
        <w:pStyle w:val="Heading2"/>
        <w:spacing w:after="140" w:before="220"/>
      </w:pPr>
      <w:r>
        <w:rPr>
          <w:rFonts w:ascii="Times New Roman" w:cs="Times New Roman" w:eastAsia="Times New Roman" w:hAnsi="Times New Roman"/>
          <w:b/>
          <w:bCs/>
          <w:color w:val="1F3864"/>
          <w:sz w:val="26"/>
          <w:szCs w:val="26"/>
        </w:rPr>
        <w:t xml:space="preserve">4.7.1 Funcionamiento del modelo</w:t>
      </w:r>
    </w:p>
    <w:p>
      <w:pPr>
        <w:spacing w:after="120" w:line="276"/>
        <w:jc w:val="both"/>
      </w:pPr>
      <w:r>
        <w:rPr>
          <w:rFonts w:ascii="Times New Roman" w:cs="Times New Roman" w:eastAsia="Times New Roman" w:hAnsi="Times New Roman"/>
          <w:sz w:val="24"/>
          <w:szCs w:val="24"/>
        </w:rPr>
        <w:t xml:space="preserve">El componente predictivo se implementa como un módulo que analiza los datos históricos almacenados por el sistema para estimar la probabilidad de que un equipo o servicio presente una falla dentro de un horizonte de tiempo definido. Su funcionamiento se organiza en cuatro etapas: entrada de datos, preparación, estimación y salida.</w:t>
      </w:r>
    </w:p>
    <w:p>
      <w:pPr>
        <w:pStyle w:val="Heading3"/>
        <w:spacing w:after="120" w:before="180"/>
      </w:pPr>
      <w:r>
        <w:rPr>
          <w:rFonts w:ascii="Times New Roman" w:cs="Times New Roman" w:eastAsia="Times New Roman" w:hAnsi="Times New Roman"/>
          <w:b/>
          <w:bCs/>
          <w:color w:val="2E4C7E"/>
          <w:sz w:val="24"/>
          <w:szCs w:val="24"/>
        </w:rPr>
        <w:t xml:space="preserve">Entradas del modelo</w:t>
      </w:r>
    </w:p>
    <w:p>
      <w:pPr>
        <w:pStyle w:val="ListParagraph"/>
        <w:numPr>
          <w:ilvl w:val="0"/>
          <w:numId w:val="2"/>
        </w:numPr>
        <w:spacing w:after="90" w:line="264"/>
        <w:jc w:val="both"/>
      </w:pPr>
      <w:r>
        <w:rPr>
          <w:rFonts w:ascii="Times New Roman" w:cs="Times New Roman" w:eastAsia="Times New Roman" w:hAnsi="Times New Roman"/>
          <w:sz w:val="24"/>
          <w:szCs w:val="24"/>
        </w:rPr>
        <w:t xml:space="preserve">Historial de incidencias por equipo o servicio (frecuencia, tipo, criticidad y tiempos de atención).</w:t>
      </w:r>
    </w:p>
    <w:p>
      <w:pPr>
        <w:pStyle w:val="ListParagraph"/>
        <w:numPr>
          <w:ilvl w:val="0"/>
          <w:numId w:val="2"/>
        </w:numPr>
        <w:spacing w:after="90" w:line="264"/>
        <w:jc w:val="both"/>
      </w:pPr>
      <w:r>
        <w:rPr>
          <w:rFonts w:ascii="Times New Roman" w:cs="Times New Roman" w:eastAsia="Times New Roman" w:hAnsi="Times New Roman"/>
          <w:sz w:val="24"/>
          <w:szCs w:val="24"/>
        </w:rPr>
        <w:t xml:space="preserve">Historial de mantenimientos realizados (fecha del último mantenimiento y tipo).</w:t>
      </w:r>
    </w:p>
    <w:p>
      <w:pPr>
        <w:pStyle w:val="ListParagraph"/>
        <w:numPr>
          <w:ilvl w:val="0"/>
          <w:numId w:val="2"/>
        </w:numPr>
        <w:spacing w:after="90" w:line="264"/>
        <w:jc w:val="both"/>
      </w:pPr>
      <w:r>
        <w:rPr>
          <w:rFonts w:ascii="Times New Roman" w:cs="Times New Roman" w:eastAsia="Times New Roman" w:hAnsi="Times New Roman"/>
          <w:sz w:val="24"/>
          <w:szCs w:val="24"/>
        </w:rPr>
        <w:t xml:space="preserve">Antigüedad del equipo y su categoría (servidor, red, hosting u otro).</w:t>
      </w:r>
    </w:p>
    <w:p>
      <w:pPr>
        <w:pStyle w:val="ListParagraph"/>
        <w:numPr>
          <w:ilvl w:val="0"/>
          <w:numId w:val="2"/>
        </w:numPr>
        <w:spacing w:after="90" w:line="264"/>
        <w:jc w:val="both"/>
      </w:pPr>
      <w:r>
        <w:rPr>
          <w:rFonts w:ascii="Times New Roman" w:cs="Times New Roman" w:eastAsia="Times New Roman" w:hAnsi="Times New Roman"/>
          <w:sz w:val="24"/>
          <w:szCs w:val="24"/>
        </w:rPr>
        <w:t xml:space="preserve">Tiempo transcurrido desde la última falla registrada.</w:t>
      </w:r>
    </w:p>
    <w:p>
      <w:pPr>
        <w:pStyle w:val="Heading3"/>
        <w:spacing w:after="120" w:before="180"/>
      </w:pPr>
      <w:r>
        <w:rPr>
          <w:rFonts w:ascii="Times New Roman" w:cs="Times New Roman" w:eastAsia="Times New Roman" w:hAnsi="Times New Roman"/>
          <w:b/>
          <w:bCs/>
          <w:color w:val="2E4C7E"/>
          <w:sz w:val="24"/>
          <w:szCs w:val="24"/>
        </w:rPr>
        <w:t xml:space="preserve">Proceso</w:t>
      </w:r>
    </w:p>
    <w:p>
      <w:pPr>
        <w:spacing w:after="120" w:line="276"/>
        <w:jc w:val="both"/>
      </w:pPr>
      <w:r>
        <w:rPr>
          <w:rFonts w:ascii="Times New Roman" w:cs="Times New Roman" w:eastAsia="Times New Roman" w:hAnsi="Times New Roman"/>
          <w:sz w:val="24"/>
          <w:szCs w:val="24"/>
        </w:rPr>
        <w:t xml:space="preserve">Los datos se extraen de la base de datos MySQL y se transforman en variables (características) que describen el comportamiento de cada equipo. Con esa información se entrena un modelo de clasificación supervisada —por ejemplo, regresión logística o bosque aleatorio (Random Forest)— utilizando registros históricos etiquetados como “falló” o “no falló” dentro del horizonte de 72 horas. El modelo aprende los patrones asociados a las fallas y, una vez entrenado y validado, se utiliza para estimar la probabilidad de falla de cada equipo a partir de sus datos actuales.</w:t>
      </w:r>
    </w:p>
    <w:p>
      <w:pPr>
        <w:pStyle w:val="Heading3"/>
        <w:spacing w:after="120" w:before="180"/>
      </w:pPr>
      <w:r>
        <w:rPr>
          <w:rFonts w:ascii="Times New Roman" w:cs="Times New Roman" w:eastAsia="Times New Roman" w:hAnsi="Times New Roman"/>
          <w:b/>
          <w:bCs/>
          <w:color w:val="2E4C7E"/>
          <w:sz w:val="24"/>
          <w:szCs w:val="24"/>
        </w:rPr>
        <w:t xml:space="preserve">Salidas</w:t>
      </w:r>
    </w:p>
    <w:p>
      <w:pPr>
        <w:pStyle w:val="ListParagraph"/>
        <w:numPr>
          <w:ilvl w:val="0"/>
          <w:numId w:val="2"/>
        </w:numPr>
        <w:spacing w:after="90" w:line="264"/>
        <w:jc w:val="both"/>
      </w:pPr>
      <w:r>
        <w:rPr>
          <w:rFonts w:ascii="Times New Roman" w:cs="Times New Roman" w:eastAsia="Times New Roman" w:hAnsi="Times New Roman"/>
          <w:sz w:val="24"/>
          <w:szCs w:val="24"/>
        </w:rPr>
        <w:t xml:space="preserve">Una probabilidad de falla (valor entre 0 y 1) por equipo o servicio.</w:t>
      </w:r>
    </w:p>
    <w:p>
      <w:pPr>
        <w:pStyle w:val="ListParagraph"/>
        <w:numPr>
          <w:ilvl w:val="0"/>
          <w:numId w:val="2"/>
        </w:numPr>
        <w:spacing w:after="90" w:line="264"/>
        <w:jc w:val="both"/>
      </w:pPr>
      <w:r>
        <w:rPr>
          <w:rFonts w:ascii="Times New Roman" w:cs="Times New Roman" w:eastAsia="Times New Roman" w:hAnsi="Times New Roman"/>
          <w:sz w:val="24"/>
          <w:szCs w:val="24"/>
        </w:rPr>
        <w:t xml:space="preserve">Un nivel de riesgo (bajo, medio, alto o crítico) derivado de esa probabilidad.</w:t>
      </w:r>
    </w:p>
    <w:p>
      <w:pPr>
        <w:pStyle w:val="ListParagraph"/>
        <w:numPr>
          <w:ilvl w:val="0"/>
          <w:numId w:val="2"/>
        </w:numPr>
        <w:spacing w:after="90" w:line="264"/>
        <w:jc w:val="both"/>
      </w:pPr>
      <w:r>
        <w:rPr>
          <w:rFonts w:ascii="Times New Roman" w:cs="Times New Roman" w:eastAsia="Times New Roman" w:hAnsi="Times New Roman"/>
          <w:sz w:val="24"/>
          <w:szCs w:val="24"/>
        </w:rPr>
        <w:t xml:space="preserve">Una alerta y una recomendación de revisión preventiva cuando corresponde, visibles en el dashboard.</w:t>
      </w:r>
    </w:p>
    <w:p>
      <w:pPr>
        <w:pStyle w:val="Heading2"/>
        <w:spacing w:after="140" w:before="220"/>
      </w:pPr>
      <w:r>
        <w:rPr>
          <w:rFonts w:ascii="Times New Roman" w:cs="Times New Roman" w:eastAsia="Times New Roman" w:hAnsi="Times New Roman"/>
          <w:b/>
          <w:bCs/>
          <w:color w:val="1F3864"/>
          <w:sz w:val="26"/>
          <w:szCs w:val="26"/>
        </w:rPr>
        <w:t xml:space="preserve">4.7.2 Criterios para determinar riesgos y generar alertas</w:t>
      </w:r>
    </w:p>
    <w:p>
      <w:pPr>
        <w:spacing w:after="120" w:line="276"/>
        <w:jc w:val="both"/>
      </w:pPr>
      <w:r>
        <w:rPr>
          <w:rFonts w:ascii="Times New Roman" w:cs="Times New Roman" w:eastAsia="Times New Roman" w:hAnsi="Times New Roman"/>
          <w:sz w:val="24"/>
          <w:szCs w:val="24"/>
        </w:rPr>
        <w:t xml:space="preserve">En atención a la observación de justificar los criterios de riesgos y alertas, la clasificación del riesgo se define a partir de la probabilidad de falla estimada por el modelo, utilizando umbrales establecidos con un fundamento operativo. Los umbrales se calibran de modo que los niveles superiores prioricen la detección de fallas reales (sensibilidad), dado que en la operación de Server Guatemala el costo de no anticipar una falla crítica es mayor que el de realizar una revisión preventiva adicional.</w:t>
      </w:r>
    </w:p>
    <w:p>
      <w:pPr>
        <w:spacing w:after="60" w:line="276"/>
        <w:jc w:val="left"/>
      </w:pPr>
      <w:r>
        <w:rPr>
          <w:rFonts w:ascii="Times New Roman" w:cs="Times New Roman" w:eastAsia="Times New Roman" w:hAnsi="Times New Roman"/>
          <w:b/>
          <w:bCs/>
          <w:sz w:val="22"/>
          <w:szCs w:val="22"/>
        </w:rPr>
        <w:t xml:space="preserve">Tabla 19</w:t>
      </w:r>
    </w:p>
    <w:p>
      <w:pPr>
        <w:spacing w:after="60" w:line="276"/>
        <w:jc w:val="left"/>
      </w:pPr>
      <w:r>
        <w:rPr>
          <w:rFonts w:ascii="Times New Roman" w:cs="Times New Roman" w:eastAsia="Times New Roman" w:hAnsi="Times New Roman"/>
          <w:b/>
          <w:bCs/>
          <w:sz w:val="22"/>
          <w:szCs w:val="22"/>
        </w:rPr>
        <w:t xml:space="preserve">Criterios de riesgo y generación de alertas</w:t>
      </w:r>
    </w:p>
    <w:tbl>
      <w:tblPr>
        <w:tblW w:type="dxa" w:w="9360"/>
        <w:tblBorders>
          <w:top w:val="single" w:color="AAB4C8" w:sz="4"/>
          <w:left w:val="single" w:color="AAB4C8" w:sz="4"/>
          <w:bottom w:val="single" w:color="AAB4C8" w:sz="4"/>
          <w:right w:val="single" w:color="AAB4C8" w:sz="4"/>
          <w:insideH w:val="single" w:color="C8D0DE" w:sz="2"/>
          <w:insideV w:val="single" w:color="C8D0DE" w:sz="2"/>
        </w:tblBorders>
        <w:tblLayout w:type="fixed"/>
      </w:tblPr>
      <w:tblGrid>
        <w:gridCol w:w="1500"/>
        <w:gridCol w:w="2100"/>
        <w:gridCol w:w="2400"/>
        <w:gridCol w:w="3360"/>
      </w:tblGrid>
      <w:tr>
        <w:trPr>
          <w:tblHeader/>
        </w:trPr>
        <w:tc>
          <w:tcPr>
            <w:tcW w:type="dxa" w:w="1500"/>
            <w:shd w:fill="1F3864"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color w:val="FFFFFF"/>
                <w:sz w:val="20"/>
                <w:szCs w:val="20"/>
              </w:rPr>
              <w:t xml:space="preserve">Nivel de riesgo</w:t>
            </w:r>
          </w:p>
        </w:tc>
        <w:tc>
          <w:tcPr>
            <w:tcW w:type="dxa" w:w="2100"/>
            <w:shd w:fill="1F3864"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color w:val="FFFFFF"/>
                <w:sz w:val="20"/>
                <w:szCs w:val="20"/>
              </w:rPr>
              <w:t xml:space="preserve">Probabilidad estimada</w:t>
            </w:r>
          </w:p>
        </w:tc>
        <w:tc>
          <w:tcPr>
            <w:tcW w:type="dxa" w:w="2400"/>
            <w:shd w:fill="1F3864"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color w:val="FFFFFF"/>
                <w:sz w:val="20"/>
                <w:szCs w:val="20"/>
              </w:rPr>
              <w:t xml:space="preserve">Acción del sistema</w:t>
            </w:r>
          </w:p>
        </w:tc>
        <w:tc>
          <w:tcPr>
            <w:tcW w:type="dxa" w:w="3360"/>
            <w:shd w:fill="1F3864"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color w:val="FFFFFF"/>
                <w:sz w:val="20"/>
                <w:szCs w:val="20"/>
              </w:rPr>
              <w:t xml:space="preserve">Justificación operativa</w:t>
            </w:r>
          </w:p>
        </w:tc>
      </w:tr>
      <w:tr>
        <w:tc>
          <w:tcPr>
            <w:tcW w:type="dxa" w:w="150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Bajo</w:t>
            </w:r>
          </w:p>
        </w:tc>
        <w:tc>
          <w:tcPr>
            <w:tcW w:type="dxa" w:w="210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0.00 – 0.39</w:t>
            </w:r>
          </w:p>
        </w:tc>
        <w:tc>
          <w:tcPr>
            <w:tcW w:type="dxa" w:w="240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No genera alerta</w:t>
            </w:r>
          </w:p>
        </w:tc>
        <w:tc>
          <w:tcPr>
            <w:tcW w:type="dxa" w:w="336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Continuar con el mantenimiento programado habitual.</w:t>
            </w:r>
          </w:p>
        </w:tc>
      </w:tr>
      <w:tr>
        <w:tc>
          <w:tcPr>
            <w:tcW w:type="dxa" w:w="150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Medio</w:t>
            </w:r>
          </w:p>
        </w:tc>
        <w:tc>
          <w:tcPr>
            <w:tcW w:type="dxa" w:w="210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0.40 – 0.59</w:t>
            </w:r>
          </w:p>
        </w:tc>
        <w:tc>
          <w:tcPr>
            <w:tcW w:type="dxa" w:w="240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Notificación informativa</w:t>
            </w:r>
          </w:p>
        </w:tc>
        <w:tc>
          <w:tcPr>
            <w:tcW w:type="dxa" w:w="336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Vigilar el equipo e incluirlo en la próxima revisión preventiva.</w:t>
            </w:r>
          </w:p>
        </w:tc>
      </w:tr>
      <w:tr>
        <w:tc>
          <w:tcPr>
            <w:tcW w:type="dxa" w:w="150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Alto</w:t>
            </w:r>
          </w:p>
        </w:tc>
        <w:tc>
          <w:tcPr>
            <w:tcW w:type="dxa" w:w="210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0.60 – 0.79</w:t>
            </w:r>
          </w:p>
        </w:tc>
        <w:tc>
          <w:tcPr>
            <w:tcW w:type="dxa" w:w="240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Alerta en dashboard</w:t>
            </w:r>
          </w:p>
        </w:tc>
        <w:tc>
          <w:tcPr>
            <w:tcW w:type="dxa" w:w="336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Programar revisión preventiva a corto plazo (RN-05).</w:t>
            </w:r>
          </w:p>
        </w:tc>
      </w:tr>
      <w:tr>
        <w:tc>
          <w:tcPr>
            <w:tcW w:type="dxa" w:w="150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sz w:val="20"/>
                <w:szCs w:val="20"/>
              </w:rPr>
              <w:t xml:space="preserve">Crítico</w:t>
            </w:r>
          </w:p>
        </w:tc>
        <w:tc>
          <w:tcPr>
            <w:tcW w:type="dxa" w:w="210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0.80 – 1.00</w:t>
            </w:r>
          </w:p>
        </w:tc>
        <w:tc>
          <w:tcPr>
            <w:tcW w:type="dxa" w:w="240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Alerta prioritaria</w:t>
            </w:r>
          </w:p>
        </w:tc>
        <w:tc>
          <w:tcPr>
            <w:tcW w:type="dxa" w:w="336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Generar orden de revisión preventiva inmediata y notificar al Técnico.</w:t>
            </w:r>
          </w:p>
        </w:tc>
      </w:tr>
    </w:tbl>
    <w:p>
      <w:pPr>
        <w:spacing w:after="40" w:line="276"/>
        <w:jc w:val="both"/>
      </w:pPr>
      <w:r>
        <w:rPr>
          <w:rFonts w:ascii="Times New Roman" w:cs="Times New Roman" w:eastAsia="Times New Roman" w:hAnsi="Times New Roman"/>
          <w:sz w:val="24"/>
          <w:szCs w:val="24"/>
        </w:rPr>
        <w:t xml:space="preserve"/>
      </w:r>
    </w:p>
    <w:p>
      <w:pPr>
        <w:spacing w:after="220" w:line="276"/>
        <w:jc w:val="left"/>
      </w:pPr>
      <w:r>
        <w:rPr>
          <w:rFonts w:ascii="Times New Roman" w:cs="Times New Roman" w:eastAsia="Times New Roman" w:hAnsi="Times New Roman"/>
          <w:i/>
          <w:iCs/>
          <w:color w:val="555555"/>
          <w:sz w:val="20"/>
          <w:szCs w:val="20"/>
        </w:rPr>
        <w:t xml:space="preserve">Tabla 19. Criterios de riesgo y generación de alertas.          Fuente: Elaboración propia.</w:t>
      </w:r>
    </w:p>
    <w:p>
      <w:pPr>
        <w:spacing w:after="160" w:line="276"/>
        <w:jc w:val="both"/>
      </w:pPr>
      <w:r>
        <w:rPr>
          <w:rFonts w:ascii="Times New Roman" w:cs="Times New Roman" w:eastAsia="Times New Roman" w:hAnsi="Times New Roman"/>
          <w:sz w:val="24"/>
          <w:szCs w:val="24"/>
        </w:rPr>
        <w:t xml:space="preserve">El umbral del nivel crítico (probabilidad ≥ 0.80) es coherente con la meta de desempeño del modelo definida en el requerimiento RNF-12 (F1-Score ≥ 0.80), lo que asegura que las alertas prioritarias se emitan con un nivel de confianza adecuado. Estos umbrales podrán ajustarse durante la fase de pruebas en función de los resultados obtenidos con datos reales de la organización, buscando el equilibrio entre falsas alarmas y fallas no detectadas.</w:t>
      </w:r>
    </w:p>
    <w:p>
      <w:pPr>
        <w:pStyle w:val="Heading1"/>
        <w:spacing w:after="200" w:before="240"/>
      </w:pPr>
      <w:r>
        <w:rPr>
          <w:rFonts w:ascii="Times New Roman" w:cs="Times New Roman" w:eastAsia="Times New Roman" w:hAnsi="Times New Roman"/>
          <w:b/>
          <w:bCs/>
          <w:color w:val="1F3864"/>
          <w:sz w:val="30"/>
          <w:szCs w:val="30"/>
        </w:rPr>
        <w:t xml:space="preserve">4.8 Herramientas de desarrollo e infraestructura tecnológica</w:t>
      </w:r>
    </w:p>
    <w:p>
      <w:pPr>
        <w:spacing w:after="160" w:line="276"/>
        <w:jc w:val="both"/>
      </w:pPr>
      <w:r>
        <w:rPr>
          <w:rFonts w:ascii="Times New Roman" w:cs="Times New Roman" w:eastAsia="Times New Roman" w:hAnsi="Times New Roman"/>
          <w:sz w:val="24"/>
          <w:szCs w:val="24"/>
        </w:rPr>
        <w:t xml:space="preserve">En esta sección se identifican las herramientas de desarrollo y los componentes de infraestructura necesarios para construir y operar la solución, indicando su propósito y la justificación de su selección de acuerdo con los requerimientos del sistema.</w:t>
      </w:r>
    </w:p>
    <w:p>
      <w:pPr>
        <w:pStyle w:val="Heading2"/>
        <w:spacing w:after="140" w:before="220"/>
      </w:pPr>
      <w:r>
        <w:rPr>
          <w:rFonts w:ascii="Times New Roman" w:cs="Times New Roman" w:eastAsia="Times New Roman" w:hAnsi="Times New Roman"/>
          <w:b/>
          <w:bCs/>
          <w:color w:val="1F3864"/>
          <w:sz w:val="26"/>
          <w:szCs w:val="26"/>
        </w:rPr>
        <w:t xml:space="preserve">4.8.1 Herramientas de desarrollo</w:t>
      </w:r>
    </w:p>
    <w:p>
      <w:pPr>
        <w:spacing w:after="60" w:line="276"/>
        <w:jc w:val="left"/>
      </w:pPr>
      <w:r>
        <w:rPr>
          <w:rFonts w:ascii="Times New Roman" w:cs="Times New Roman" w:eastAsia="Times New Roman" w:hAnsi="Times New Roman"/>
          <w:b/>
          <w:bCs/>
          <w:sz w:val="22"/>
          <w:szCs w:val="22"/>
        </w:rPr>
        <w:t xml:space="preserve">Tabla 20</w:t>
      </w:r>
    </w:p>
    <w:p>
      <w:pPr>
        <w:spacing w:after="60" w:line="276"/>
        <w:jc w:val="left"/>
      </w:pPr>
      <w:r>
        <w:rPr>
          <w:rFonts w:ascii="Times New Roman" w:cs="Times New Roman" w:eastAsia="Times New Roman" w:hAnsi="Times New Roman"/>
          <w:b/>
          <w:bCs/>
          <w:sz w:val="22"/>
          <w:szCs w:val="22"/>
        </w:rPr>
        <w:t xml:space="preserve">Herramientas de desarrollo</w:t>
      </w:r>
    </w:p>
    <w:tbl>
      <w:tblPr>
        <w:tblW w:type="dxa" w:w="9360"/>
        <w:tblBorders>
          <w:top w:val="single" w:color="AAB4C8" w:sz="4"/>
          <w:left w:val="single" w:color="AAB4C8" w:sz="4"/>
          <w:bottom w:val="single" w:color="AAB4C8" w:sz="4"/>
          <w:right w:val="single" w:color="AAB4C8" w:sz="4"/>
          <w:insideH w:val="single" w:color="C8D0DE" w:sz="2"/>
          <w:insideV w:val="single" w:color="C8D0DE" w:sz="2"/>
        </w:tblBorders>
        <w:tblLayout w:type="fixed"/>
      </w:tblPr>
      <w:tblGrid>
        <w:gridCol w:w="1900"/>
        <w:gridCol w:w="2900"/>
        <w:gridCol w:w="4560"/>
      </w:tblGrid>
      <w:tr>
        <w:trPr>
          <w:tblHeader/>
        </w:trPr>
        <w:tc>
          <w:tcPr>
            <w:tcW w:type="dxa" w:w="1900"/>
            <w:shd w:fill="1F3864"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color w:val="FFFFFF"/>
                <w:sz w:val="20"/>
                <w:szCs w:val="20"/>
              </w:rPr>
              <w:t xml:space="preserve">Herramienta</w:t>
            </w:r>
          </w:p>
        </w:tc>
        <w:tc>
          <w:tcPr>
            <w:tcW w:type="dxa" w:w="2900"/>
            <w:shd w:fill="1F3864"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color w:val="FFFFFF"/>
                <w:sz w:val="20"/>
                <w:szCs w:val="20"/>
              </w:rPr>
              <w:t xml:space="preserve">Propósito</w:t>
            </w:r>
          </w:p>
        </w:tc>
        <w:tc>
          <w:tcPr>
            <w:tcW w:type="dxa" w:w="4560"/>
            <w:shd w:fill="1F3864"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color w:val="FFFFFF"/>
                <w:sz w:val="20"/>
                <w:szCs w:val="20"/>
              </w:rPr>
              <w:t xml:space="preserve">Justificación</w:t>
            </w:r>
          </w:p>
        </w:tc>
      </w:tr>
      <w:tr>
        <w:tc>
          <w:tcPr>
            <w:tcW w:type="dxa" w:w="190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bCs/>
                <w:sz w:val="20"/>
                <w:szCs w:val="20"/>
              </w:rPr>
              <w:t xml:space="preserve">Visual Studio Code</w:t>
            </w:r>
          </w:p>
        </w:tc>
        <w:tc>
          <w:tcPr>
            <w:tcW w:type="dxa" w:w="290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Entorno de desarrollo (IDE)</w:t>
            </w:r>
          </w:p>
        </w:tc>
        <w:tc>
          <w:tcPr>
            <w:tcW w:type="dxa" w:w="456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Editor ligero y multiplataforma con soporte para JavaScript; facilita el desarrollo del frontend y backend.</w:t>
            </w:r>
          </w:p>
        </w:tc>
      </w:tr>
      <w:tr>
        <w:tc>
          <w:tcPr>
            <w:tcW w:type="dxa" w:w="190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bCs/>
                <w:sz w:val="20"/>
                <w:szCs w:val="20"/>
              </w:rPr>
              <w:t xml:space="preserve">React</w:t>
            </w:r>
          </w:p>
        </w:tc>
        <w:tc>
          <w:tcPr>
            <w:tcW w:type="dxa" w:w="290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Desarrollo del frontend</w:t>
            </w:r>
          </w:p>
        </w:tc>
        <w:tc>
          <w:tcPr>
            <w:tcW w:type="dxa" w:w="456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Basado en componentes reutilizables; permite construir interfaces dinámicas y responsivas (RNF-09).</w:t>
            </w:r>
          </w:p>
        </w:tc>
      </w:tr>
      <w:tr>
        <w:tc>
          <w:tcPr>
            <w:tcW w:type="dxa" w:w="190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bCs/>
                <w:sz w:val="20"/>
                <w:szCs w:val="20"/>
              </w:rPr>
              <w:t xml:space="preserve">Node.js</w:t>
            </w:r>
          </w:p>
        </w:tc>
        <w:tc>
          <w:tcPr>
            <w:tcW w:type="dxa" w:w="290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Desarrollo del backend</w:t>
            </w:r>
          </w:p>
        </w:tc>
        <w:tc>
          <w:tcPr>
            <w:tcW w:type="dxa" w:w="456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Ejecución de JavaScript del lado del servidor con manejo eficiente de peticiones concurrentes (RNF-05).</w:t>
            </w:r>
          </w:p>
        </w:tc>
      </w:tr>
      <w:tr>
        <w:tc>
          <w:tcPr>
            <w:tcW w:type="dxa" w:w="190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bCs/>
                <w:sz w:val="20"/>
                <w:szCs w:val="20"/>
              </w:rPr>
              <w:t xml:space="preserve">Express.js</w:t>
            </w:r>
          </w:p>
        </w:tc>
        <w:tc>
          <w:tcPr>
            <w:tcW w:type="dxa" w:w="290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Framework de APIs REST</w:t>
            </w:r>
          </w:p>
        </w:tc>
        <w:tc>
          <w:tcPr>
            <w:tcW w:type="dxa" w:w="456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Simplifica la creación de los servicios REST que comunican el frontend con el backend (RES-03).</w:t>
            </w:r>
          </w:p>
        </w:tc>
      </w:tr>
      <w:tr>
        <w:tc>
          <w:tcPr>
            <w:tcW w:type="dxa" w:w="190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bCs/>
                <w:sz w:val="20"/>
                <w:szCs w:val="20"/>
              </w:rPr>
              <w:t xml:space="preserve">MySQL</w:t>
            </w:r>
          </w:p>
        </w:tc>
        <w:tc>
          <w:tcPr>
            <w:tcW w:type="dxa" w:w="290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Gestor de base de datos</w:t>
            </w:r>
          </w:p>
        </w:tc>
        <w:tc>
          <w:tcPr>
            <w:tcW w:type="dxa" w:w="456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Base de datos relacional confiable para almacenar incidencias, mantenimientos e historial (RNF-13).</w:t>
            </w:r>
          </w:p>
        </w:tc>
      </w:tr>
      <w:tr>
        <w:tc>
          <w:tcPr>
            <w:tcW w:type="dxa" w:w="190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bCs/>
                <w:sz w:val="20"/>
                <w:szCs w:val="20"/>
              </w:rPr>
              <w:t xml:space="preserve">Python (scikit-learn / pandas)</w:t>
            </w:r>
          </w:p>
        </w:tc>
        <w:tc>
          <w:tcPr>
            <w:tcW w:type="dxa" w:w="290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Módulo predictivo</w:t>
            </w:r>
          </w:p>
        </w:tc>
        <w:tc>
          <w:tcPr>
            <w:tcW w:type="dxa" w:w="456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Bibliotecas maduras para el entrenamiento y evaluación del modelo de clasificación (sección 4.7).</w:t>
            </w:r>
          </w:p>
        </w:tc>
      </w:tr>
      <w:tr>
        <w:tc>
          <w:tcPr>
            <w:tcW w:type="dxa" w:w="190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bCs/>
                <w:sz w:val="20"/>
                <w:szCs w:val="20"/>
              </w:rPr>
              <w:t xml:space="preserve">Postman</w:t>
            </w:r>
          </w:p>
        </w:tc>
        <w:tc>
          <w:tcPr>
            <w:tcW w:type="dxa" w:w="290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Pruebas de APIs</w:t>
            </w:r>
          </w:p>
        </w:tc>
        <w:tc>
          <w:tcPr>
            <w:tcW w:type="dxa" w:w="456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Permite validar los servicios REST y verificar los criterios de aceptación de los requerimientos funcionales.</w:t>
            </w:r>
          </w:p>
        </w:tc>
      </w:tr>
      <w:tr>
        <w:tc>
          <w:tcPr>
            <w:tcW w:type="dxa" w:w="190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bCs/>
                <w:sz w:val="20"/>
                <w:szCs w:val="20"/>
              </w:rPr>
              <w:t xml:space="preserve">Git y GitHub</w:t>
            </w:r>
          </w:p>
        </w:tc>
        <w:tc>
          <w:tcPr>
            <w:tcW w:type="dxa" w:w="290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Control de versiones</w:t>
            </w:r>
          </w:p>
        </w:tc>
        <w:tc>
          <w:tcPr>
            <w:tcW w:type="dxa" w:w="456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Gestionan el historial del código y el trabajo ordenado durante el desarrollo del proyecto.</w:t>
            </w:r>
          </w:p>
        </w:tc>
      </w:tr>
    </w:tbl>
    <w:p>
      <w:pPr>
        <w:spacing w:after="40" w:line="276"/>
        <w:jc w:val="both"/>
      </w:pPr>
      <w:r>
        <w:rPr>
          <w:rFonts w:ascii="Times New Roman" w:cs="Times New Roman" w:eastAsia="Times New Roman" w:hAnsi="Times New Roman"/>
          <w:sz w:val="24"/>
          <w:szCs w:val="24"/>
        </w:rPr>
        <w:t xml:space="preserve"/>
      </w:r>
    </w:p>
    <w:p>
      <w:pPr>
        <w:spacing w:after="220" w:line="276"/>
        <w:jc w:val="left"/>
      </w:pPr>
      <w:r>
        <w:rPr>
          <w:rFonts w:ascii="Times New Roman" w:cs="Times New Roman" w:eastAsia="Times New Roman" w:hAnsi="Times New Roman"/>
          <w:i/>
          <w:iCs/>
          <w:color w:val="555555"/>
          <w:sz w:val="20"/>
          <w:szCs w:val="20"/>
        </w:rPr>
        <w:t xml:space="preserve">Tabla 20. Herramientas de desarrollo.          Fuente: Elaboración propia.</w:t>
      </w:r>
    </w:p>
    <w:p>
      <w:pPr>
        <w:pStyle w:val="Heading2"/>
        <w:spacing w:after="140" w:before="220"/>
      </w:pPr>
      <w:r>
        <w:rPr>
          <w:rFonts w:ascii="Times New Roman" w:cs="Times New Roman" w:eastAsia="Times New Roman" w:hAnsi="Times New Roman"/>
          <w:b/>
          <w:bCs/>
          <w:color w:val="1F3864"/>
          <w:sz w:val="26"/>
          <w:szCs w:val="26"/>
        </w:rPr>
        <w:t xml:space="preserve">4.8.2 Infraestructura tecnológica</w:t>
      </w:r>
    </w:p>
    <w:p>
      <w:pPr>
        <w:spacing w:after="60" w:line="276"/>
        <w:jc w:val="left"/>
      </w:pPr>
      <w:r>
        <w:rPr>
          <w:rFonts w:ascii="Times New Roman" w:cs="Times New Roman" w:eastAsia="Times New Roman" w:hAnsi="Times New Roman"/>
          <w:b/>
          <w:bCs/>
          <w:sz w:val="22"/>
          <w:szCs w:val="22"/>
        </w:rPr>
        <w:t xml:space="preserve">Tabla 21</w:t>
      </w:r>
    </w:p>
    <w:p>
      <w:pPr>
        <w:spacing w:after="60" w:line="276"/>
        <w:jc w:val="left"/>
      </w:pPr>
      <w:r>
        <w:rPr>
          <w:rFonts w:ascii="Times New Roman" w:cs="Times New Roman" w:eastAsia="Times New Roman" w:hAnsi="Times New Roman"/>
          <w:b/>
          <w:bCs/>
          <w:sz w:val="22"/>
          <w:szCs w:val="22"/>
        </w:rPr>
        <w:t xml:space="preserve">Infraestructura tecnológica</w:t>
      </w:r>
    </w:p>
    <w:tbl>
      <w:tblPr>
        <w:tblW w:type="dxa" w:w="9360"/>
        <w:tblBorders>
          <w:top w:val="single" w:color="AAB4C8" w:sz="4"/>
          <w:left w:val="single" w:color="AAB4C8" w:sz="4"/>
          <w:bottom w:val="single" w:color="AAB4C8" w:sz="4"/>
          <w:right w:val="single" w:color="AAB4C8" w:sz="4"/>
          <w:insideH w:val="single" w:color="C8D0DE" w:sz="2"/>
          <w:insideV w:val="single" w:color="C8D0DE" w:sz="2"/>
        </w:tblBorders>
        <w:tblLayout w:type="fixed"/>
      </w:tblPr>
      <w:tblGrid>
        <w:gridCol w:w="2300"/>
        <w:gridCol w:w="2700"/>
        <w:gridCol w:w="4360"/>
      </w:tblGrid>
      <w:tr>
        <w:trPr>
          <w:tblHeader/>
        </w:trPr>
        <w:tc>
          <w:tcPr>
            <w:tcW w:type="dxa" w:w="2300"/>
            <w:shd w:fill="1F3864"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color w:val="FFFFFF"/>
                <w:sz w:val="20"/>
                <w:szCs w:val="20"/>
              </w:rPr>
              <w:t xml:space="preserve">Componente</w:t>
            </w:r>
          </w:p>
        </w:tc>
        <w:tc>
          <w:tcPr>
            <w:tcW w:type="dxa" w:w="2700"/>
            <w:shd w:fill="1F3864"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color w:val="FFFFFF"/>
                <w:sz w:val="20"/>
                <w:szCs w:val="20"/>
              </w:rPr>
              <w:t xml:space="preserve">Propósito</w:t>
            </w:r>
          </w:p>
        </w:tc>
        <w:tc>
          <w:tcPr>
            <w:tcW w:type="dxa" w:w="4360"/>
            <w:shd w:fill="1F3864"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color w:val="FFFFFF"/>
                <w:sz w:val="20"/>
                <w:szCs w:val="20"/>
              </w:rPr>
              <w:t xml:space="preserve">Justificación</w:t>
            </w:r>
          </w:p>
        </w:tc>
      </w:tr>
      <w:tr>
        <w:tc>
          <w:tcPr>
            <w:tcW w:type="dxa" w:w="230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bCs/>
                <w:sz w:val="20"/>
                <w:szCs w:val="20"/>
              </w:rPr>
              <w:t xml:space="preserve">Servidor de aplicaciones</w:t>
            </w:r>
          </w:p>
        </w:tc>
        <w:tc>
          <w:tcPr>
            <w:tcW w:type="dxa" w:w="270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Alojar el backend (Node.js) y el frontend</w:t>
            </w:r>
          </w:p>
        </w:tc>
        <w:tc>
          <w:tcPr>
            <w:tcW w:type="dxa" w:w="436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Provee el entorno de ejecución de la aplicación web y atiende las peticiones de los usuarios.</w:t>
            </w:r>
          </w:p>
        </w:tc>
      </w:tr>
      <w:tr>
        <w:tc>
          <w:tcPr>
            <w:tcW w:type="dxa" w:w="230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bCs/>
                <w:sz w:val="20"/>
                <w:szCs w:val="20"/>
              </w:rPr>
              <w:t xml:space="preserve">Servidor de base de datos</w:t>
            </w:r>
          </w:p>
        </w:tc>
        <w:tc>
          <w:tcPr>
            <w:tcW w:type="dxa" w:w="270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Ejecutar el gestor MySQL</w:t>
            </w:r>
          </w:p>
        </w:tc>
        <w:tc>
          <w:tcPr>
            <w:tcW w:type="dxa" w:w="436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Centraliza y resguarda la información; puede residir en el mismo servidor o en uno dedicado (RNF-13).</w:t>
            </w:r>
          </w:p>
        </w:tc>
      </w:tr>
      <w:tr>
        <w:tc>
          <w:tcPr>
            <w:tcW w:type="dxa" w:w="230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bCs/>
                <w:sz w:val="20"/>
                <w:szCs w:val="20"/>
              </w:rPr>
              <w:t xml:space="preserve">Certificado SSL/TLS (HTTPS)</w:t>
            </w:r>
          </w:p>
        </w:tc>
        <w:tc>
          <w:tcPr>
            <w:tcW w:type="dxa" w:w="270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Cifrar la comunicación</w:t>
            </w:r>
          </w:p>
        </w:tc>
        <w:tc>
          <w:tcPr>
            <w:tcW w:type="dxa" w:w="436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Garantiza la confidencialidad e integridad de los datos transmitidos (RNF-03).</w:t>
            </w:r>
          </w:p>
        </w:tc>
      </w:tr>
      <w:tr>
        <w:tc>
          <w:tcPr>
            <w:tcW w:type="dxa" w:w="230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bCs/>
                <w:sz w:val="20"/>
                <w:szCs w:val="20"/>
              </w:rPr>
              <w:t xml:space="preserve">Servicio de respaldos</w:t>
            </w:r>
          </w:p>
        </w:tc>
        <w:tc>
          <w:tcPr>
            <w:tcW w:type="dxa" w:w="270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Copias de seguridad periódicas</w:t>
            </w:r>
          </w:p>
        </w:tc>
        <w:tc>
          <w:tcPr>
            <w:tcW w:type="dxa" w:w="436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Asegura la recuperación de la información ante fallas o pérdida de datos (RNF-13).</w:t>
            </w:r>
          </w:p>
        </w:tc>
      </w:tr>
      <w:tr>
        <w:tc>
          <w:tcPr>
            <w:tcW w:type="dxa" w:w="230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bCs/>
                <w:sz w:val="20"/>
                <w:szCs w:val="20"/>
              </w:rPr>
              <w:t xml:space="preserve">Mecanismo de monitoreo / health check</w:t>
            </w:r>
          </w:p>
        </w:tc>
        <w:tc>
          <w:tcPr>
            <w:tcW w:type="dxa" w:w="270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Supervisar el estado de los servicios</w:t>
            </w:r>
          </w:p>
        </w:tc>
        <w:tc>
          <w:tcPr>
            <w:tcW w:type="dxa" w:w="436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Permite el reinicio automático y la verificación de disponibilidad (RNF-08).</w:t>
            </w:r>
          </w:p>
        </w:tc>
      </w:tr>
      <w:tr>
        <w:tc>
          <w:tcPr>
            <w:tcW w:type="dxa" w:w="230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b/>
                <w:bCs/>
                <w:sz w:val="20"/>
                <w:szCs w:val="20"/>
              </w:rPr>
              <w:t xml:space="preserve">Equipo de cómputo de desarrollo</w:t>
            </w:r>
          </w:p>
        </w:tc>
        <w:tc>
          <w:tcPr>
            <w:tcW w:type="dxa" w:w="270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Análisis, desarrollo y pruebas</w:t>
            </w:r>
          </w:p>
        </w:tc>
        <w:tc>
          <w:tcPr>
            <w:tcW w:type="dxa" w:w="436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Recurso disponible del investigador; no requiere adquisición de infraestructura adicional (RES-05).</w:t>
            </w:r>
          </w:p>
        </w:tc>
      </w:tr>
    </w:tbl>
    <w:p>
      <w:pPr>
        <w:spacing w:after="40" w:line="276"/>
        <w:jc w:val="both"/>
      </w:pPr>
      <w:r>
        <w:rPr>
          <w:rFonts w:ascii="Times New Roman" w:cs="Times New Roman" w:eastAsia="Times New Roman" w:hAnsi="Times New Roman"/>
          <w:sz w:val="24"/>
          <w:szCs w:val="24"/>
        </w:rPr>
        <w:t xml:space="preserve"/>
      </w:r>
    </w:p>
    <w:p>
      <w:pPr>
        <w:spacing w:after="220" w:line="276"/>
        <w:jc w:val="left"/>
      </w:pPr>
      <w:r>
        <w:rPr>
          <w:rFonts w:ascii="Times New Roman" w:cs="Times New Roman" w:eastAsia="Times New Roman" w:hAnsi="Times New Roman"/>
          <w:i/>
          <w:iCs/>
          <w:color w:val="555555"/>
          <w:sz w:val="20"/>
          <w:szCs w:val="20"/>
        </w:rPr>
        <w:t xml:space="preserve">Tabla 21. Infraestructura tecnológica.          Fuente: Elaboración propia.</w:t>
      </w:r>
    </w:p>
    <w:p>
      <w:pPr>
        <w:pStyle w:val="Heading1"/>
        <w:spacing w:after="200" w:before="240"/>
      </w:pPr>
      <w:r>
        <w:rPr>
          <w:rFonts w:ascii="Times New Roman" w:cs="Times New Roman" w:eastAsia="Times New Roman" w:hAnsi="Times New Roman"/>
          <w:b/>
          <w:bCs/>
          <w:color w:val="1F3864"/>
          <w:sz w:val="30"/>
          <w:szCs w:val="30"/>
        </w:rPr>
        <w:t xml:space="preserve">4.9 Matriz de trazabilidad</w:t>
      </w:r>
    </w:p>
    <w:p>
      <w:pPr>
        <w:spacing w:after="120" w:line="276"/>
        <w:jc w:val="both"/>
      </w:pPr>
      <w:r>
        <w:rPr>
          <w:rFonts w:ascii="Times New Roman" w:cs="Times New Roman" w:eastAsia="Times New Roman" w:hAnsi="Times New Roman"/>
          <w:sz w:val="24"/>
          <w:szCs w:val="24"/>
        </w:rPr>
        <w:t xml:space="preserve">La matriz de trazabilidad establece la relación entre las necesidades y objetivos identificados en la investigación, las reglas del negocio, las características de la solución y los requerimientos funcionales y no funcionales. Permite comprobar que cada elemento de la solución responde a una necesidad real de Server Guatemala y que ninguna necesidad queda sin atender.</w:t>
      </w:r>
    </w:p>
    <w:p>
      <w:pPr>
        <w:spacing w:after="60" w:line="276"/>
        <w:jc w:val="left"/>
      </w:pPr>
      <w:r>
        <w:rPr>
          <w:rFonts w:ascii="Times New Roman" w:cs="Times New Roman" w:eastAsia="Times New Roman" w:hAnsi="Times New Roman"/>
          <w:b/>
          <w:bCs/>
          <w:sz w:val="22"/>
          <w:szCs w:val="22"/>
        </w:rPr>
        <w:t xml:space="preserve">Tabla 22</w:t>
      </w:r>
    </w:p>
    <w:p>
      <w:pPr>
        <w:spacing w:after="60" w:line="276"/>
        <w:jc w:val="left"/>
      </w:pPr>
      <w:r>
        <w:rPr>
          <w:rFonts w:ascii="Times New Roman" w:cs="Times New Roman" w:eastAsia="Times New Roman" w:hAnsi="Times New Roman"/>
          <w:b/>
          <w:bCs/>
          <w:sz w:val="22"/>
          <w:szCs w:val="22"/>
        </w:rPr>
        <w:t xml:space="preserve">Matriz de trazabilidad de la solución</w:t>
      </w:r>
    </w:p>
    <w:tbl>
      <w:tblPr>
        <w:tblW w:type="dxa" w:w="9360"/>
        <w:tblBorders>
          <w:top w:val="single" w:color="AAB4C8" w:sz="4"/>
          <w:left w:val="single" w:color="AAB4C8" w:sz="4"/>
          <w:bottom w:val="single" w:color="AAB4C8" w:sz="4"/>
          <w:right w:val="single" w:color="AAB4C8" w:sz="4"/>
          <w:insideH w:val="single" w:color="C8D0DE" w:sz="2"/>
          <w:insideV w:val="single" w:color="C8D0DE" w:sz="2"/>
        </w:tblBorders>
        <w:tblLayout w:type="fixed"/>
      </w:tblPr>
      <w:tblGrid>
        <w:gridCol w:w="2050"/>
        <w:gridCol w:w="1550"/>
        <w:gridCol w:w="1450"/>
        <w:gridCol w:w="1950"/>
        <w:gridCol w:w="2360"/>
      </w:tblGrid>
      <w:tr>
        <w:trPr>
          <w:tblHeader/>
        </w:trPr>
        <w:tc>
          <w:tcPr>
            <w:tcW w:type="dxa" w:w="2050"/>
            <w:shd w:fill="1F3864"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color w:val="FFFFFF"/>
                <w:sz w:val="20"/>
                <w:szCs w:val="20"/>
              </w:rPr>
              <w:t xml:space="preserve">Necesidad</w:t>
            </w:r>
          </w:p>
        </w:tc>
        <w:tc>
          <w:tcPr>
            <w:tcW w:type="dxa" w:w="1550"/>
            <w:shd w:fill="1F3864"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color w:val="FFFFFF"/>
                <w:sz w:val="20"/>
                <w:szCs w:val="20"/>
              </w:rPr>
              <w:t xml:space="preserve">Objetivo</w:t>
            </w:r>
          </w:p>
        </w:tc>
        <w:tc>
          <w:tcPr>
            <w:tcW w:type="dxa" w:w="1450"/>
            <w:shd w:fill="1F3864"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color w:val="FFFFFF"/>
                <w:sz w:val="20"/>
                <w:szCs w:val="20"/>
              </w:rPr>
              <w:t xml:space="preserve">Característica</w:t>
            </w:r>
          </w:p>
        </w:tc>
        <w:tc>
          <w:tcPr>
            <w:tcW w:type="dxa" w:w="1950"/>
            <w:shd w:fill="1F3864"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color w:val="FFFFFF"/>
                <w:sz w:val="20"/>
                <w:szCs w:val="20"/>
              </w:rPr>
              <w:t xml:space="preserve">Regla de negocio</w:t>
            </w:r>
          </w:p>
        </w:tc>
        <w:tc>
          <w:tcPr>
            <w:tcW w:type="dxa" w:w="2360"/>
            <w:shd w:fill="1F3864"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b/>
                <w:bCs/>
                <w:color w:val="FFFFFF"/>
                <w:sz w:val="20"/>
                <w:szCs w:val="20"/>
              </w:rPr>
              <w:t xml:space="preserve">Requerimientos (RF / RNF)</w:t>
            </w:r>
          </w:p>
        </w:tc>
      </w:tr>
      <w:tr>
        <w:tc>
          <w:tcPr>
            <w:tcW w:type="dxa" w:w="205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N-01. Centralizar la información de incidencias y mantenimientos</w:t>
            </w:r>
          </w:p>
        </w:tc>
        <w:tc>
          <w:tcPr>
            <w:tcW w:type="dxa" w:w="155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OE-02</w:t>
            </w:r>
          </w:p>
        </w:tc>
        <w:tc>
          <w:tcPr>
            <w:tcW w:type="dxa" w:w="145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CAR-01, CAR-07</w:t>
            </w:r>
          </w:p>
        </w:tc>
        <w:tc>
          <w:tcPr>
            <w:tcW w:type="dxa" w:w="195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RN-01, RN-07</w:t>
            </w:r>
          </w:p>
        </w:tc>
        <w:tc>
          <w:tcPr>
            <w:tcW w:type="dxa" w:w="236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RF-01, RF-03, RF-10 / RNF-13, RNF-14</w:t>
            </w:r>
          </w:p>
        </w:tc>
      </w:tr>
      <w:tr>
        <w:tc>
          <w:tcPr>
            <w:tcW w:type="dxa" w:w="205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N-02. Dar seguimiento oportuno a las incidencias</w:t>
            </w:r>
          </w:p>
        </w:tc>
        <w:tc>
          <w:tcPr>
            <w:tcW w:type="dxa" w:w="155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OE-04</w:t>
            </w:r>
          </w:p>
        </w:tc>
        <w:tc>
          <w:tcPr>
            <w:tcW w:type="dxa" w:w="145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CAR-01, CAR-05</w:t>
            </w:r>
          </w:p>
        </w:tc>
        <w:tc>
          <w:tcPr>
            <w:tcW w:type="dxa" w:w="195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RN-01, RN-03</w:t>
            </w:r>
          </w:p>
        </w:tc>
        <w:tc>
          <w:tcPr>
            <w:tcW w:type="dxa" w:w="236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RF-02, RF-03, RF-07 / RNF-05</w:t>
            </w:r>
          </w:p>
        </w:tc>
      </w:tr>
      <w:tr>
        <w:tc>
          <w:tcPr>
            <w:tcW w:type="dxa" w:w="205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N-03. Anticipar fallas mediante análisis de datos</w:t>
            </w:r>
          </w:p>
        </w:tc>
        <w:tc>
          <w:tcPr>
            <w:tcW w:type="dxa" w:w="155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OE-03</w:t>
            </w:r>
          </w:p>
        </w:tc>
        <w:tc>
          <w:tcPr>
            <w:tcW w:type="dxa" w:w="145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CAR-03, CAR-04</w:t>
            </w:r>
          </w:p>
        </w:tc>
        <w:tc>
          <w:tcPr>
            <w:tcW w:type="dxa" w:w="195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RN-04, RN-05</w:t>
            </w:r>
          </w:p>
        </w:tc>
        <w:tc>
          <w:tcPr>
            <w:tcW w:type="dxa" w:w="236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RF-05, RF-06 / RNF-12</w:t>
            </w:r>
          </w:p>
        </w:tc>
      </w:tr>
      <w:tr>
        <w:tc>
          <w:tcPr>
            <w:tcW w:type="dxa" w:w="205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N-04. Reducir los tiempos de respuesta</w:t>
            </w:r>
          </w:p>
        </w:tc>
        <w:tc>
          <w:tcPr>
            <w:tcW w:type="dxa" w:w="155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OE-04</w:t>
            </w:r>
          </w:p>
        </w:tc>
        <w:tc>
          <w:tcPr>
            <w:tcW w:type="dxa" w:w="145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CAR-02, CAR-05</w:t>
            </w:r>
          </w:p>
        </w:tc>
        <w:tc>
          <w:tcPr>
            <w:tcW w:type="dxa" w:w="195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RN-02</w:t>
            </w:r>
          </w:p>
        </w:tc>
        <w:tc>
          <w:tcPr>
            <w:tcW w:type="dxa" w:w="236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RF-04, RF-07 / RNF-05, RNF-07</w:t>
            </w:r>
          </w:p>
        </w:tc>
      </w:tr>
      <w:tr>
        <w:tc>
          <w:tcPr>
            <w:tcW w:type="dxa" w:w="205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N-05. Acceder al historial de información</w:t>
            </w:r>
          </w:p>
        </w:tc>
        <w:tc>
          <w:tcPr>
            <w:tcW w:type="dxa" w:w="155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OE-02</w:t>
            </w:r>
          </w:p>
        </w:tc>
        <w:tc>
          <w:tcPr>
            <w:tcW w:type="dxa" w:w="145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CAR-07</w:t>
            </w:r>
          </w:p>
        </w:tc>
        <w:tc>
          <w:tcPr>
            <w:tcW w:type="dxa" w:w="195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RN-07</w:t>
            </w:r>
          </w:p>
        </w:tc>
        <w:tc>
          <w:tcPr>
            <w:tcW w:type="dxa" w:w="236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RF-10 / RNF-13</w:t>
            </w:r>
          </w:p>
        </w:tc>
      </w:tr>
      <w:tr>
        <w:tc>
          <w:tcPr>
            <w:tcW w:type="dxa" w:w="205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N-06. Garantizar un acceso seguro y controlado</w:t>
            </w:r>
          </w:p>
        </w:tc>
        <w:tc>
          <w:tcPr>
            <w:tcW w:type="dxa" w:w="155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OE-02</w:t>
            </w:r>
          </w:p>
        </w:tc>
        <w:tc>
          <w:tcPr>
            <w:tcW w:type="dxa" w:w="145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CAR-06</w:t>
            </w:r>
          </w:p>
        </w:tc>
        <w:tc>
          <w:tcPr>
            <w:tcW w:type="dxa" w:w="1950"/>
            <w:shd w:fill="F2F5FB" w:color="auto" w:val="clear"/>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RN-06</w:t>
            </w:r>
          </w:p>
        </w:tc>
        <w:tc>
          <w:tcPr>
            <w:tcW w:type="dxa" w:w="2360"/>
            <w:shd w:fill="F2F5FB" w:color="auto" w:val="clear"/>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RF-08, RF-09 / RNF-01, RNF-02, RNF-03, RNF-04</w:t>
            </w:r>
          </w:p>
        </w:tc>
      </w:tr>
      <w:tr>
        <w:tc>
          <w:tcPr>
            <w:tcW w:type="dxa" w:w="205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N-07. Disminuir errores de los procesos manuales</w:t>
            </w:r>
          </w:p>
        </w:tc>
        <w:tc>
          <w:tcPr>
            <w:tcW w:type="dxa" w:w="155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OE-05</w:t>
            </w:r>
          </w:p>
        </w:tc>
        <w:tc>
          <w:tcPr>
            <w:tcW w:type="dxa" w:w="145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CAR-01, CAR-02</w:t>
            </w:r>
          </w:p>
        </w:tc>
        <w:tc>
          <w:tcPr>
            <w:tcW w:type="dxa" w:w="1950"/>
            <w:tcMar>
              <w:top w:type="dxa" w:w="40"/>
              <w:left w:type="dxa" w:w="80"/>
              <w:bottom w:type="dxa" w:w="40"/>
              <w:right w:type="dxa" w:w="80"/>
            </w:tcMar>
            <w:vAlign w:val="center"/>
          </w:tcPr>
          <w:p>
            <w:pPr>
              <w:spacing w:after="20" w:line="240"/>
              <w:jc w:val="center"/>
            </w:pPr>
            <w:r>
              <w:rPr>
                <w:rFonts w:ascii="Times New Roman" w:cs="Times New Roman" w:eastAsia="Times New Roman" w:hAnsi="Times New Roman"/>
                <w:sz w:val="20"/>
                <w:szCs w:val="20"/>
              </w:rPr>
              <w:t xml:space="preserve">RN-03, RN-04</w:t>
            </w:r>
          </w:p>
        </w:tc>
        <w:tc>
          <w:tcPr>
            <w:tcW w:type="dxa" w:w="2360"/>
            <w:tcMar>
              <w:top w:type="dxa" w:w="40"/>
              <w:left w:type="dxa" w:w="80"/>
              <w:bottom w:type="dxa" w:w="40"/>
              <w:right w:type="dxa" w:w="80"/>
            </w:tcMar>
            <w:vAlign w:val="center"/>
          </w:tcPr>
          <w:p>
            <w:pPr>
              <w:spacing w:after="20" w:line="240"/>
              <w:jc w:val="left"/>
            </w:pPr>
            <w:r>
              <w:rPr>
                <w:rFonts w:ascii="Times New Roman" w:cs="Times New Roman" w:eastAsia="Times New Roman" w:hAnsi="Times New Roman"/>
                <w:sz w:val="20"/>
                <w:szCs w:val="20"/>
              </w:rPr>
              <w:t xml:space="preserve">RF-01, RF-04 / RNF-10, RNF-14</w:t>
            </w:r>
          </w:p>
        </w:tc>
      </w:tr>
    </w:tbl>
    <w:p>
      <w:pPr>
        <w:spacing w:after="40" w:line="276"/>
        <w:jc w:val="both"/>
      </w:pPr>
      <w:r>
        <w:rPr>
          <w:rFonts w:ascii="Times New Roman" w:cs="Times New Roman" w:eastAsia="Times New Roman" w:hAnsi="Times New Roman"/>
          <w:sz w:val="24"/>
          <w:szCs w:val="24"/>
        </w:rPr>
        <w:t xml:space="preserve"/>
      </w:r>
    </w:p>
    <w:p>
      <w:pPr>
        <w:spacing w:after="220" w:line="276"/>
        <w:jc w:val="left"/>
      </w:pPr>
      <w:r>
        <w:rPr>
          <w:rFonts w:ascii="Times New Roman" w:cs="Times New Roman" w:eastAsia="Times New Roman" w:hAnsi="Times New Roman"/>
          <w:i/>
          <w:iCs/>
          <w:color w:val="555555"/>
          <w:sz w:val="20"/>
          <w:szCs w:val="20"/>
        </w:rPr>
        <w:t xml:space="preserve">Tabla 22. Matriz de trazabilidad de la solución.          Fuente: Elaboración propia.</w:t>
      </w:r>
    </w:p>
    <w:p>
      <w:pPr>
        <w:spacing w:after="160" w:line="276"/>
        <w:jc w:val="both"/>
      </w:pPr>
      <w:r>
        <w:rPr>
          <w:rFonts w:ascii="Times New Roman" w:cs="Times New Roman" w:eastAsia="Times New Roman" w:hAnsi="Times New Roman"/>
          <w:sz w:val="24"/>
          <w:szCs w:val="24"/>
        </w:rPr>
        <w:t xml:space="preserve">Como se observa en la Tabla 22, cada necesidad identificada se vincula con un objetivo específico de la investigación, se traduce en una o varias características de la solución, se regula mediante reglas del negocio y se concreta en requerimientos funcionales y no funcionales verificables. Esta correspondencia confirma la coherencia entre la investigación realizada y la solución propuesta, y facilita la comprobación de su cumplimiento durante la fase de pruebas.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77777"/>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Requerimientos y Propuesta de la Solución</dc:title>
  <dc:creator>Trabajo de Graduación</dc:creator>
  <cp:lastModifiedBy>Un-named</cp:lastModifiedBy>
  <cp:revision>1</cp:revision>
  <dcterms:created xsi:type="dcterms:W3CDTF">2026-08-30T02:31:04.651Z</dcterms:created>
  <dcterms:modified xsi:type="dcterms:W3CDTF">2026-08-30T02:31:04.652Z</dcterms:modified>
</cp:coreProperties>
</file>

<file path=docProps/custom.xml><?xml version="1.0" encoding="utf-8"?>
<Properties xmlns="http://schemas.openxmlformats.org/officeDocument/2006/custom-properties" xmlns:vt="http://schemas.openxmlformats.org/officeDocument/2006/docPropsVTypes"/>
</file>