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line="360"/>
        <w:jc w:val="center"/>
      </w:pPr>
      <w:r>
        <w:rPr>
          <w:rFonts w:ascii="Times New Roman" w:cs="Times New Roman" w:eastAsia="Times New Roman" w:hAnsi="Times New Roman"/>
          <w:b/>
          <w:bCs/>
          <w:color w:val="000000"/>
          <w:sz w:val="24"/>
          <w:szCs w:val="24"/>
        </w:rPr>
        <w:t xml:space="preserve">CAPÍTULO VI (continuación): INTERFACES DE USUARIO Y PUESTA EN FUNCIONAMIENTO</w:t>
      </w:r>
    </w:p>
    <w:p>
      <w:pPr>
        <w:pStyle w:val="Heading2"/>
        <w:spacing w:after="120" w:before="200" w:line="360"/>
        <w:jc w:val="left"/>
      </w:pPr>
      <w:r>
        <w:rPr>
          <w:rFonts w:ascii="Times New Roman" w:cs="Times New Roman" w:eastAsia="Times New Roman" w:hAnsi="Times New Roman"/>
          <w:b/>
          <w:bCs/>
          <w:color w:val="000000"/>
          <w:sz w:val="24"/>
          <w:szCs w:val="24"/>
        </w:rPr>
        <w:t xml:space="preserve">6.13 Introducción</w:t>
      </w:r>
    </w:p>
    <w:p>
      <w:pPr>
        <w:spacing w:after="120" w:line="360"/>
        <w:ind w:firstLine="708"/>
        <w:jc w:val="both"/>
      </w:pPr>
      <w:r>
        <w:rPr>
          <w:rFonts w:ascii="Times New Roman" w:cs="Times New Roman" w:eastAsia="Times New Roman" w:hAnsi="Times New Roman"/>
          <w:color w:val="000000"/>
          <w:sz w:val="24"/>
          <w:szCs w:val="24"/>
        </w:rPr>
        <w:t xml:space="preserve">Este apartado complementa el desarrollo documentado previamente, profundizando en el diseño de las interfaces de usuario y en el proceso de implementación y puesta en funcionamiento de la solución para Server Guatemala. Se presentan las principales interfaces del sistema, describiendo su propósito, sus funcionalidades y la interacción con los usuarios; asimismo, se explica el proceso de implementación, incluyendo las configuraciones, las integraciones y los recursos tecnológicos utilizados para poner en funcionamiento la aplicación.</w:t>
      </w:r>
    </w:p>
    <w:p>
      <w:pPr>
        <w:spacing w:after="120" w:line="360"/>
        <w:ind w:firstLine="708"/>
        <w:jc w:val="both"/>
      </w:pPr>
      <w:r>
        <w:rPr>
          <w:rFonts w:ascii="Times New Roman" w:cs="Times New Roman" w:eastAsia="Times New Roman" w:hAnsi="Times New Roman"/>
          <w:color w:val="000000"/>
          <w:sz w:val="24"/>
          <w:szCs w:val="24"/>
        </w:rPr>
        <w:t xml:space="preserve">Cada interfaz y evidencia se identifica mediante su número de figura, se acompaña de una explicación y se relaciona con los requerimientos funcionales y con el diseño establecido en los capítulos anteriores, de modo que se evidencia la coherencia entre el análisis, el diseño y la implementación.</w:t>
      </w:r>
    </w:p>
    <w:p>
      <w:pPr>
        <w:pStyle w:val="Heading2"/>
        <w:spacing w:after="120" w:before="200" w:line="360"/>
        <w:jc w:val="left"/>
      </w:pPr>
      <w:r>
        <w:rPr>
          <w:rFonts w:ascii="Times New Roman" w:cs="Times New Roman" w:eastAsia="Times New Roman" w:hAnsi="Times New Roman"/>
          <w:b/>
          <w:bCs/>
          <w:color w:val="000000"/>
          <w:sz w:val="24"/>
          <w:szCs w:val="24"/>
        </w:rPr>
        <w:t xml:space="preserve">6.14 Diseño de las interfaces de usuario</w:t>
      </w:r>
    </w:p>
    <w:p>
      <w:pPr>
        <w:spacing w:after="120" w:line="360"/>
        <w:ind w:firstLine="708"/>
        <w:jc w:val="both"/>
      </w:pPr>
      <w:r>
        <w:rPr>
          <w:rFonts w:ascii="Times New Roman" w:cs="Times New Roman" w:eastAsia="Times New Roman" w:hAnsi="Times New Roman"/>
          <w:color w:val="000000"/>
          <w:sz w:val="24"/>
          <w:szCs w:val="24"/>
        </w:rPr>
        <w:t xml:space="preserve">Las interfaces del sistema se desarrollaron a partir del diseño de interfaces de la sección 5.11, conservando una estructura uniforme compuesta por un menú lateral de navegación, una barra superior y un área de contenido. Esta organización facilita la interacción del usuario y mantiene la coherencia visual entre las distintas pantallas. La siguiente tabla resume las principales interfaces del sistema.</w:t>
      </w:r>
    </w:p>
    <w:p>
      <w:pPr>
        <w:keepNext/>
        <w:spacing w:after="40" w:before="120" w:line="300"/>
      </w:pPr>
      <w:r>
        <w:rPr>
          <w:rFonts w:ascii="Times New Roman" w:cs="Times New Roman" w:eastAsia="Times New Roman" w:hAnsi="Times New Roman"/>
          <w:b/>
          <w:bCs/>
          <w:color w:val="000000"/>
          <w:sz w:val="24"/>
          <w:szCs w:val="24"/>
        </w:rPr>
        <w:t xml:space="preserve">Tabla 37 </w:t>
      </w:r>
      <w:r>
        <w:rPr>
          <w:rFonts w:ascii="Times New Roman" w:cs="Times New Roman" w:eastAsia="Times New Roman" w:hAnsi="Times New Roman"/>
          <w:b/>
          <w:bCs/>
          <w:color w:val="000000"/>
          <w:sz w:val="24"/>
          <w:szCs w:val="24"/>
        </w:rPr>
        <w:t xml:space="preserve">Resumen de las interfaces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principales interfaces, su propósito, sus funcionalidades y el requerimiento funcional asociado.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950"/>
        <w:gridCol w:w="2300"/>
        <w:gridCol w:w="3810"/>
        <w:gridCol w:w="1300"/>
      </w:tblGrid>
      <w:tr>
        <w:trPr>
          <w:tblHeader/>
        </w:trPr>
        <w:tc>
          <w:tcPr>
            <w:tcW w:type="dxa" w:w="19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Interfaz</w:t>
            </w:r>
          </w:p>
        </w:tc>
        <w:tc>
          <w:tcPr>
            <w:tcW w:type="dxa" w:w="2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Propósito</w:t>
            </w:r>
          </w:p>
        </w:tc>
        <w:tc>
          <w:tcPr>
            <w:tcW w:type="dxa" w:w="381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Funcionalidades principales</w:t>
            </w:r>
          </w:p>
        </w:tc>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RF</w:t>
            </w:r>
          </w:p>
        </w:tc>
      </w:tr>
      <w:tr>
        <w:tc>
          <w:tcPr>
            <w:tcW w:type="dxa" w:w="19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Inicio de sesión</w:t>
            </w:r>
          </w:p>
        </w:tc>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Autenticar al usuario</w:t>
            </w:r>
          </w:p>
        </w:tc>
        <w:tc>
          <w:tcPr>
            <w:tcW w:type="dxa" w:w="38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Validación de credenciales, acceso según rol.</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RF-08</w:t>
            </w:r>
          </w:p>
        </w:tc>
      </w:tr>
      <w:tr>
        <w:tc>
          <w:tcPr>
            <w:tcW w:type="dxa" w:w="19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Tablero de control</w:t>
            </w:r>
          </w:p>
        </w:tc>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Monitorear el estado general</w:t>
            </w:r>
          </w:p>
        </w:tc>
        <w:tc>
          <w:tcPr>
            <w:tcW w:type="dxa" w:w="38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Indicadores, gráfico de incidencias, equipos en riesgo.</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RF-07</w:t>
            </w:r>
          </w:p>
        </w:tc>
      </w:tr>
      <w:tr>
        <w:tc>
          <w:tcPr>
            <w:tcW w:type="dxa" w:w="19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incidencias</w:t>
            </w:r>
          </w:p>
        </w:tc>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Administrar incidencias</w:t>
            </w:r>
          </w:p>
        </w:tc>
        <w:tc>
          <w:tcPr>
            <w:tcW w:type="dxa" w:w="38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Listado, búsqueda, filtros, paginación, alta.</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RF-01, RF-03</w:t>
            </w:r>
          </w:p>
        </w:tc>
      </w:tr>
      <w:tr>
        <w:tc>
          <w:tcPr>
            <w:tcW w:type="dxa" w:w="19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incidencia</w:t>
            </w:r>
          </w:p>
        </w:tc>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Capturar una incidencia</w:t>
            </w:r>
          </w:p>
        </w:tc>
        <w:tc>
          <w:tcPr>
            <w:tcW w:type="dxa" w:w="38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Formulario con validación y asignación de responsable.</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RF-01, RF-02</w:t>
            </w:r>
          </w:p>
        </w:tc>
      </w:tr>
      <w:tr>
        <w:tc>
          <w:tcPr>
            <w:tcW w:type="dxa" w:w="19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Alertas predictivas</w:t>
            </w:r>
          </w:p>
        </w:tc>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Atender el riesgo de falla</w:t>
            </w:r>
          </w:p>
        </w:tc>
        <w:tc>
          <w:tcPr>
            <w:tcW w:type="dxa" w:w="38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Nivel de riesgo, probabilidad, generación de orden.</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RF-05, RF-06</w:t>
            </w:r>
          </w:p>
        </w:tc>
      </w:tr>
      <w:tr>
        <w:tc>
          <w:tcPr>
            <w:tcW w:type="dxa" w:w="19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usuarios</w:t>
            </w:r>
          </w:p>
        </w:tc>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Administrar cuentas</w:t>
            </w:r>
          </w:p>
        </w:tc>
        <w:tc>
          <w:tcPr>
            <w:tcW w:type="dxa" w:w="38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Alta, edición, estado y rol de los usuarios.</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RF-09</w:t>
            </w:r>
          </w:p>
        </w:tc>
      </w:tr>
    </w:tbl>
    <w:p>
      <w:pPr>
        <w:spacing w:after="200" w:before="40" w:line="300"/>
      </w:pPr>
      <w:r>
        <w:rPr>
          <w:rFonts w:ascii="Times New Roman" w:cs="Times New Roman" w:eastAsia="Times New Roman" w:hAnsi="Times New Roman"/>
          <w:i/>
          <w:iCs/>
          <w:color w:val="000000"/>
          <w:sz w:val="20"/>
          <w:szCs w:val="20"/>
        </w:rPr>
        <w:t xml:space="preserve">Tabla 37. Resumen de las interfaces del sistema.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6.14.1 Interfaz de inicio de sesión</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autenticar a los usuarios antes de permitir el acceso al sistema. Entre sus funcionalidades se encuentran la captura del correo y la contraseña, la validación de las credenciales y la redirección al área correspondiente según el rol del usuario. La interacción consiste en que el usuario ingresa sus datos y confirma el acceso; ante credenciales incorrectas, el sistema muestra un mensaje de error. Corresponde al requerimiento RF-08 y al diseño de seguridad del Capítulo V.</w:t>
      </w:r>
    </w:p>
    <w:p>
      <w:pPr>
        <w:keepNext/>
        <w:spacing w:after="40" w:before="160" w:line="300"/>
      </w:pPr>
      <w:r>
        <w:rPr>
          <w:rFonts w:ascii="Times New Roman" w:cs="Times New Roman" w:eastAsia="Times New Roman" w:hAnsi="Times New Roman"/>
          <w:b/>
          <w:bCs/>
          <w:color w:val="000000"/>
          <w:sz w:val="24"/>
          <w:szCs w:val="24"/>
        </w:rPr>
        <w:t xml:space="preserve">Figura 23 </w:t>
      </w:r>
      <w:r>
        <w:rPr>
          <w:rFonts w:ascii="Times New Roman" w:cs="Times New Roman" w:eastAsia="Times New Roman" w:hAnsi="Times New Roman"/>
          <w:b/>
          <w:bCs/>
          <w:color w:val="000000"/>
          <w:sz w:val="24"/>
          <w:szCs w:val="24"/>
        </w:rPr>
        <w:t xml:space="preserve">Pantalla de inicio de sesión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interfaz de autenticación, en la que el usuario ingresa su correo y contraseña para acceder al sistema.</w:t>
      </w:r>
    </w:p>
    <w:p>
      <w:pPr>
        <w:keepNext/>
        <w:spacing w:after="40"/>
        <w:jc w:val="center"/>
      </w:pPr>
      <w:r>
        <w:drawing>
          <wp:inline distT="0" distB="0" distL="0" distR="0">
            <wp:extent cx="4191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145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23. Pantalla de inicio de sesión.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6.14.2 Tablero de control</w:t>
      </w:r>
    </w:p>
    <w:p>
      <w:pPr>
        <w:spacing w:after="120" w:line="360"/>
        <w:ind w:firstLine="708"/>
        <w:jc w:val="both"/>
      </w:pPr>
      <w:r>
        <w:rPr>
          <w:rFonts w:ascii="Times New Roman" w:cs="Times New Roman" w:eastAsia="Times New Roman" w:hAnsi="Times New Roman"/>
          <w:color w:val="000000"/>
          <w:sz w:val="24"/>
          <w:szCs w:val="24"/>
        </w:rPr>
        <w:t xml:space="preserve">El tablero de control tiene como propósito ofrecer una visión general del estado de la gestión de incidencias y mantenimiento. Sus funcionalidades incluyen la presentación de indicadores (incidencias abiertas, resueltas, mantenimientos programados y alertas), un gráfico de incidencias por mes y un panel de equipos en riesgo. La interacción permite al usuario visualizar la información en tiempo real y acceder a los módulos desde el menú lateral. Corresponde al requerimiento RF-07.</w:t>
      </w:r>
    </w:p>
    <w:p>
      <w:pPr>
        <w:keepNext/>
        <w:spacing w:after="40" w:before="160" w:line="300"/>
      </w:pPr>
      <w:r>
        <w:rPr>
          <w:rFonts w:ascii="Times New Roman" w:cs="Times New Roman" w:eastAsia="Times New Roman" w:hAnsi="Times New Roman"/>
          <w:b/>
          <w:bCs/>
          <w:color w:val="000000"/>
          <w:sz w:val="24"/>
          <w:szCs w:val="24"/>
        </w:rPr>
        <w:t xml:space="preserve">Figura 24 </w:t>
      </w:r>
      <w:r>
        <w:rPr>
          <w:rFonts w:ascii="Times New Roman" w:cs="Times New Roman" w:eastAsia="Times New Roman" w:hAnsi="Times New Roman"/>
          <w:b/>
          <w:bCs/>
          <w:color w:val="000000"/>
          <w:sz w:val="24"/>
          <w:szCs w:val="24"/>
        </w:rPr>
        <w:t xml:space="preserve">Tablero de control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tablero con los indicadores, el gráfico de incidencias por mes y el panel de equipos en riesgo.</w:t>
      </w:r>
    </w:p>
    <w:p>
      <w:pPr>
        <w:keepNext/>
        <w:spacing w:after="40"/>
        <w:jc w:val="center"/>
      </w:pPr>
      <w:r>
        <w:drawing>
          <wp:inline distT="0" distB="0" distL="0" distR="0">
            <wp:extent cx="5334000" cy="3228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289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24. Tablero de control del sistema.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6.14.3 Interfaz de gestión de incidencias</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administrar las incidencias registradas. Sus funcionalidades comprenden la búsqueda por texto, el filtrado por estado y prioridad, la visualización del listado con indicadores de color y la paginación de resultados, además del acceso al registro de una nueva incidencia. La interacción permite al técnico localizar y dar seguimiento a las incidencias de forma eficiente. Corresponde a los requerimientos RF-01, RF-03 y RNF-06.</w:t>
      </w:r>
    </w:p>
    <w:p>
      <w:pPr>
        <w:keepNext/>
        <w:spacing w:after="40" w:before="160" w:line="300"/>
      </w:pPr>
      <w:r>
        <w:rPr>
          <w:rFonts w:ascii="Times New Roman" w:cs="Times New Roman" w:eastAsia="Times New Roman" w:hAnsi="Times New Roman"/>
          <w:b/>
          <w:bCs/>
          <w:color w:val="000000"/>
          <w:sz w:val="24"/>
          <w:szCs w:val="24"/>
        </w:rPr>
        <w:t xml:space="preserve">Figura 25 </w:t>
      </w:r>
      <w:r>
        <w:rPr>
          <w:rFonts w:ascii="Times New Roman" w:cs="Times New Roman" w:eastAsia="Times New Roman" w:hAnsi="Times New Roman"/>
          <w:b/>
          <w:bCs/>
          <w:color w:val="000000"/>
          <w:sz w:val="24"/>
          <w:szCs w:val="24"/>
        </w:rPr>
        <w:t xml:space="preserve">Módulo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incidencias con sus filtros, el estado y la prioridad de cada registro, y la opción de crear una nueva incidencia.</w:t>
      </w:r>
    </w:p>
    <w:p>
      <w:pPr>
        <w:keepNext/>
        <w:spacing w:after="40"/>
        <w:jc w:val="center"/>
      </w:pPr>
      <w:r>
        <w:drawing>
          <wp:inline distT="0" distB="0" distL="0" distR="0">
            <wp:extent cx="5334000" cy="2867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25. Módulo de gestión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6.14.4 Interfaz de registro de incidencia</w:t>
      </w:r>
    </w:p>
    <w:p>
      <w:pPr>
        <w:spacing w:after="120" w:line="360"/>
        <w:ind w:firstLine="708"/>
        <w:jc w:val="both"/>
      </w:pPr>
      <w:r>
        <w:rPr>
          <w:rFonts w:ascii="Times New Roman" w:cs="Times New Roman" w:eastAsia="Times New Roman" w:hAnsi="Times New Roman"/>
          <w:color w:val="000000"/>
          <w:sz w:val="24"/>
          <w:szCs w:val="24"/>
        </w:rPr>
        <w:t xml:space="preserve">El formulario de registro tiene como propósito capturar una nueva incidencia. Sus funcionalidades incluyen la selección del equipo afectado, el tipo, la prioridad, la descripción, la asignación del responsable y la validación de los datos antes de almacenarlos. La interacción consiste en que el usuario completa el formulario y confirma el registro, momento en el que el sistema ejecuta el análisis predictivo del equipo. Corresponde a los requerimientos RF-01 y RF-02.</w:t>
      </w:r>
    </w:p>
    <w:p>
      <w:pPr>
        <w:keepNext/>
        <w:spacing w:after="40" w:before="160" w:line="300"/>
      </w:pPr>
      <w:r>
        <w:rPr>
          <w:rFonts w:ascii="Times New Roman" w:cs="Times New Roman" w:eastAsia="Times New Roman" w:hAnsi="Times New Roman"/>
          <w:b/>
          <w:bCs/>
          <w:color w:val="000000"/>
          <w:sz w:val="24"/>
          <w:szCs w:val="24"/>
        </w:rPr>
        <w:t xml:space="preserve">Figura 26 </w:t>
      </w:r>
      <w:r>
        <w:rPr>
          <w:rFonts w:ascii="Times New Roman" w:cs="Times New Roman" w:eastAsia="Times New Roman" w:hAnsi="Times New Roman"/>
          <w:b/>
          <w:bCs/>
          <w:color w:val="000000"/>
          <w:sz w:val="24"/>
          <w:szCs w:val="24"/>
        </w:rPr>
        <w:t xml:space="preserve">Formulario de registro de incidencia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formulario de registro de una incidencia, con los campos del equipo, el tipo, la prioridad y el responsable.</w:t>
      </w:r>
    </w:p>
    <w:p>
      <w:pPr>
        <w:keepNext/>
        <w:spacing w:after="40"/>
        <w:jc w:val="center"/>
      </w:pPr>
      <w:r>
        <w:drawing>
          <wp:inline distT="0" distB="0" distL="0" distR="0">
            <wp:extent cx="4762500" cy="2867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26. Formulario de registro de incidencia.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6.14.5 Interfaz de alertas de mantenimiento predictivo</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presentar los equipos con mayor riesgo de falla estimado por el componente predictivo. Entre sus funcionalidades se encuentran la visualización del nivel de riesgo, la probabilidad de falla, el horizonte de predicción y la generación de la orden de revisión preventiva. La interacción permite al técnico priorizar las acciones y generar la orden desde la misma pantalla. Corresponde a los requerimientos RF-05 y RF-06 y a la regla de negocio RN-05.</w:t>
      </w:r>
    </w:p>
    <w:p>
      <w:pPr>
        <w:keepNext/>
        <w:spacing w:after="40" w:before="160" w:line="300"/>
      </w:pPr>
      <w:r>
        <w:rPr>
          <w:rFonts w:ascii="Times New Roman" w:cs="Times New Roman" w:eastAsia="Times New Roman" w:hAnsi="Times New Roman"/>
          <w:b/>
          <w:bCs/>
          <w:color w:val="000000"/>
          <w:sz w:val="24"/>
          <w:szCs w:val="24"/>
        </w:rPr>
        <w:t xml:space="preserve">Figura 27 </w:t>
      </w:r>
      <w:r>
        <w:rPr>
          <w:rFonts w:ascii="Times New Roman" w:cs="Times New Roman" w:eastAsia="Times New Roman" w:hAnsi="Times New Roman"/>
          <w:b/>
          <w:bCs/>
          <w:color w:val="000000"/>
          <w:sz w:val="24"/>
          <w:szCs w:val="24"/>
        </w:rPr>
        <w:t xml:space="preserve">Panel de alertas de mantenimiento predictivo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alertas generadas con su nivel de riesgo, la probabilidad de falla, el horizonte de 72 horas y la acción sugerida.</w:t>
      </w:r>
    </w:p>
    <w:p>
      <w:pPr>
        <w:keepNext/>
        <w:spacing w:after="40"/>
        <w:jc w:val="center"/>
      </w:pPr>
      <w:r>
        <w:drawing>
          <wp:inline distT="0" distB="0" distL="0" distR="0">
            <wp:extent cx="5334000" cy="2962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27. Panel de alertas de mantenimiento predictivo.</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6.14.6 Interfaz de gestión de usuarios</w:t>
      </w:r>
    </w:p>
    <w:p>
      <w:pPr>
        <w:spacing w:after="120" w:line="360"/>
        <w:ind w:firstLine="708"/>
        <w:jc w:val="both"/>
      </w:pPr>
      <w:r>
        <w:rPr>
          <w:rFonts w:ascii="Times New Roman" w:cs="Times New Roman" w:eastAsia="Times New Roman" w:hAnsi="Times New Roman"/>
          <w:color w:val="000000"/>
          <w:sz w:val="24"/>
          <w:szCs w:val="24"/>
        </w:rPr>
        <w:t xml:space="preserve">Esta interfaz, disponible para el rol Administrador, tiene como propósito administrar las cuentas y los roles del sistema. Sus funcionalidades incluyen el alta, la edición, la activación o desactivación de usuarios y la asignación de roles. La interacción permite controlar el acceso de acuerdo con la segregación de funciones definida. Corresponde al requerimiento RF-09 y al control de acceso por rol.</w:t>
      </w:r>
    </w:p>
    <w:p>
      <w:pPr>
        <w:keepNext/>
        <w:spacing w:after="40" w:before="160" w:line="300"/>
      </w:pPr>
      <w:r>
        <w:rPr>
          <w:rFonts w:ascii="Times New Roman" w:cs="Times New Roman" w:eastAsia="Times New Roman" w:hAnsi="Times New Roman"/>
          <w:b/>
          <w:bCs/>
          <w:color w:val="000000"/>
          <w:sz w:val="24"/>
          <w:szCs w:val="24"/>
        </w:rPr>
        <w:t xml:space="preserve">Figura 28 </w:t>
      </w:r>
      <w:r>
        <w:rPr>
          <w:rFonts w:ascii="Times New Roman" w:cs="Times New Roman" w:eastAsia="Times New Roman" w:hAnsi="Times New Roman"/>
          <w:b/>
          <w:bCs/>
          <w:color w:val="000000"/>
          <w:sz w:val="24"/>
          <w:szCs w:val="24"/>
        </w:rPr>
        <w:t xml:space="preserve">Módulo de gestión de usuarios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usuarios con su rol y estado, así como las opciones de administración disponibles para el Administrador.</w:t>
      </w:r>
    </w:p>
    <w:p>
      <w:pPr>
        <w:keepNext/>
        <w:spacing w:after="40"/>
        <w:jc w:val="center"/>
      </w:pPr>
      <w:r>
        <w:drawing>
          <wp:inline distT="0" distB="0" distL="0" distR="0">
            <wp:extent cx="5334000" cy="2781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813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28. Módulo de gestión de usuarios.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6.15 Proceso de implementación y puesta en funcionamiento</w:t>
      </w:r>
    </w:p>
    <w:p>
      <w:pPr>
        <w:spacing w:after="120" w:line="360"/>
        <w:ind w:firstLine="708"/>
        <w:jc w:val="both"/>
      </w:pPr>
      <w:r>
        <w:rPr>
          <w:rFonts w:ascii="Times New Roman" w:cs="Times New Roman" w:eastAsia="Times New Roman" w:hAnsi="Times New Roman"/>
          <w:color w:val="000000"/>
          <w:sz w:val="24"/>
          <w:szCs w:val="24"/>
        </w:rPr>
        <w:t xml:space="preserve">La puesta en funcionamiento de la solución integra los componentes desarrollados en una aplicación operativa. En esta sección se describen los recursos tecnológicos y las integraciones empleadas, las configuraciones de seguridad y el proceso de despliegue de la solución.</w:t>
      </w:r>
    </w:p>
    <w:p>
      <w:pPr>
        <w:pStyle w:val="Heading3"/>
        <w:spacing w:after="120" w:before="200" w:line="360"/>
        <w:jc w:val="left"/>
      </w:pPr>
      <w:r>
        <w:rPr>
          <w:rFonts w:ascii="Times New Roman" w:cs="Times New Roman" w:eastAsia="Times New Roman" w:hAnsi="Times New Roman"/>
          <w:b/>
          <w:bCs/>
          <w:color w:val="000000"/>
          <w:sz w:val="24"/>
          <w:szCs w:val="24"/>
        </w:rPr>
        <w:t xml:space="preserve">6.15.1 Recursos tecnológicos e integraciones</w:t>
      </w:r>
    </w:p>
    <w:p>
      <w:pPr>
        <w:spacing w:after="120" w:line="360"/>
        <w:ind w:firstLine="708"/>
        <w:jc w:val="both"/>
      </w:pPr>
      <w:r>
        <w:rPr>
          <w:rFonts w:ascii="Times New Roman" w:cs="Times New Roman" w:eastAsia="Times New Roman" w:hAnsi="Times New Roman"/>
          <w:color w:val="000000"/>
          <w:sz w:val="24"/>
          <w:szCs w:val="24"/>
        </w:rPr>
        <w:t xml:space="preserve">La solución integra varios componentes que se comunican entre sí mediante servicios REST. El frontend consume la API del backend; el backend se integra con la base de datos MySQL y con el servicio predictivo en Python; y todos los componentes se ejecutan en contenedores. La siguiente tabla describe los recursos y las integraciones utilizadas.</w:t>
      </w:r>
    </w:p>
    <w:p>
      <w:pPr>
        <w:keepNext/>
        <w:spacing w:after="40" w:before="120" w:line="300"/>
      </w:pPr>
      <w:r>
        <w:rPr>
          <w:rFonts w:ascii="Times New Roman" w:cs="Times New Roman" w:eastAsia="Times New Roman" w:hAnsi="Times New Roman"/>
          <w:b/>
          <w:bCs/>
          <w:color w:val="000000"/>
          <w:sz w:val="24"/>
          <w:szCs w:val="24"/>
        </w:rPr>
        <w:t xml:space="preserve">Tabla 38 </w:t>
      </w:r>
      <w:r>
        <w:rPr>
          <w:rFonts w:ascii="Times New Roman" w:cs="Times New Roman" w:eastAsia="Times New Roman" w:hAnsi="Times New Roman"/>
          <w:b/>
          <w:bCs/>
          <w:color w:val="000000"/>
          <w:sz w:val="24"/>
          <w:szCs w:val="24"/>
        </w:rPr>
        <w:t xml:space="preserve">Recursos tecnológicos e integraciones</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recursos tecnológicos y las integraciones empleadas para poner en funcionamiento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600"/>
        <w:gridCol w:w="3360"/>
        <w:gridCol w:w="3400"/>
      </w:tblGrid>
      <w:tr>
        <w:trPr>
          <w:tblHeader/>
        </w:trPr>
        <w:tc>
          <w:tcPr>
            <w:tcW w:type="dxa" w:w="26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Recurso / Integración</w:t>
            </w:r>
          </w:p>
        </w:tc>
        <w:tc>
          <w:tcPr>
            <w:tcW w:type="dxa" w:w="33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c>
          <w:tcPr>
            <w:tcW w:type="dxa" w:w="3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Función en la integración</w:t>
            </w:r>
          </w:p>
        </w:tc>
      </w:tr>
      <w:tr>
        <w:tc>
          <w:tcPr>
            <w:tcW w:type="dxa" w:w="26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Frontend – API REST</w:t>
            </w:r>
          </w:p>
        </w:tc>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frontend en React consume la API mediante Axios.</w:t>
            </w:r>
          </w:p>
        </w:tc>
        <w:tc>
          <w:tcPr>
            <w:tcW w:type="dxa" w:w="3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Envía y recibe los datos del sistema (RF-01 a RF-10).</w:t>
            </w:r>
          </w:p>
        </w:tc>
      </w:tr>
      <w:tr>
        <w:tc>
          <w:tcPr>
            <w:tcW w:type="dxa" w:w="26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Autenticación JWT</w:t>
            </w:r>
          </w:p>
        </w:tc>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Token de sesión emitido por el backend.</w:t>
            </w:r>
          </w:p>
        </w:tc>
        <w:tc>
          <w:tcPr>
            <w:tcW w:type="dxa" w:w="3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Autoriza las peticiones según el rol (RNF-02).</w:t>
            </w:r>
          </w:p>
        </w:tc>
      </w:tr>
      <w:tr>
        <w:tc>
          <w:tcPr>
            <w:tcW w:type="dxa" w:w="26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Backend – MySQL</w:t>
            </w:r>
          </w:p>
        </w:tc>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Conexión del backend con la base de datos.</w:t>
            </w:r>
          </w:p>
        </w:tc>
        <w:tc>
          <w:tcPr>
            <w:tcW w:type="dxa" w:w="3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Persiste incidencias, mantenimientos y usuarios.</w:t>
            </w:r>
          </w:p>
        </w:tc>
      </w:tr>
      <w:tr>
        <w:tc>
          <w:tcPr>
            <w:tcW w:type="dxa" w:w="26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Backend – Servicio predictivo</w:t>
            </w:r>
          </w:p>
        </w:tc>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Llamada REST interna al servicio en Python.</w:t>
            </w:r>
          </w:p>
        </w:tc>
        <w:tc>
          <w:tcPr>
            <w:tcW w:type="dxa" w:w="3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Obtiene el nivel de riesgo de un equipo (RF-05).</w:t>
            </w:r>
          </w:p>
        </w:tc>
      </w:tr>
      <w:tr>
        <w:tc>
          <w:tcPr>
            <w:tcW w:type="dxa" w:w="26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HTTPS / TLS</w:t>
            </w:r>
          </w:p>
        </w:tc>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Canal cifrado de comunicación.</w:t>
            </w:r>
          </w:p>
        </w:tc>
        <w:tc>
          <w:tcPr>
            <w:tcW w:type="dxa" w:w="3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Protege los datos transmitidos (RNF-03).</w:t>
            </w:r>
          </w:p>
        </w:tc>
      </w:tr>
      <w:tr>
        <w:tc>
          <w:tcPr>
            <w:tcW w:type="dxa" w:w="26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Docker Compose</w:t>
            </w:r>
          </w:p>
        </w:tc>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Orquestación de los contenedores.</w:t>
            </w:r>
          </w:p>
        </w:tc>
        <w:tc>
          <w:tcPr>
            <w:tcW w:type="dxa" w:w="3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Levanta y conecta todos los servicios.</w:t>
            </w:r>
          </w:p>
        </w:tc>
      </w:tr>
    </w:tbl>
    <w:p>
      <w:pPr>
        <w:spacing w:after="200" w:before="40" w:line="300"/>
      </w:pPr>
      <w:r>
        <w:rPr>
          <w:rFonts w:ascii="Times New Roman" w:cs="Times New Roman" w:eastAsia="Times New Roman" w:hAnsi="Times New Roman"/>
          <w:i/>
          <w:iCs/>
          <w:color w:val="000000"/>
          <w:sz w:val="20"/>
          <w:szCs w:val="20"/>
        </w:rPr>
        <w:t xml:space="preserve">Tabla 38. Recursos tecnológicos e integraciones.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6.15.2 Integración entre el frontend y la API</w:t>
      </w:r>
    </w:p>
    <w:p>
      <w:pPr>
        <w:spacing w:after="120" w:line="360"/>
        <w:ind w:firstLine="708"/>
        <w:jc w:val="both"/>
      </w:pPr>
      <w:r>
        <w:rPr>
          <w:rFonts w:ascii="Times New Roman" w:cs="Times New Roman" w:eastAsia="Times New Roman" w:hAnsi="Times New Roman"/>
          <w:color w:val="000000"/>
          <w:sz w:val="24"/>
          <w:szCs w:val="24"/>
        </w:rPr>
        <w:t xml:space="preserve">La integración entre el frontend y el backend se realiza mediante un cliente HTTP centralizado que define la dirección de la API y adjunta automáticamente el token de autenticación en cada petición. Además, gestiona el vencimiento de la sesión redirigiendo al inicio de sesión cuando el servidor responde que el acceso no está autorizado.</w:t>
      </w:r>
    </w:p>
    <w:p>
      <w:pPr>
        <w:keepNext/>
        <w:spacing w:after="40" w:before="160" w:line="300"/>
      </w:pPr>
      <w:r>
        <w:rPr>
          <w:rFonts w:ascii="Times New Roman" w:cs="Times New Roman" w:eastAsia="Times New Roman" w:hAnsi="Times New Roman"/>
          <w:b/>
          <w:bCs/>
          <w:color w:val="000000"/>
          <w:sz w:val="24"/>
          <w:szCs w:val="24"/>
        </w:rPr>
        <w:t xml:space="preserve">Figura 31 </w:t>
      </w:r>
      <w:r>
        <w:rPr>
          <w:rFonts w:ascii="Times New Roman" w:cs="Times New Roman" w:eastAsia="Times New Roman" w:hAnsi="Times New Roman"/>
          <w:b/>
          <w:bCs/>
          <w:color w:val="000000"/>
          <w:sz w:val="24"/>
          <w:szCs w:val="24"/>
        </w:rPr>
        <w:t xml:space="preserve">Integración del frontend con la API REST</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cliente HTTP del frontend que integra la aplicación con la API, incluyendo el envío del token de autenticación.</w:t>
      </w:r>
    </w:p>
    <w:p>
      <w:pPr>
        <w:keepNext/>
        <w:spacing w:after="40"/>
        <w:jc w:val="center"/>
      </w:pPr>
      <w:r>
        <w:drawing>
          <wp:inline distT="0" distB="0" distL="0" distR="0">
            <wp:extent cx="4953000" cy="2771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717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31. Integración del frontend con la API REST.</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6.15.3 Seguridad en la integración</w:t>
      </w:r>
    </w:p>
    <w:p>
      <w:pPr>
        <w:spacing w:after="120" w:line="360"/>
        <w:ind w:firstLine="708"/>
        <w:jc w:val="both"/>
      </w:pPr>
      <w:r>
        <w:rPr>
          <w:rFonts w:ascii="Times New Roman" w:cs="Times New Roman" w:eastAsia="Times New Roman" w:hAnsi="Times New Roman"/>
          <w:color w:val="000000"/>
          <w:sz w:val="24"/>
          <w:szCs w:val="24"/>
        </w:rPr>
        <w:t xml:space="preserve">En el backend, un componente intermedio verifica el token de cada petición y comprueba que el rol del usuario tenga permiso para la operación solicitada, devolviendo un acceso denegado cuando corresponde. De esta forma se aplica el control de acceso basado en roles en todas las integraciones, en correspondencia con el requerimiento RNF-02.</w:t>
      </w:r>
    </w:p>
    <w:p>
      <w:pPr>
        <w:keepNext/>
        <w:spacing w:after="40" w:before="160" w:line="300"/>
      </w:pPr>
      <w:r>
        <w:rPr>
          <w:rFonts w:ascii="Times New Roman" w:cs="Times New Roman" w:eastAsia="Times New Roman" w:hAnsi="Times New Roman"/>
          <w:b/>
          <w:bCs/>
          <w:color w:val="000000"/>
          <w:sz w:val="24"/>
          <w:szCs w:val="24"/>
        </w:rPr>
        <w:t xml:space="preserve">Figura 32 </w:t>
      </w:r>
      <w:r>
        <w:rPr>
          <w:rFonts w:ascii="Times New Roman" w:cs="Times New Roman" w:eastAsia="Times New Roman" w:hAnsi="Times New Roman"/>
          <w:b/>
          <w:bCs/>
          <w:color w:val="000000"/>
          <w:sz w:val="24"/>
          <w:szCs w:val="24"/>
        </w:rPr>
        <w:t xml:space="preserve">Control de acceso en la integración (backend)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componente intermedio que valida el token y el rol del usuario antes de permitir el acceso a los servicios.</w:t>
      </w:r>
    </w:p>
    <w:p>
      <w:pPr>
        <w:keepNext/>
        <w:spacing w:after="40"/>
        <w:jc w:val="center"/>
      </w:pPr>
      <w:r>
        <w:drawing>
          <wp:inline distT="0" distB="0" distL="0" distR="0">
            <wp:extent cx="4953000" cy="22479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479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32. Control de acceso en la integración (backend).</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6.15.4 Configuración y despliegue</w:t>
      </w:r>
    </w:p>
    <w:p>
      <w:pPr>
        <w:spacing w:after="120" w:line="360"/>
        <w:ind w:firstLine="708"/>
        <w:jc w:val="both"/>
      </w:pPr>
      <w:r>
        <w:rPr>
          <w:rFonts w:ascii="Times New Roman" w:cs="Times New Roman" w:eastAsia="Times New Roman" w:hAnsi="Times New Roman"/>
          <w:color w:val="000000"/>
          <w:sz w:val="24"/>
          <w:szCs w:val="24"/>
        </w:rPr>
        <w:t xml:space="preserve">El despliegue de la solución se realiza mediante Docker Compose, que construye y ejecuta los contenedores del frontend, el backend, el servicio predictivo y la base de datos, de acuerdo con la configuración presentada en la Figura 29 del apartado anterior. Los parámetros sensibles se definen mediante variables de entorno y no se incluyen en el repositorio. Una vez levantados los servicios, el sistema verifica su estado mediante una comprobación de salud que confirma la conexión con la base de datos y con el servicio predictivo.</w:t>
      </w:r>
    </w:p>
    <w:p>
      <w:pPr>
        <w:keepNext/>
        <w:spacing w:after="40" w:before="160" w:line="300"/>
      </w:pPr>
      <w:r>
        <w:rPr>
          <w:rFonts w:ascii="Times New Roman" w:cs="Times New Roman" w:eastAsia="Times New Roman" w:hAnsi="Times New Roman"/>
          <w:b/>
          <w:bCs/>
          <w:color w:val="000000"/>
          <w:sz w:val="24"/>
          <w:szCs w:val="24"/>
        </w:rPr>
        <w:t xml:space="preserve">Figura 33 </w:t>
      </w:r>
      <w:r>
        <w:rPr>
          <w:rFonts w:ascii="Times New Roman" w:cs="Times New Roman" w:eastAsia="Times New Roman" w:hAnsi="Times New Roman"/>
          <w:b/>
          <w:bCs/>
          <w:color w:val="000000"/>
          <w:sz w:val="24"/>
          <w:szCs w:val="24"/>
        </w:rPr>
        <w:t xml:space="preserve">Evidencia del despliegue de los servicios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ejecución de los contenedores mediante Docker Compose y la verificación de su estado y disponibilidad.</w:t>
      </w:r>
    </w:p>
    <w:p>
      <w:pPr>
        <w:keepNext/>
        <w:spacing w:after="40"/>
        <w:jc w:val="center"/>
      </w:pPr>
      <w:r>
        <w:drawing>
          <wp:inline distT="0" distB="0" distL="0" distR="0">
            <wp:extent cx="5143500" cy="1924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9240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33. Evidencia del despliegue de los servicios.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6.15.5 Proceso de puesta en funcionamiento</w:t>
      </w:r>
    </w:p>
    <w:p>
      <w:pPr>
        <w:spacing w:after="120" w:line="360"/>
        <w:ind w:firstLine="708"/>
        <w:jc w:val="both"/>
      </w:pPr>
      <w:r>
        <w:rPr>
          <w:rFonts w:ascii="Times New Roman" w:cs="Times New Roman" w:eastAsia="Times New Roman" w:hAnsi="Times New Roman"/>
          <w:color w:val="000000"/>
          <w:sz w:val="24"/>
          <w:szCs w:val="24"/>
        </w:rPr>
        <w:t xml:space="preserve">El proceso de puesta en funcionamiento sigue una secuencia definida que va desde el desarrollo del código hasta el acceso de los usuarios a la aplicación. La siguiente figura resume dicho proceso y la tabla posterior detalla cada uno de sus pasos.</w:t>
      </w:r>
    </w:p>
    <w:p>
      <w:pPr>
        <w:keepNext/>
        <w:spacing w:after="40" w:before="160" w:line="300"/>
      </w:pPr>
      <w:r>
        <w:rPr>
          <w:rFonts w:ascii="Times New Roman" w:cs="Times New Roman" w:eastAsia="Times New Roman" w:hAnsi="Times New Roman"/>
          <w:b/>
          <w:bCs/>
          <w:color w:val="000000"/>
          <w:sz w:val="24"/>
          <w:szCs w:val="24"/>
        </w:rPr>
        <w:t xml:space="preserve">Figura 30 </w:t>
      </w:r>
      <w:r>
        <w:rPr>
          <w:rFonts w:ascii="Times New Roman" w:cs="Times New Roman" w:eastAsia="Times New Roman" w:hAnsi="Times New Roman"/>
          <w:b/>
          <w:bCs/>
          <w:color w:val="000000"/>
          <w:sz w:val="24"/>
          <w:szCs w:val="24"/>
        </w:rPr>
        <w:t xml:space="preserve">Proceso de implementación y puesta en funcionamiento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etapas del proceso de implementación, desde el desarrollo y el control de versiones hasta la ejecución de los servicios y el acceso de los usuarios.</w:t>
      </w:r>
    </w:p>
    <w:p>
      <w:pPr>
        <w:keepNext/>
        <w:spacing w:after="40"/>
        <w:jc w:val="center"/>
      </w:pPr>
      <w:r>
        <w:drawing>
          <wp:inline distT="0" distB="0" distL="0" distR="0">
            <wp:extent cx="3429000" cy="3152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1527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30. Proceso de implementación y puesta en funcionamiento.</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39 </w:t>
      </w:r>
      <w:r>
        <w:rPr>
          <w:rFonts w:ascii="Times New Roman" w:cs="Times New Roman" w:eastAsia="Times New Roman" w:hAnsi="Times New Roman"/>
          <w:b/>
          <w:bCs/>
          <w:color w:val="000000"/>
          <w:sz w:val="24"/>
          <w:szCs w:val="24"/>
        </w:rPr>
        <w:t xml:space="preserve">Pasos de la puesta en funcionamiento</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pasos realizados para poner en funcionamiento la solución y el resultado esperado 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900"/>
        <w:gridCol w:w="4560"/>
        <w:gridCol w:w="3900"/>
      </w:tblGrid>
      <w:tr>
        <w:trPr>
          <w:tblHeader/>
        </w:trPr>
        <w:tc>
          <w:tcPr>
            <w:tcW w:type="dxa" w:w="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Paso</w:t>
            </w:r>
          </w:p>
        </w:tc>
        <w:tc>
          <w:tcPr>
            <w:tcW w:type="dxa" w:w="4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Actividad</w:t>
            </w:r>
          </w:p>
        </w:tc>
        <w:tc>
          <w:tcPr>
            <w:tcW w:type="dxa" w:w="3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Resultado</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1</w:t>
            </w:r>
          </w:p>
        </w:tc>
        <w:tc>
          <w:tcPr>
            <w:tcW w:type="dxa" w:w="4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Desarrollo del código de cada componente.</w:t>
            </w:r>
          </w:p>
        </w:tc>
        <w:tc>
          <w:tcPr>
            <w:tcW w:type="dxa" w:w="3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Módulos construidos según el diseño.</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2</w:t>
            </w:r>
          </w:p>
        </w:tc>
        <w:tc>
          <w:tcPr>
            <w:tcW w:type="dxa" w:w="4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Control de versiones con Git y GitHub.</w:t>
            </w:r>
          </w:p>
        </w:tc>
        <w:tc>
          <w:tcPr>
            <w:tcW w:type="dxa" w:w="3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Historial de cambios registrado.</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3</w:t>
            </w:r>
          </w:p>
        </w:tc>
        <w:tc>
          <w:tcPr>
            <w:tcW w:type="dxa" w:w="4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Construcción de las imágenes con Docker.</w:t>
            </w:r>
          </w:p>
        </w:tc>
        <w:tc>
          <w:tcPr>
            <w:tcW w:type="dxa" w:w="3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Imágenes listas para su ejecución.</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4</w:t>
            </w:r>
          </w:p>
        </w:tc>
        <w:tc>
          <w:tcPr>
            <w:tcW w:type="dxa" w:w="4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Orquestación con Docker Compose.</w:t>
            </w:r>
          </w:p>
        </w:tc>
        <w:tc>
          <w:tcPr>
            <w:tcW w:type="dxa" w:w="3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Servicios levantados y conectados.</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5</w:t>
            </w:r>
          </w:p>
        </w:tc>
        <w:tc>
          <w:tcPr>
            <w:tcW w:type="dxa" w:w="4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Verificación del estado de los servicios.</w:t>
            </w:r>
          </w:p>
        </w:tc>
        <w:tc>
          <w:tcPr>
            <w:tcW w:type="dxa" w:w="3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Servicios disponibles y saludables.</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6</w:t>
            </w:r>
          </w:p>
        </w:tc>
        <w:tc>
          <w:tcPr>
            <w:tcW w:type="dxa" w:w="4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Acceso de los usuarios vía navegador (HTTPS).</w:t>
            </w:r>
          </w:p>
        </w:tc>
        <w:tc>
          <w:tcPr>
            <w:tcW w:type="dxa" w:w="3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Aplicación en funcionamiento.</w:t>
            </w:r>
          </w:p>
        </w:tc>
      </w:tr>
    </w:tbl>
    <w:p>
      <w:pPr>
        <w:spacing w:after="200" w:before="40" w:line="300"/>
      </w:pPr>
      <w:r>
        <w:rPr>
          <w:rFonts w:ascii="Times New Roman" w:cs="Times New Roman" w:eastAsia="Times New Roman" w:hAnsi="Times New Roman"/>
          <w:i/>
          <w:iCs/>
          <w:color w:val="000000"/>
          <w:sz w:val="20"/>
          <w:szCs w:val="20"/>
        </w:rPr>
        <w:t xml:space="preserve">Tabla 39. Pasos de la puesta en funcionamiento.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6.16 Correspondencia con los requerimientos y el diseño</w:t>
      </w:r>
    </w:p>
    <w:p>
      <w:pPr>
        <w:spacing w:after="120" w:line="360"/>
        <w:ind w:firstLine="708"/>
        <w:jc w:val="both"/>
      </w:pPr>
      <w:r>
        <w:rPr>
          <w:rFonts w:ascii="Times New Roman" w:cs="Times New Roman" w:eastAsia="Times New Roman" w:hAnsi="Times New Roman"/>
          <w:color w:val="000000"/>
          <w:sz w:val="24"/>
          <w:szCs w:val="24"/>
        </w:rPr>
        <w:t xml:space="preserve">Con el fin de evidenciar la coherencia entre las interfaces, la implementación y los capítulos anteriores, la siguiente tabla relaciona cada elemento presentado con su evidencia y con el requerimiento o diseño al que responde.</w:t>
      </w:r>
    </w:p>
    <w:p>
      <w:pPr>
        <w:keepNext/>
        <w:spacing w:after="40" w:before="120" w:line="300"/>
      </w:pPr>
      <w:r>
        <w:rPr>
          <w:rFonts w:ascii="Times New Roman" w:cs="Times New Roman" w:eastAsia="Times New Roman" w:hAnsi="Times New Roman"/>
          <w:b/>
          <w:bCs/>
          <w:color w:val="000000"/>
          <w:sz w:val="24"/>
          <w:szCs w:val="24"/>
        </w:rPr>
        <w:t xml:space="preserve">Tabla 40 </w:t>
      </w:r>
      <w:r>
        <w:rPr>
          <w:rFonts w:ascii="Times New Roman" w:cs="Times New Roman" w:eastAsia="Times New Roman" w:hAnsi="Times New Roman"/>
          <w:b/>
          <w:bCs/>
          <w:color w:val="000000"/>
          <w:sz w:val="24"/>
          <w:szCs w:val="24"/>
        </w:rPr>
        <w:t xml:space="preserve">Correspondencia de las interfaces y la implementación</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interfaz o elemento de implementación con su figura y con el requerimiento o diseño correspondiente.</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000"/>
        <w:gridCol w:w="2200"/>
        <w:gridCol w:w="4160"/>
      </w:tblGrid>
      <w:tr>
        <w:trPr>
          <w:tblHeader/>
        </w:trPr>
        <w:tc>
          <w:tcPr>
            <w:tcW w:type="dxa" w:w="30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w:t>
            </w:r>
          </w:p>
        </w:tc>
        <w:tc>
          <w:tcPr>
            <w:tcW w:type="dxa" w:w="2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Evidencia</w:t>
            </w:r>
          </w:p>
        </w:tc>
        <w:tc>
          <w:tcPr>
            <w:tcW w:type="dxa" w:w="41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Requerimiento / Diseño</w:t>
            </w:r>
          </w:p>
        </w:tc>
      </w:tr>
      <w:tr>
        <w:tc>
          <w:tcPr>
            <w:tcW w:type="dxa" w:w="3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Inicio de sesión</w:t>
            </w:r>
          </w:p>
        </w:tc>
        <w:tc>
          <w:tcPr>
            <w:tcW w:type="dxa" w:w="2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23</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RF-08; diseño de seguridad (5.12)</w:t>
            </w:r>
          </w:p>
        </w:tc>
      </w:tr>
      <w:tr>
        <w:tc>
          <w:tcPr>
            <w:tcW w:type="dxa" w:w="3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Tablero de control</w:t>
            </w:r>
          </w:p>
        </w:tc>
        <w:tc>
          <w:tcPr>
            <w:tcW w:type="dxa" w:w="2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24</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RF-07; interfaz 5.11.2</w:t>
            </w:r>
          </w:p>
        </w:tc>
      </w:tr>
      <w:tr>
        <w:tc>
          <w:tcPr>
            <w:tcW w:type="dxa" w:w="3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incidencias</w:t>
            </w:r>
          </w:p>
        </w:tc>
        <w:tc>
          <w:tcPr>
            <w:tcW w:type="dxa" w:w="2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25</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RF-01, RF-03; RNF-06</w:t>
            </w:r>
          </w:p>
        </w:tc>
      </w:tr>
      <w:tr>
        <w:tc>
          <w:tcPr>
            <w:tcW w:type="dxa" w:w="3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incidencia</w:t>
            </w:r>
          </w:p>
        </w:tc>
        <w:tc>
          <w:tcPr>
            <w:tcW w:type="dxa" w:w="2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26</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RF-01, RF-02</w:t>
            </w:r>
          </w:p>
        </w:tc>
      </w:tr>
      <w:tr>
        <w:tc>
          <w:tcPr>
            <w:tcW w:type="dxa" w:w="3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Alertas predictivas</w:t>
            </w:r>
          </w:p>
        </w:tc>
        <w:tc>
          <w:tcPr>
            <w:tcW w:type="dxa" w:w="2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27</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RF-05, RF-06; RN-05</w:t>
            </w:r>
          </w:p>
        </w:tc>
      </w:tr>
      <w:tr>
        <w:tc>
          <w:tcPr>
            <w:tcW w:type="dxa" w:w="3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usuarios</w:t>
            </w:r>
          </w:p>
        </w:tc>
        <w:tc>
          <w:tcPr>
            <w:tcW w:type="dxa" w:w="2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28</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RF-09; RNF-02</w:t>
            </w:r>
          </w:p>
        </w:tc>
      </w:tr>
      <w:tr>
        <w:tc>
          <w:tcPr>
            <w:tcW w:type="dxa" w:w="3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Integración frontend – API</w:t>
            </w:r>
          </w:p>
        </w:tc>
        <w:tc>
          <w:tcPr>
            <w:tcW w:type="dxa" w:w="2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31</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RF-01 a RF-10; RNF-02</w:t>
            </w:r>
          </w:p>
        </w:tc>
      </w:tr>
      <w:tr>
        <w:tc>
          <w:tcPr>
            <w:tcW w:type="dxa" w:w="3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Control de acceso (backend)</w:t>
            </w:r>
          </w:p>
        </w:tc>
        <w:tc>
          <w:tcPr>
            <w:tcW w:type="dxa" w:w="2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32</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RNF-02</w:t>
            </w:r>
          </w:p>
        </w:tc>
      </w:tr>
      <w:tr>
        <w:tc>
          <w:tcPr>
            <w:tcW w:type="dxa" w:w="3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Despliegue de los servicios</w:t>
            </w:r>
          </w:p>
        </w:tc>
        <w:tc>
          <w:tcPr>
            <w:tcW w:type="dxa" w:w="2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Figuras 29, 30 y 33</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RNF-03, RNF-07, RNF-08</w:t>
            </w:r>
          </w:p>
        </w:tc>
      </w:tr>
    </w:tbl>
    <w:p>
      <w:pPr>
        <w:spacing w:after="200" w:before="40" w:line="300"/>
      </w:pPr>
      <w:r>
        <w:rPr>
          <w:rFonts w:ascii="Times New Roman" w:cs="Times New Roman" w:eastAsia="Times New Roman" w:hAnsi="Times New Roman"/>
          <w:i/>
          <w:iCs/>
          <w:color w:val="000000"/>
          <w:sz w:val="20"/>
          <w:szCs w:val="20"/>
        </w:rPr>
        <w:t xml:space="preserve">Tabla 40. Correspondencia de las interfaces y la implementación.</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evidencia presentada confirma que las interfaces y el proceso de implementación corresponden con los requerimientos funcionales y con el diseño establecido en los capítulos anteriores, integrando los elementos definidos en una aplicación funcional para Server Guatemala.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f26b6ee90e9a2727ff66dea098e1f5f5b289669.png"/><Relationship Id="rId9" Type="http://schemas.openxmlformats.org/officeDocument/2006/relationships/image" Target="media/329321d281e43b9cd54cd31446100353c40b3fc6.png"/><Relationship Id="rId10" Type="http://schemas.openxmlformats.org/officeDocument/2006/relationships/image" Target="media/8637a77c1481f8963817ca9140982a82212640b9.png"/><Relationship Id="rId11" Type="http://schemas.openxmlformats.org/officeDocument/2006/relationships/image" Target="media/9efd35547ab312bd0f630d24d5dd27f8800ac965.png"/><Relationship Id="rId12" Type="http://schemas.openxmlformats.org/officeDocument/2006/relationships/image" Target="media/90d7684396be717ee853ac252ea865c5fba4be2f.png"/><Relationship Id="rId13" Type="http://schemas.openxmlformats.org/officeDocument/2006/relationships/image" Target="media/0897f76abfb27aee782de5382703f7ffd648dd4e.png"/><Relationship Id="rId14" Type="http://schemas.openxmlformats.org/officeDocument/2006/relationships/image" Target="media/daaa7e2c04dc19469a63dbf01413e0bd3c16037a.png"/><Relationship Id="rId15" Type="http://schemas.openxmlformats.org/officeDocument/2006/relationships/image" Target="media/6af7dad90689ff280def2a9401c2d38b69beeb0d.png"/><Relationship Id="rId16" Type="http://schemas.openxmlformats.org/officeDocument/2006/relationships/image" Target="media/a8a43233075e66add6cdf16e17513bd42b3c0fca.png"/><Relationship Id="rId17" Type="http://schemas.openxmlformats.org/officeDocument/2006/relationships/image" Target="media/7c177ac052ddf54b2d62a40f1f76d965a64b311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2026-10-17T05:36:43.083Z</dcterms:created>
  <dcterms:modified xsi:type="dcterms:W3CDTF">2026-10-17T05:36:43.087Z</dcterms:modified>
</cp:coreProperties>
</file>

<file path=docProps/custom.xml><?xml version="1.0" encoding="utf-8"?>
<Properties xmlns="http://schemas.openxmlformats.org/officeDocument/2006/custom-properties" xmlns:vt="http://schemas.openxmlformats.org/officeDocument/2006/docPropsVTypes"/>
</file>