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jc w:val="center"/>
      </w:pPr>
      <w:r>
        <w:rPr>
          <w:rFonts w:ascii="Times New Roman" w:cs="Times New Roman" w:eastAsia="Times New Roman" w:hAnsi="Times New Roman"/>
          <w:b/>
          <w:bCs/>
          <w:color w:val="000000"/>
          <w:sz w:val="24"/>
          <w:szCs w:val="24"/>
        </w:rPr>
        <w:t xml:space="preserve">CAPÍTULO IV: ANÁLISIS DE LA APLICACIÓN O SOLUCIÓN</w:t>
      </w:r>
    </w:p>
    <w:p>
      <w:pPr>
        <w:pStyle w:val="Heading2"/>
        <w:spacing w:after="120" w:before="200" w:line="360"/>
        <w:jc w:val="left"/>
      </w:pPr>
      <w:r>
        <w:rPr>
          <w:rFonts w:ascii="Times New Roman" w:cs="Times New Roman" w:eastAsia="Times New Roman" w:hAnsi="Times New Roman"/>
          <w:b/>
          <w:bCs/>
          <w:color w:val="000000"/>
          <w:sz w:val="24"/>
          <w:szCs w:val="24"/>
        </w:rPr>
        <w:t xml:space="preserve">4.1 Introducción del capítulo</w:t>
      </w:r>
    </w:p>
    <w:p>
      <w:pPr>
        <w:spacing w:after="120" w:line="360"/>
        <w:ind w:firstLine="708"/>
        <w:jc w:val="both"/>
      </w:pPr>
      <w:r>
        <w:rPr>
          <w:rFonts w:ascii="Times New Roman" w:cs="Times New Roman" w:eastAsia="Times New Roman" w:hAnsi="Times New Roman"/>
          <w:color w:val="000000"/>
          <w:sz w:val="24"/>
          <w:szCs w:val="24"/>
        </w:rPr>
        <w:t xml:space="preserve">El presente capítulo desarrolla el análisis de la solución propuesta para Server Guatemala, a partir de las necesidades identificadas en el marco metodológico. Se describe el proyecto y los usuarios que intervienen, se definen las características de la solución, las reglas del negocio y las restricciones, y se especifican los requerimientos funcionales y no funcionales. Asimismo, se detalla el funcionamiento del componente predictivo, se identifican las herramientas de desarrollo e infraestructura tecnológica y se establece la matriz de trazabilidad que vincula cada necesidad con los elementos de la solución.</w:t>
      </w:r>
    </w:p>
    <w:p>
      <w:pPr>
        <w:spacing w:after="120" w:line="360"/>
        <w:ind w:firstLine="708"/>
        <w:jc w:val="both"/>
      </w:pPr>
      <w:r>
        <w:rPr>
          <w:rFonts w:ascii="Times New Roman" w:cs="Times New Roman" w:eastAsia="Times New Roman" w:hAnsi="Times New Roman"/>
          <w:color w:val="000000"/>
          <w:sz w:val="24"/>
          <w:szCs w:val="24"/>
        </w:rPr>
        <w:t xml:space="preserve">Con el propósito de garantizar la verificabilidad, cada requerimiento se redacta de forma específica y medible, y se asocia a un criterio de aceptación que podrá comprobarse durante la fase de pruebas del sistema descrita en el marco metodológico.</w:t>
      </w:r>
    </w:p>
    <w:p>
      <w:pPr>
        <w:pStyle w:val="Heading2"/>
        <w:spacing w:after="120" w:before="200" w:line="360"/>
        <w:jc w:val="left"/>
      </w:pPr>
      <w:r>
        <w:rPr>
          <w:rFonts w:ascii="Times New Roman" w:cs="Times New Roman" w:eastAsia="Times New Roman" w:hAnsi="Times New Roman"/>
          <w:b/>
          <w:bCs/>
          <w:color w:val="000000"/>
          <w:sz w:val="24"/>
          <w:szCs w:val="24"/>
        </w:rPr>
        <w:t xml:space="preserve">4.2 Descripción del proyecto</w:t>
      </w:r>
    </w:p>
    <w:p>
      <w:pPr>
        <w:spacing w:after="120" w:line="360"/>
        <w:ind w:firstLine="708"/>
        <w:jc w:val="both"/>
      </w:pPr>
      <w:r>
        <w:rPr>
          <w:rFonts w:ascii="Times New Roman" w:cs="Times New Roman" w:eastAsia="Times New Roman" w:hAnsi="Times New Roman"/>
          <w:color w:val="000000"/>
          <w:sz w:val="24"/>
          <w:szCs w:val="24"/>
        </w:rPr>
        <w:t xml:space="preserve">La solución consiste en un sistema web para la gestión de incidencias y mantenimiento predictivo, orientado a centralizar la información técnica de Server Guatemala y a anticipar posibles fallas en los equipos y servicios administrados. El sistema permite registrar y dar seguimiento a las incidencias, programar y controlar las actividades de mantenimiento, analizar los datos históricos mediante un componente predictivo y presentar la información relevante a través de un tablero de control.</w:t>
      </w:r>
    </w:p>
    <w:p>
      <w:pPr>
        <w:spacing w:after="120" w:line="360"/>
        <w:ind w:firstLine="708"/>
        <w:jc w:val="both"/>
      </w:pPr>
      <w:r>
        <w:rPr>
          <w:rFonts w:ascii="Times New Roman" w:cs="Times New Roman" w:eastAsia="Times New Roman" w:hAnsi="Times New Roman"/>
          <w:color w:val="000000"/>
          <w:sz w:val="24"/>
          <w:szCs w:val="24"/>
        </w:rPr>
        <w:t xml:space="preserve">La aplicación se construye bajo una arquitectura cliente-servidor. La interfaz se desarrolla con React, la lógica del negocio se implementa con Node.js y la información se almacena en una base de datos MySQL; la comunicación entre los componentes se realiza mediante servicios web basados en el estilo REST sobre el protocolo HTTPS.</w:t>
      </w:r>
    </w:p>
    <w:p>
      <w:pPr>
        <w:pStyle w:val="Heading2"/>
        <w:spacing w:after="120" w:before="200" w:line="360"/>
        <w:jc w:val="left"/>
      </w:pPr>
      <w:r>
        <w:rPr>
          <w:rFonts w:ascii="Times New Roman" w:cs="Times New Roman" w:eastAsia="Times New Roman" w:hAnsi="Times New Roman"/>
          <w:b/>
          <w:bCs/>
          <w:color w:val="000000"/>
          <w:sz w:val="24"/>
          <w:szCs w:val="24"/>
        </w:rPr>
        <w:t xml:space="preserve">4.3 Identificación de usuarios</w:t>
      </w:r>
    </w:p>
    <w:p>
      <w:pPr>
        <w:spacing w:after="120" w:line="360"/>
        <w:ind w:firstLine="708"/>
        <w:jc w:val="both"/>
      </w:pPr>
      <w:r>
        <w:rPr>
          <w:rFonts w:ascii="Times New Roman" w:cs="Times New Roman" w:eastAsia="Times New Roman" w:hAnsi="Times New Roman"/>
          <w:color w:val="000000"/>
          <w:sz w:val="24"/>
          <w:szCs w:val="24"/>
        </w:rPr>
        <w:t xml:space="preserve">Los usuarios del sistema se organizan en cuatro roles, cada uno con responsabilidades y permisos diferenciados. Esta clasificación permite aplicar el control de acceso basado en roles y asegurar la segregación de funciones dentro de la organización.</w:t>
      </w:r>
    </w:p>
    <w:p>
      <w:pPr>
        <w:keepNext/>
        <w:spacing w:after="40" w:before="120" w:line="300"/>
      </w:pPr>
      <w:r>
        <w:rPr>
          <w:rFonts w:ascii="Times New Roman" w:cs="Times New Roman" w:eastAsia="Times New Roman" w:hAnsi="Times New Roman"/>
          <w:b/>
          <w:bCs/>
          <w:color w:val="000000"/>
          <w:sz w:val="24"/>
          <w:szCs w:val="24"/>
        </w:rPr>
        <w:t xml:space="preserve">Tabla 14 </w:t>
      </w:r>
      <w:r>
        <w:rPr>
          <w:rFonts w:ascii="Times New Roman" w:cs="Times New Roman" w:eastAsia="Times New Roman" w:hAnsi="Times New Roman"/>
          <w:b/>
          <w:bCs/>
          <w:color w:val="000000"/>
          <w:sz w:val="24"/>
          <w:szCs w:val="24"/>
        </w:rPr>
        <w:t xml:space="preserve">Identificación de usuarios del sistema</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roles de usuario contemplados en la solución, así como sus principales responsabilidades e interacciones con el sistema.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700"/>
        <w:gridCol w:w="3560"/>
        <w:gridCol w:w="4100"/>
      </w:tblGrid>
      <w:tr>
        <w:trPr>
          <w:tblHeader/>
        </w:trPr>
        <w:tc>
          <w:tcPr>
            <w:tcW w:type="dxa" w:w="17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Rol</w:t>
            </w:r>
          </w:p>
        </w:tc>
        <w:tc>
          <w:tcPr>
            <w:tcW w:type="dxa" w:w="35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Responsabilidad principal</w:t>
            </w:r>
          </w:p>
        </w:tc>
        <w:tc>
          <w:tcPr>
            <w:tcW w:type="dxa" w:w="4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Principales interacciones</w:t>
            </w:r>
          </w:p>
        </w:tc>
      </w:tr>
      <w:tr>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Administrador</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Gestión integral del sistema</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Administrar usuarios y roles, configurar parámetros y consultar la bitácora.</w:t>
            </w:r>
          </w:p>
        </w:tc>
      </w:tr>
      <w:tr>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Técnico</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Registro y atención de incidencias</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Registrar y atender incidencias, ejecutar mantenimientos y recibir alertas.</w:t>
            </w:r>
          </w:p>
        </w:tc>
      </w:tr>
      <w:tr>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Supervisor</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Monitoreo y control</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Visualizar el tablero, dar seguimiento y aprobar reportes.</w:t>
            </w:r>
          </w:p>
        </w:tc>
      </w:tr>
      <w:tr>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Usuario</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Consulta y reporte</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Registrar incidencias y consultar su estado.</w:t>
            </w:r>
          </w:p>
        </w:tc>
      </w:tr>
    </w:tbl>
    <w:p>
      <w:pPr>
        <w:spacing w:after="200" w:before="40" w:line="300"/>
      </w:pPr>
      <w:r>
        <w:rPr>
          <w:rFonts w:ascii="Times New Roman" w:cs="Times New Roman" w:eastAsia="Times New Roman" w:hAnsi="Times New Roman"/>
          <w:i/>
          <w:iCs/>
          <w:color w:val="000000"/>
          <w:sz w:val="20"/>
          <w:szCs w:val="20"/>
        </w:rPr>
        <w:t xml:space="preserve">Tabla 14. Identificación de usuarios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4.4 Características de la solución</w:t>
      </w:r>
    </w:p>
    <w:p>
      <w:pPr>
        <w:spacing w:after="120" w:line="360"/>
        <w:ind w:firstLine="708"/>
        <w:jc w:val="both"/>
      </w:pPr>
      <w:r>
        <w:rPr>
          <w:rFonts w:ascii="Times New Roman" w:cs="Times New Roman" w:eastAsia="Times New Roman" w:hAnsi="Times New Roman"/>
          <w:color w:val="000000"/>
          <w:sz w:val="24"/>
          <w:szCs w:val="24"/>
        </w:rPr>
        <w:t xml:space="preserve">Las características describen las capacidades generales que la solución debe ofrecer para atender las necesidades detectadas. Constituyen el nivel más alto de la especificación y sirven de origen para la definición de las reglas del negocio y los requerimientos.</w:t>
      </w:r>
    </w:p>
    <w:p>
      <w:pPr>
        <w:keepNext/>
        <w:spacing w:after="40" w:before="120" w:line="300"/>
      </w:pPr>
      <w:r>
        <w:rPr>
          <w:rFonts w:ascii="Times New Roman" w:cs="Times New Roman" w:eastAsia="Times New Roman" w:hAnsi="Times New Roman"/>
          <w:b/>
          <w:bCs/>
          <w:color w:val="000000"/>
          <w:sz w:val="24"/>
          <w:szCs w:val="24"/>
        </w:rPr>
        <w:t xml:space="preserve">Tabla 15 </w:t>
      </w:r>
      <w:r>
        <w:rPr>
          <w:rFonts w:ascii="Times New Roman" w:cs="Times New Roman" w:eastAsia="Times New Roman" w:hAnsi="Times New Roman"/>
          <w:b/>
          <w:bCs/>
          <w:color w:val="000000"/>
          <w:sz w:val="24"/>
          <w:szCs w:val="24"/>
        </w:rPr>
        <w:t xml:space="preserve">Características de la solución propuesta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características principales de la solución y una breve descripción de cada una.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300"/>
        <w:gridCol w:w="3560"/>
        <w:gridCol w:w="4500"/>
      </w:tblGrid>
      <w:tr>
        <w:trPr>
          <w:tblHeader/>
        </w:trPr>
        <w:tc>
          <w:tcPr>
            <w:tcW w:type="dxa" w:w="1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35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Característica</w:t>
            </w:r>
          </w:p>
        </w:tc>
        <w:tc>
          <w:tcPr>
            <w:tcW w:type="dxa" w:w="4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Descripción</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CAR-01</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Gestión centralizada de incidencias</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Registrar, clasificar y dar seguimiento a las incidencias técnicas en un único repositorio.</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CAR-02</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Gestión de mantenimientos</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Administrar mantenimientos preventivos y correctivos, con su programación e historial.</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CAR-03</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Mantenimiento predictivo asistido</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Anticipar posibles fallas de equipos y servicios a partir del análisis de datos históricos.</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CAR-04</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Generación de alertas</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Emitir alertas cuando el nivel de riesgo estimado supere los umbrales definidos.</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CAR-05</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Tablero de control</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Visualizar indicadores, estadísticas y estado de incidencias y mantenimientos.</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CAR-06</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Administración de usuarios y roles</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Controlar el acceso mediante roles diferenciados y permisos por funcionalidad.</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CAR-07</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Registro histórico y reportería</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Conservar el historial y generar reportes para la toma de decisiones.</w:t>
            </w:r>
          </w:p>
        </w:tc>
      </w:tr>
    </w:tbl>
    <w:p>
      <w:pPr>
        <w:spacing w:after="200" w:before="40" w:line="300"/>
      </w:pPr>
      <w:r>
        <w:rPr>
          <w:rFonts w:ascii="Times New Roman" w:cs="Times New Roman" w:eastAsia="Times New Roman" w:hAnsi="Times New Roman"/>
          <w:i/>
          <w:iCs/>
          <w:color w:val="000000"/>
          <w:sz w:val="20"/>
          <w:szCs w:val="20"/>
        </w:rPr>
        <w:t xml:space="preserve">Tabla 15. Características de la solución propuesta.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4.5 Reglas del negocio</w:t>
      </w:r>
    </w:p>
    <w:p>
      <w:pPr>
        <w:spacing w:after="120" w:line="360"/>
        <w:ind w:firstLine="708"/>
        <w:jc w:val="both"/>
      </w:pPr>
      <w:r>
        <w:rPr>
          <w:rFonts w:ascii="Times New Roman" w:cs="Times New Roman" w:eastAsia="Times New Roman" w:hAnsi="Times New Roman"/>
          <w:color w:val="000000"/>
          <w:sz w:val="24"/>
          <w:szCs w:val="24"/>
        </w:rPr>
        <w:t xml:space="preserve">Las reglas del negocio son las políticas y condiciones propias de la operación de Server Guatemala que el sistema debe respetar. Se originan en la forma de trabajar de la organización y no en decisiones técnicas; por ello se presentan de manera separada de las restricciones de la solución. Se identifican con la nomenclatura RN.</w:t>
      </w:r>
    </w:p>
    <w:p>
      <w:pPr>
        <w:keepNext/>
        <w:spacing w:after="40" w:before="120" w:line="300"/>
      </w:pPr>
      <w:r>
        <w:rPr>
          <w:rFonts w:ascii="Times New Roman" w:cs="Times New Roman" w:eastAsia="Times New Roman" w:hAnsi="Times New Roman"/>
          <w:b/>
          <w:bCs/>
          <w:color w:val="000000"/>
          <w:sz w:val="24"/>
          <w:szCs w:val="24"/>
        </w:rPr>
        <w:t xml:space="preserve">Tabla 16 </w:t>
      </w:r>
      <w:r>
        <w:rPr>
          <w:rFonts w:ascii="Times New Roman" w:cs="Times New Roman" w:eastAsia="Times New Roman" w:hAnsi="Times New Roman"/>
          <w:b/>
          <w:bCs/>
          <w:color w:val="000000"/>
          <w:sz w:val="24"/>
          <w:szCs w:val="24"/>
        </w:rPr>
        <w:t xml:space="preserve">Reglas del negocio</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reglas del negocio que condicionan el comportamiento de la solución.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300"/>
        <w:gridCol w:w="3060"/>
        <w:gridCol w:w="5000"/>
      </w:tblGrid>
      <w:tr>
        <w:trPr>
          <w:tblHeader/>
        </w:trPr>
        <w:tc>
          <w:tcPr>
            <w:tcW w:type="dxa" w:w="1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30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Regla del negocio</w:t>
            </w:r>
          </w:p>
        </w:tc>
        <w:tc>
          <w:tcPr>
            <w:tcW w:type="dxa" w:w="50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Descripción</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RN-01</w:t>
            </w:r>
          </w:p>
        </w:tc>
        <w:tc>
          <w:tcPr>
            <w:tcW w:type="dxa" w:w="3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Responsable obligatorio</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Toda incidencia debe registrarse con un técnico responsable de su atención.</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RN-02</w:t>
            </w:r>
          </w:p>
        </w:tc>
        <w:tc>
          <w:tcPr>
            <w:tcW w:type="dxa" w:w="3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Prioridad por criticidad</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incidencias sobre servicios críticos se atienden con prioridad alta.</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RN-03</w:t>
            </w:r>
          </w:p>
        </w:tc>
        <w:tc>
          <w:tcPr>
            <w:tcW w:type="dxa" w:w="3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Cierre con evidencia</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Una incidencia solo puede marcarse como resuelta cuando se documenta la solución aplicada.</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RN-04</w:t>
            </w:r>
          </w:p>
        </w:tc>
        <w:tc>
          <w:tcPr>
            <w:tcW w:type="dxa" w:w="3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Clasificación del mantenimiento</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Cada actividad se clasifica como preventiva, correctiva o predictiva.</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RN-05</w:t>
            </w:r>
          </w:p>
        </w:tc>
        <w:tc>
          <w:tcPr>
            <w:tcW w:type="dxa" w:w="3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Orden ante riesgo alto o crítico</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Cuando el análisis predictivo estime un nivel de riesgo alto o crítico, el sistema debe generar una orden de revisión preventiva.</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RN-06</w:t>
            </w:r>
          </w:p>
        </w:tc>
        <w:tc>
          <w:tcPr>
            <w:tcW w:type="dxa" w:w="3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Segregación de funciones</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Cada rol ejecuta únicamente las funciones que le corresponden según su perfil.</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RN-07</w:t>
            </w:r>
          </w:p>
        </w:tc>
        <w:tc>
          <w:tcPr>
            <w:tcW w:type="dxa" w:w="3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Conservación del historial</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Los registros de incidencias y mantenimientos no se eliminan; se conservan para el análisis histórico.</w:t>
            </w:r>
          </w:p>
        </w:tc>
      </w:tr>
    </w:tbl>
    <w:p>
      <w:pPr>
        <w:spacing w:after="200" w:before="40" w:line="300"/>
      </w:pPr>
      <w:r>
        <w:rPr>
          <w:rFonts w:ascii="Times New Roman" w:cs="Times New Roman" w:eastAsia="Times New Roman" w:hAnsi="Times New Roman"/>
          <w:i/>
          <w:iCs/>
          <w:color w:val="000000"/>
          <w:sz w:val="20"/>
          <w:szCs w:val="20"/>
        </w:rPr>
        <w:t xml:space="preserve">Tabla 16. Reglas del negocio.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4.6 Restricciones de la solución</w:t>
      </w:r>
    </w:p>
    <w:p>
      <w:pPr>
        <w:spacing w:after="120" w:line="360"/>
        <w:ind w:firstLine="708"/>
        <w:jc w:val="both"/>
      </w:pPr>
      <w:r>
        <w:rPr>
          <w:rFonts w:ascii="Times New Roman" w:cs="Times New Roman" w:eastAsia="Times New Roman" w:hAnsi="Times New Roman"/>
          <w:color w:val="000000"/>
          <w:sz w:val="24"/>
          <w:szCs w:val="24"/>
        </w:rPr>
        <w:t xml:space="preserve">A diferencia de las reglas del negocio, las restricciones son limitaciones técnicas, tecnológicas o de proyecto que condicionan el diseño y la construcción del sistema. No describen la lógica operativa de la empresa, sino los límites dentro de los cuales debe desarrollarse la solución. Se identifican con la nomenclatura RES.</w:t>
      </w:r>
    </w:p>
    <w:p>
      <w:pPr>
        <w:keepNext/>
        <w:spacing w:after="40" w:before="120" w:line="300"/>
      </w:pPr>
      <w:r>
        <w:rPr>
          <w:rFonts w:ascii="Times New Roman" w:cs="Times New Roman" w:eastAsia="Times New Roman" w:hAnsi="Times New Roman"/>
          <w:b/>
          <w:bCs/>
          <w:color w:val="000000"/>
          <w:sz w:val="24"/>
          <w:szCs w:val="24"/>
        </w:rPr>
        <w:t xml:space="preserve">Tabla 17 </w:t>
      </w:r>
      <w:r>
        <w:rPr>
          <w:rFonts w:ascii="Times New Roman" w:cs="Times New Roman" w:eastAsia="Times New Roman" w:hAnsi="Times New Roman"/>
          <w:b/>
          <w:bCs/>
          <w:color w:val="000000"/>
          <w:sz w:val="24"/>
          <w:szCs w:val="24"/>
        </w:rPr>
        <w:t xml:space="preserve">Restricciones de la solución</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restricciones consideradas para el desarrollo de la solución.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300"/>
        <w:gridCol w:w="8060"/>
      </w:tblGrid>
      <w:tr>
        <w:trPr>
          <w:tblHeader/>
        </w:trPr>
        <w:tc>
          <w:tcPr>
            <w:tcW w:type="dxa" w:w="1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80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Restricción</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RES-01</w:t>
            </w:r>
          </w:p>
        </w:tc>
        <w:tc>
          <w:tcPr>
            <w:tcW w:type="dxa" w:w="8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se desarrolla como aplicación web accesible mediante navegador, sin aplicaciones de escritorio nativas.</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RES-02</w:t>
            </w:r>
          </w:p>
        </w:tc>
        <w:tc>
          <w:tcPr>
            <w:tcW w:type="dxa" w:w="8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solución utiliza React en el frontend, Node.js en el backend y MySQL como gestor de base de datos.</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RES-03</w:t>
            </w:r>
          </w:p>
        </w:tc>
        <w:tc>
          <w:tcPr>
            <w:tcW w:type="dxa" w:w="8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comunicación entre el frontend y el backend se realiza mediante servicios REST sobre HTTPS.</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RES-04</w:t>
            </w:r>
          </w:p>
        </w:tc>
        <w:tc>
          <w:tcPr>
            <w:tcW w:type="dxa" w:w="8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precisión del componente predictivo depende de la disponibilidad y calidad de los datos históricos registrados.</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RES-05</w:t>
            </w:r>
          </w:p>
        </w:tc>
        <w:tc>
          <w:tcPr>
            <w:tcW w:type="dxa" w:w="8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desarrollo se realiza dentro del período académico establecido para el trabajo de graduación.</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RES-06</w:t>
            </w:r>
          </w:p>
        </w:tc>
        <w:tc>
          <w:tcPr>
            <w:tcW w:type="dxa" w:w="8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alcance se limita a los procesos de gestión de incidencias y mantenimiento, sin abarcar áreas administrativas o financieras.</w:t>
            </w:r>
          </w:p>
        </w:tc>
      </w:tr>
    </w:tbl>
    <w:p>
      <w:pPr>
        <w:spacing w:after="200" w:before="40" w:line="300"/>
      </w:pPr>
      <w:r>
        <w:rPr>
          <w:rFonts w:ascii="Times New Roman" w:cs="Times New Roman" w:eastAsia="Times New Roman" w:hAnsi="Times New Roman"/>
          <w:i/>
          <w:iCs/>
          <w:color w:val="000000"/>
          <w:sz w:val="20"/>
          <w:szCs w:val="20"/>
        </w:rPr>
        <w:t xml:space="preserve">Tabla 17. Restricciones de la solución.</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4.7 Requerimientos funcionales</w:t>
      </w:r>
    </w:p>
    <w:p>
      <w:pPr>
        <w:spacing w:after="120" w:line="360"/>
        <w:ind w:firstLine="708"/>
        <w:jc w:val="both"/>
      </w:pPr>
      <w:r>
        <w:rPr>
          <w:rFonts w:ascii="Times New Roman" w:cs="Times New Roman" w:eastAsia="Times New Roman" w:hAnsi="Times New Roman"/>
          <w:color w:val="000000"/>
          <w:sz w:val="24"/>
          <w:szCs w:val="24"/>
        </w:rPr>
        <w:t xml:space="preserve">Los requerimientos funcionales describen las funciones que el sistema debe ejecutar. Cada uno se redacta de forma verificable e incluye un criterio de aceptación comprobable mediante pruebas funcionales. Se identifican con la nomenclatura RF.</w:t>
      </w:r>
    </w:p>
    <w:p>
      <w:pPr>
        <w:keepNext/>
        <w:spacing w:after="40" w:before="120" w:line="300"/>
      </w:pPr>
      <w:r>
        <w:rPr>
          <w:rFonts w:ascii="Times New Roman" w:cs="Times New Roman" w:eastAsia="Times New Roman" w:hAnsi="Times New Roman"/>
          <w:b/>
          <w:bCs/>
          <w:color w:val="000000"/>
          <w:sz w:val="24"/>
          <w:szCs w:val="24"/>
        </w:rPr>
        <w:t xml:space="preserve">Tabla 18 </w:t>
      </w:r>
      <w:r>
        <w:rPr>
          <w:rFonts w:ascii="Times New Roman" w:cs="Times New Roman" w:eastAsia="Times New Roman" w:hAnsi="Times New Roman"/>
          <w:b/>
          <w:bCs/>
          <w:color w:val="000000"/>
          <w:sz w:val="24"/>
          <w:szCs w:val="24"/>
        </w:rPr>
        <w:t xml:space="preserve">Requerimientos funcionales del sistema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requerimientos funcionales, su prioridad y el criterio de aceptación asociado a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900"/>
        <w:gridCol w:w="3260"/>
        <w:gridCol w:w="900"/>
        <w:gridCol w:w="4300"/>
      </w:tblGrid>
      <w:tr>
        <w:trPr>
          <w:tblHeader/>
        </w:trPr>
        <w:tc>
          <w:tcPr>
            <w:tcW w:type="dxa" w:w="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32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Requerimiento funcional</w:t>
            </w:r>
          </w:p>
        </w:tc>
        <w:tc>
          <w:tcPr>
            <w:tcW w:type="dxa" w:w="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Prioridad</w:t>
            </w:r>
          </w:p>
        </w:tc>
        <w:tc>
          <w:tcPr>
            <w:tcW w:type="dxa" w:w="4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Criterio de aceptación (verificable)</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RF-01</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Registrar incidencias con tipo, descripción, equipo afectado y prioridad.</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 enviar el formulario con datos válidos, la incidencia se almacena y aparece con estado “abierta”.</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RF-02</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Asignar un responsable a cada incidencia.</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no permite guardar una incidencia sin responsable y lo registra.</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RF-03</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Actualizar el estado de la incidencia (abierta, en proceso, resuelta).</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cambio de estado queda registrado con fecha, usuario y comentario.</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RF-04</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Programar y registrar actividades de mantenimiento.</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actividad programada aparece en el calendario y genera su registro al completarse.</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RF-05</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Ejecutar el análisis predictivo y estimar el riesgo de falla.</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Para un equipo con historial, el sistema devuelve un nivel de riesgo y su probabilidad.</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RF-06</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Generar alertas cuando el riesgo supere el umbral definido.</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Ante riesgo alto o crítico se crea una alerta visible en el tablero y para el técnico.</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RF-07</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Visualizar indicadores en el tablero de control.</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Media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tablero muestra los conteos y gráficos actualizados según los registros.</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RF-08</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Autenticar usuarios y controlar el acceso por rol.</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Cada usuario accede solo a las funciones de su rol; el acceso no autorizado se rechaza.</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RF-09</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Administrar usuarios y roles.</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Media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administrador crea, edita y desactiva cuentas; los cambios se reflejan en el acceso.</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RF-10</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Generar reportes e historial.</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Media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produce el reporte del período seleccionado, consistente con la base de datos.</w:t>
            </w:r>
          </w:p>
        </w:tc>
      </w:tr>
    </w:tbl>
    <w:p>
      <w:pPr>
        <w:spacing w:after="200" w:before="40" w:line="300"/>
      </w:pPr>
      <w:r>
        <w:rPr>
          <w:rFonts w:ascii="Times New Roman" w:cs="Times New Roman" w:eastAsia="Times New Roman" w:hAnsi="Times New Roman"/>
          <w:i/>
          <w:iCs/>
          <w:color w:val="000000"/>
          <w:sz w:val="20"/>
          <w:szCs w:val="20"/>
        </w:rPr>
        <w:t xml:space="preserve">Tabla 18. Requerimientos funcionales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4.8 Requerimientos no funcionales</w:t>
      </w:r>
    </w:p>
    <w:p>
      <w:pPr>
        <w:spacing w:after="120" w:line="360"/>
        <w:ind w:firstLine="708"/>
        <w:jc w:val="both"/>
      </w:pPr>
      <w:r>
        <w:rPr>
          <w:rFonts w:ascii="Times New Roman" w:cs="Times New Roman" w:eastAsia="Times New Roman" w:hAnsi="Times New Roman"/>
          <w:color w:val="000000"/>
          <w:sz w:val="24"/>
          <w:szCs w:val="24"/>
        </w:rPr>
        <w:t xml:space="preserve">Los requerimientos no funcionales establecen los atributos de calidad que la solución debe cumplir. Se organizan según el atributo correspondiente —seguridad, rendimiento, disponibilidad, usabilidad, confiabilidad, mantenibilidad y compatibilidad— y cada uno se acompaña de una métrica o criterio de verificación. Se identifican con la nomenclatura RNF.</w:t>
      </w:r>
    </w:p>
    <w:p>
      <w:pPr>
        <w:keepNext/>
        <w:spacing w:after="40" w:before="120" w:line="300"/>
      </w:pPr>
      <w:r>
        <w:rPr>
          <w:rFonts w:ascii="Times New Roman" w:cs="Times New Roman" w:eastAsia="Times New Roman" w:hAnsi="Times New Roman"/>
          <w:b/>
          <w:bCs/>
          <w:color w:val="000000"/>
          <w:sz w:val="24"/>
          <w:szCs w:val="24"/>
        </w:rPr>
        <w:t xml:space="preserve">Tabla 19 </w:t>
      </w:r>
      <w:r>
        <w:rPr>
          <w:rFonts w:ascii="Times New Roman" w:cs="Times New Roman" w:eastAsia="Times New Roman" w:hAnsi="Times New Roman"/>
          <w:b/>
          <w:bCs/>
          <w:color w:val="000000"/>
          <w:sz w:val="24"/>
          <w:szCs w:val="24"/>
        </w:rPr>
        <w:t xml:space="preserve">Requerimientos no funcionales del sistema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requerimientos no funcionales agrupados por atributo de calidad, con su métrica o criterio de verificación.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850"/>
        <w:gridCol w:w="1450"/>
        <w:gridCol w:w="3560"/>
        <w:gridCol w:w="3500"/>
      </w:tblGrid>
      <w:tr>
        <w:trPr>
          <w:tblHeader/>
        </w:trPr>
        <w:tc>
          <w:tcPr>
            <w:tcW w:type="dxa" w:w="8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14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Atributo</w:t>
            </w:r>
          </w:p>
        </w:tc>
        <w:tc>
          <w:tcPr>
            <w:tcW w:type="dxa" w:w="35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Requerimiento no funcional</w:t>
            </w:r>
          </w:p>
        </w:tc>
        <w:tc>
          <w:tcPr>
            <w:tcW w:type="dxa" w:w="3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Métrica / criterio de verificación</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RNF-01</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contraseñas se almacenan cifradas mediante un algoritmo de hashing (bcrypt).</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 verifica en la base de datos que ninguna contraseña está en texto plano.</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RNF-02</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acceso a las funciones se controla mediante roles.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Un usuario sin permiso recibe respuesta de acceso denegado; se prueba por rol.</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RNF-03</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comunicación cliente-servidor se realiza sobre HTTPS.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peticiones por HTTP se redirigen a HTTPS y el certificado es válido.</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RNF-04</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cuenta se bloquea temporalmente tras cinco intentos fallidos.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 sexto intento el sistema impide el acceso durante el tiempo definido.</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RNF-05</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Rendimiento</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pantallas principales responden en un tiempo no mayor a tres segundos.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 doce usuarios concurrentes, el 95 % de las respuestas se sirve en ≤ 3 s.</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RNF-06</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Rendimiento</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Los listados de incidencias y reportes implementan paginación.</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consultas devuelven resultados paginados y no cargan todos los registros a la vez.</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RNF-07</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Disponibilidad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está disponible al menos el 99 % del horario laboral.</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disponibilidad mensual calculada es ≥ 99 %.</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RNF-08</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Disponibilidad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Los servicios se reinician automáticamente y cuentan con verificación de estado.</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 forzar la caída de un servicio, este se reinicia y vuelve a responder.</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RNF-09</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interfaz es responsiva y compatible con computadoras y dispositivos móviles.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pantallas se visualizan correctamente en resoluciones de escritorio y móvil.</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RNF-10</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muestra mensajes de error claros y comprensibles.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Ante datos inválidos se muestra un mensaje específico; se valida por caso de error.</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RNF-11</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satisfacción de uso alcanza un puntaje mínimo de 68 en la escala SUS.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promedio del cuestionario SUS aplicado a los usuarios es ≥ 68 puntos.</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RNF-12</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Confiabilidad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componente predictivo alcanza un F1-Score ≥ 0.80 para anticipar fallas a 72 horas.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Sobre el conjunto de prueba, el valor F1 calculado es ≥ 0.80.</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RNF-13</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Confiabilidad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integridad de la información se preserva mediante respaldos periódicos.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Existe un respaldo diario verificable y se comprueba su restauración.</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RNF-14</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Mantenibilidad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registra en bitácora las transacciones relevantes.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Cada transacción relevante genera un registro con fecha, usuario y acción.</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RNF-15</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Compatibilidad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aplicación funciona en las versiones vigentes de Chrome, Edge y Firefox.</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pruebas se ejecutan sin errores en las tres versiones actuales.</w:t>
            </w:r>
          </w:p>
        </w:tc>
      </w:tr>
    </w:tbl>
    <w:p>
      <w:pPr>
        <w:spacing w:after="200" w:before="40" w:line="300"/>
      </w:pPr>
      <w:r>
        <w:rPr>
          <w:rFonts w:ascii="Times New Roman" w:cs="Times New Roman" w:eastAsia="Times New Roman" w:hAnsi="Times New Roman"/>
          <w:i/>
          <w:iCs/>
          <w:color w:val="000000"/>
          <w:sz w:val="20"/>
          <w:szCs w:val="20"/>
        </w:rPr>
        <w:t xml:space="preserve">Tabla 19. Requerimientos no funcionales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4.9 Especificación del componente predictivo</w:t>
      </w:r>
    </w:p>
    <w:p>
      <w:pPr>
        <w:spacing w:after="120" w:line="360"/>
        <w:ind w:firstLine="708"/>
        <w:jc w:val="both"/>
      </w:pPr>
      <w:r>
        <w:rPr>
          <w:rFonts w:ascii="Times New Roman" w:cs="Times New Roman" w:eastAsia="Times New Roman" w:hAnsi="Times New Roman"/>
          <w:color w:val="000000"/>
          <w:sz w:val="24"/>
          <w:szCs w:val="24"/>
        </w:rPr>
        <w:t xml:space="preserve">En este apartado se describe el funcionamiento del componente predictivo, la información que utiliza y la forma en que produce sus resultados, así como los criterios que determinan los niveles de riesgo y la generación de alertas.</w:t>
      </w:r>
    </w:p>
    <w:p>
      <w:pPr>
        <w:pStyle w:val="Heading3"/>
        <w:spacing w:after="120" w:before="200" w:line="360"/>
        <w:jc w:val="left"/>
      </w:pPr>
      <w:r>
        <w:rPr>
          <w:rFonts w:ascii="Times New Roman" w:cs="Times New Roman" w:eastAsia="Times New Roman" w:hAnsi="Times New Roman"/>
          <w:b/>
          <w:bCs/>
          <w:color w:val="000000"/>
          <w:sz w:val="24"/>
          <w:szCs w:val="24"/>
        </w:rPr>
        <w:t xml:space="preserve">4.9.1 Funcionamiento del modelo</w:t>
      </w:r>
    </w:p>
    <w:p>
      <w:pPr>
        <w:spacing w:after="120" w:line="360"/>
        <w:ind w:firstLine="708"/>
        <w:jc w:val="both"/>
      </w:pPr>
      <w:r>
        <w:rPr>
          <w:rFonts w:ascii="Times New Roman" w:cs="Times New Roman" w:eastAsia="Times New Roman" w:hAnsi="Times New Roman"/>
          <w:color w:val="000000"/>
          <w:sz w:val="24"/>
          <w:szCs w:val="24"/>
        </w:rPr>
        <w:t xml:space="preserve">El componente predictivo analiza los datos históricos almacenados por el sistema para estimar la probabilidad de que un equipo o servicio presente una falla dentro de un horizonte de tiempo definido. Su operación se organiza en cuatro etapas: obtención de datos, preparación de variables, estimación y presentación de resultados. La información se extrae de la base de datos y se transforma en variables que describen el comportamiento de cada equipo; con ellas se entrena un modelo de clasificación supervisada —por ejemplo, regresión logística o bosque aleatorio— utilizando registros históricos etiquetados según si el equipo presentó o no una falla dentro del horizonte establecido. Una vez entrenado y validado, el modelo estima la probabilidad de falla de cada equipo a partir de sus datos actuales.</w:t>
      </w:r>
    </w:p>
    <w:p>
      <w:pPr>
        <w:keepNext/>
        <w:spacing w:after="40" w:before="120" w:line="300"/>
      </w:pPr>
      <w:r>
        <w:rPr>
          <w:rFonts w:ascii="Times New Roman" w:cs="Times New Roman" w:eastAsia="Times New Roman" w:hAnsi="Times New Roman"/>
          <w:b/>
          <w:bCs/>
          <w:color w:val="000000"/>
          <w:sz w:val="24"/>
          <w:szCs w:val="24"/>
        </w:rPr>
        <w:t xml:space="preserve">Tabla 20 </w:t>
      </w:r>
      <w:r>
        <w:rPr>
          <w:rFonts w:ascii="Times New Roman" w:cs="Times New Roman" w:eastAsia="Times New Roman" w:hAnsi="Times New Roman"/>
          <w:b/>
          <w:bCs/>
          <w:color w:val="000000"/>
          <w:sz w:val="24"/>
          <w:szCs w:val="24"/>
        </w:rPr>
        <w:t xml:space="preserve">Variables de entrada del modelo predictivo</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las variables que alimentan el modelo y su aporte a la estimación del riesgo.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3200"/>
        <w:gridCol w:w="6160"/>
      </w:tblGrid>
      <w:tr>
        <w:trPr>
          <w:tblHeader/>
        </w:trPr>
        <w:tc>
          <w:tcPr>
            <w:tcW w:type="dxa" w:w="32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Variable</w:t>
            </w:r>
          </w:p>
        </w:tc>
        <w:tc>
          <w:tcPr>
            <w:tcW w:type="dxa" w:w="61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Descripción</w:t>
            </w:r>
          </w:p>
        </w:tc>
      </w:tr>
      <w:tr>
        <w:tc>
          <w:tcPr>
            <w:tcW w:type="dxa" w:w="3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Frecuencia de incidencias</w:t>
            </w:r>
          </w:p>
        </w:tc>
        <w:tc>
          <w:tcPr>
            <w:tcW w:type="dxa" w:w="6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Número de incidencias registradas por equipo en un período determinado.</w:t>
            </w:r>
          </w:p>
        </w:tc>
      </w:tr>
      <w:tr>
        <w:tc>
          <w:tcPr>
            <w:tcW w:type="dxa" w:w="3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Criticidad del equipo</w:t>
            </w:r>
          </w:p>
        </w:tc>
        <w:tc>
          <w:tcPr>
            <w:tcW w:type="dxa" w:w="6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Nivel de importancia del equipo o servicio dentro de la operación.</w:t>
            </w:r>
          </w:p>
        </w:tc>
      </w:tr>
      <w:tr>
        <w:tc>
          <w:tcPr>
            <w:tcW w:type="dxa" w:w="3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 desde el último mantenimiento</w:t>
            </w:r>
          </w:p>
        </w:tc>
        <w:tc>
          <w:tcPr>
            <w:tcW w:type="dxa" w:w="6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Días transcurridos desde la última actividad de mantenimiento.</w:t>
            </w:r>
          </w:p>
        </w:tc>
      </w:tr>
      <w:tr>
        <w:tc>
          <w:tcPr>
            <w:tcW w:type="dxa" w:w="3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 desde la última falla</w:t>
            </w:r>
          </w:p>
        </w:tc>
        <w:tc>
          <w:tcPr>
            <w:tcW w:type="dxa" w:w="6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Días transcurridos desde la última falla registrada.</w:t>
            </w:r>
          </w:p>
        </w:tc>
      </w:tr>
      <w:tr>
        <w:tc>
          <w:tcPr>
            <w:tcW w:type="dxa" w:w="3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Antigüedad del equipo</w:t>
            </w:r>
          </w:p>
        </w:tc>
        <w:tc>
          <w:tcPr>
            <w:tcW w:type="dxa" w:w="6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 de uso del equipo desde su adquisición.</w:t>
            </w:r>
          </w:p>
        </w:tc>
      </w:tr>
      <w:tr>
        <w:tc>
          <w:tcPr>
            <w:tcW w:type="dxa" w:w="3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Tipo de equipo</w:t>
            </w:r>
          </w:p>
        </w:tc>
        <w:tc>
          <w:tcPr>
            <w:tcW w:type="dxa" w:w="6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Categoría del recurso (servidor, red, hosting u otro).</w:t>
            </w:r>
          </w:p>
        </w:tc>
      </w:tr>
    </w:tbl>
    <w:p>
      <w:pPr>
        <w:spacing w:after="200" w:before="40" w:line="300"/>
      </w:pPr>
      <w:r>
        <w:rPr>
          <w:rFonts w:ascii="Times New Roman" w:cs="Times New Roman" w:eastAsia="Times New Roman" w:hAnsi="Times New Roman"/>
          <w:i/>
          <w:iCs/>
          <w:color w:val="000000"/>
          <w:sz w:val="20"/>
          <w:szCs w:val="20"/>
        </w:rPr>
        <w:t xml:space="preserve">Tabla 20. Variables de entrada del modelo predictivo.</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Como resultado, el modelo entrega para cada equipo una probabilidad de falla comprendida entre cero y uno, un nivel de riesgo derivado de esa probabilidad y, cuando corresponde, una alerta con la recomendación de revisión preventiva que se presenta en el tablero de control.</w:t>
      </w:r>
    </w:p>
    <w:p>
      <w:pPr>
        <w:pStyle w:val="Heading3"/>
        <w:spacing w:after="120" w:before="200" w:line="360"/>
        <w:jc w:val="left"/>
      </w:pPr>
      <w:r>
        <w:rPr>
          <w:rFonts w:ascii="Times New Roman" w:cs="Times New Roman" w:eastAsia="Times New Roman" w:hAnsi="Times New Roman"/>
          <w:b/>
          <w:bCs/>
          <w:color w:val="000000"/>
          <w:sz w:val="24"/>
          <w:szCs w:val="24"/>
        </w:rPr>
        <w:t xml:space="preserve">4.9.2 Criterios para determinar riesgos y generar alertas</w:t>
      </w:r>
    </w:p>
    <w:p>
      <w:pPr>
        <w:spacing w:after="120" w:line="360"/>
        <w:ind w:firstLine="708"/>
        <w:jc w:val="both"/>
      </w:pPr>
      <w:r>
        <w:rPr>
          <w:rFonts w:ascii="Times New Roman" w:cs="Times New Roman" w:eastAsia="Times New Roman" w:hAnsi="Times New Roman"/>
          <w:color w:val="000000"/>
          <w:sz w:val="24"/>
          <w:szCs w:val="24"/>
        </w:rPr>
        <w:t xml:space="preserve">Es necesario distinguir dos conceptos que operan en niveles diferentes. La probabilidad de falla es la salida numérica del modelo para cada equipo; sobre ella se aplica un umbral de decisión interno que permite clasificar cada caso como falla o no falla. El F1-Score, en cambio, es una métrica de evaluación del desempeño del modelo, definida como la media armónica entre la precisión y la exhaustividad, que se calcula sobre el conjunto de prueba y mide qué tan acertadas son las clasificaciones; por lo tanto, no constituye un umbral de probabilidad. En consecuencia, los niveles de riesgo (bajo, medio, alto y crítico) son una capa de interpretación operativa de la probabilidad, orientada a priorizar las acciones de mantenimiento, y son independientes tanto del umbral de decisión interno del modelo como del F1-Score empleado para validarlo.</w:t>
      </w:r>
    </w:p>
    <w:p>
      <w:pPr>
        <w:spacing w:after="120" w:line="360"/>
        <w:ind w:firstLine="708"/>
        <w:jc w:val="both"/>
      </w:pPr>
      <w:r>
        <w:rPr>
          <w:rFonts w:ascii="Times New Roman" w:cs="Times New Roman" w:eastAsia="Times New Roman" w:hAnsi="Times New Roman"/>
          <w:color w:val="000000"/>
          <w:sz w:val="24"/>
          <w:szCs w:val="24"/>
        </w:rPr>
        <w:t xml:space="preserve">Los umbrales que delimitan los niveles de riesgo se establecen con un fundamento operativo: en la actividad de Server Guatemala el costo de no anticipar una falla crítica es mayor que el de realizar una revisión preventiva adicional, por lo que los niveles superiores privilegian la detección oportuna. La generación de alertas y órdenes se define de forma coherente con la regla de negocio RN-05, según la cual los niveles alto y crítico originan una orden de revisión preventiva.</w:t>
      </w:r>
    </w:p>
    <w:p>
      <w:pPr>
        <w:keepNext/>
        <w:spacing w:after="40" w:before="120" w:line="300"/>
      </w:pPr>
      <w:r>
        <w:rPr>
          <w:rFonts w:ascii="Times New Roman" w:cs="Times New Roman" w:eastAsia="Times New Roman" w:hAnsi="Times New Roman"/>
          <w:b/>
          <w:bCs/>
          <w:color w:val="000000"/>
          <w:sz w:val="24"/>
          <w:szCs w:val="24"/>
        </w:rPr>
        <w:t xml:space="preserve">Tabla 21 </w:t>
      </w:r>
      <w:r>
        <w:rPr>
          <w:rFonts w:ascii="Times New Roman" w:cs="Times New Roman" w:eastAsia="Times New Roman" w:hAnsi="Times New Roman"/>
          <w:b/>
          <w:bCs/>
          <w:color w:val="000000"/>
          <w:sz w:val="24"/>
          <w:szCs w:val="24"/>
        </w:rPr>
        <w:t xml:space="preserve">Criterios de riesgo y generación de alertas</w:t>
      </w:r>
    </w:p>
    <w:p>
      <w:pPr>
        <w:keepNext/>
        <w:spacing w:after="80" w:line="300"/>
        <w:ind w:firstLine="708"/>
        <w:jc w:val="both"/>
      </w:pPr>
      <w:r>
        <w:rPr>
          <w:rFonts w:ascii="Times New Roman" w:cs="Times New Roman" w:eastAsia="Times New Roman" w:hAnsi="Times New Roman"/>
          <w:color w:val="000000"/>
          <w:sz w:val="22"/>
          <w:szCs w:val="22"/>
        </w:rPr>
        <w:t xml:space="preserve">La tabla relaciona el nivel de riesgo con la probabilidad estimada, la acción del sistema y su justificación operativa.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500"/>
        <w:gridCol w:w="1500"/>
        <w:gridCol w:w="3260"/>
        <w:gridCol w:w="3100"/>
      </w:tblGrid>
      <w:tr>
        <w:trPr>
          <w:tblHeader/>
        </w:trPr>
        <w:tc>
          <w:tcPr>
            <w:tcW w:type="dxa" w:w="1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Nivel de riesgo</w:t>
            </w:r>
          </w:p>
        </w:tc>
        <w:tc>
          <w:tcPr>
            <w:tcW w:type="dxa" w:w="1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Probabilidad</w:t>
            </w:r>
          </w:p>
        </w:tc>
        <w:tc>
          <w:tcPr>
            <w:tcW w:type="dxa" w:w="32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Acción del sistema</w:t>
            </w:r>
          </w:p>
        </w:tc>
        <w:tc>
          <w:tcPr>
            <w:tcW w:type="dxa" w:w="3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Justificación operativa</w:t>
            </w:r>
          </w:p>
        </w:tc>
      </w:tr>
      <w:tr>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Bajo</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0.00 – 0.39</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No genera alerta.</w:t>
            </w:r>
          </w:p>
        </w:tc>
        <w:tc>
          <w:tcPr>
            <w:tcW w:type="dxa" w:w="3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equipo continúa con el mantenimiento programado habitual.</w:t>
            </w:r>
          </w:p>
        </w:tc>
      </w:tr>
      <w:tr>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Medio</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0.40 – 0.59</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Notificación de vigilancia (sin orden).</w:t>
            </w:r>
          </w:p>
        </w:tc>
        <w:tc>
          <w:tcPr>
            <w:tcW w:type="dxa" w:w="3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equipo se incluye en la próxima revisión preventiva.</w:t>
            </w:r>
          </w:p>
        </w:tc>
      </w:tr>
      <w:tr>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Alto</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0.60 – 0.79</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Alerta y orden de revisión preventiva programada (RN-05).</w:t>
            </w:r>
          </w:p>
        </w:tc>
        <w:tc>
          <w:tcPr>
            <w:tcW w:type="dxa" w:w="3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 anticipa la revisión a corto plazo para prevenir la falla.</w:t>
            </w:r>
          </w:p>
        </w:tc>
      </w:tr>
      <w:tr>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Crítico</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0.80 – 1.00</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Alerta prioritaria y orden de revisión preventiva inmediata (RN-05).</w:t>
            </w:r>
          </w:p>
        </w:tc>
        <w:tc>
          <w:tcPr>
            <w:tcW w:type="dxa" w:w="3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alta probabilidad exige una intervención inmediata.</w:t>
            </w:r>
          </w:p>
        </w:tc>
      </w:tr>
    </w:tbl>
    <w:p>
      <w:pPr>
        <w:spacing w:after="200" w:before="40" w:line="300"/>
      </w:pPr>
      <w:r>
        <w:rPr>
          <w:rFonts w:ascii="Times New Roman" w:cs="Times New Roman" w:eastAsia="Times New Roman" w:hAnsi="Times New Roman"/>
          <w:i/>
          <w:iCs/>
          <w:color w:val="000000"/>
          <w:sz w:val="20"/>
          <w:szCs w:val="20"/>
        </w:rPr>
        <w:t xml:space="preserve">Tabla 21. Criterios de riesgo y generación de alertas.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Los umbrales podrán ajustarse durante la fase de pruebas en función de los resultados obtenidos con datos reales de la organización, buscando el equilibrio entre las falsas alarmas y las fallas no detectadas.</w:t>
      </w:r>
    </w:p>
    <w:p>
      <w:pPr>
        <w:pStyle w:val="Heading3"/>
        <w:spacing w:after="120" w:before="200" w:line="360"/>
        <w:jc w:val="left"/>
      </w:pPr>
      <w:r>
        <w:rPr>
          <w:rFonts w:ascii="Times New Roman" w:cs="Times New Roman" w:eastAsia="Times New Roman" w:hAnsi="Times New Roman"/>
          <w:b/>
          <w:bCs/>
          <w:color w:val="000000"/>
          <w:sz w:val="24"/>
          <w:szCs w:val="24"/>
        </w:rPr>
        <w:t xml:space="preserve">4.9.3 Justificación de las métricas cuantitativas</w:t>
      </w:r>
    </w:p>
    <w:p>
      <w:pPr>
        <w:spacing w:after="120" w:line="360"/>
        <w:ind w:firstLine="708"/>
        <w:jc w:val="both"/>
      </w:pPr>
      <w:r>
        <w:rPr>
          <w:rFonts w:ascii="Times New Roman" w:cs="Times New Roman" w:eastAsia="Times New Roman" w:hAnsi="Times New Roman"/>
          <w:color w:val="000000"/>
          <w:sz w:val="24"/>
          <w:szCs w:val="24"/>
        </w:rPr>
        <w:t xml:space="preserve">Con el fin de sustentar los valores establecidos en los requerimientos y en el componente predictivo, a continuación se presenta la justificación de cada métrica cuantitativa considerada en la solución.</w:t>
      </w:r>
    </w:p>
    <w:p>
      <w:pPr>
        <w:keepNext/>
        <w:spacing w:after="40" w:before="120" w:line="300"/>
      </w:pPr>
      <w:r>
        <w:rPr>
          <w:rFonts w:ascii="Times New Roman" w:cs="Times New Roman" w:eastAsia="Times New Roman" w:hAnsi="Times New Roman"/>
          <w:b/>
          <w:bCs/>
          <w:color w:val="000000"/>
          <w:sz w:val="24"/>
          <w:szCs w:val="24"/>
        </w:rPr>
        <w:t xml:space="preserve">Tabla 22 </w:t>
      </w:r>
      <w:r>
        <w:rPr>
          <w:rFonts w:ascii="Times New Roman" w:cs="Times New Roman" w:eastAsia="Times New Roman" w:hAnsi="Times New Roman"/>
          <w:b/>
          <w:bCs/>
          <w:color w:val="000000"/>
          <w:sz w:val="24"/>
          <w:szCs w:val="24"/>
        </w:rPr>
        <w:t xml:space="preserve">Justificación de las métricas cuantitativas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cada métrica, el valor establecido y el fundamento que respalda su elección.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100"/>
        <w:gridCol w:w="1760"/>
        <w:gridCol w:w="5500"/>
      </w:tblGrid>
      <w:tr>
        <w:trPr>
          <w:tblHeader/>
        </w:trPr>
        <w:tc>
          <w:tcPr>
            <w:tcW w:type="dxa" w:w="2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Métrica</w:t>
            </w:r>
          </w:p>
        </w:tc>
        <w:tc>
          <w:tcPr>
            <w:tcW w:type="dxa" w:w="17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Valor establecido</w:t>
            </w:r>
          </w:p>
        </w:tc>
        <w:tc>
          <w:tcPr>
            <w:tcW w:type="dxa" w:w="5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Justificación</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Desempeño del modelo</w:t>
            </w:r>
          </w:p>
        </w:tc>
        <w:tc>
          <w:tcPr>
            <w:tcW w:type="dxa" w:w="17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F1-Score ≥ 0.80</w:t>
            </w:r>
          </w:p>
        </w:tc>
        <w:tc>
          <w:tcPr>
            <w:tcW w:type="dxa" w:w="5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F1-Score equilibra precisión y exhaustividad; un valor ≥ 0.80 se considera un buen desempeño en tareas de clasificación (Han, Kamber y Pei, 2012).</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Horizonte de predicción</w:t>
            </w:r>
          </w:p>
        </w:tc>
        <w:tc>
          <w:tcPr>
            <w:tcW w:type="dxa" w:w="17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72 horas</w:t>
            </w:r>
          </w:p>
        </w:tc>
        <w:tc>
          <w:tcPr>
            <w:tcW w:type="dxa" w:w="5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Ventana suficiente para programar y ejecutar una revisión preventiva antes de la posible falla (Mobley, 2002).</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 de respuesta</w:t>
            </w:r>
          </w:p>
        </w:tc>
        <w:tc>
          <w:tcPr>
            <w:tcW w:type="dxa" w:w="17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 3 segundos</w:t>
            </w:r>
          </w:p>
        </w:tc>
        <w:tc>
          <w:tcPr>
            <w:tcW w:type="dxa" w:w="5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Tiempos de respuesta cercanos a un segundo mantienen el flujo de trabajo del usuario; por encima de diez segundos se pierde la atención (Nielsen, 1993).</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Disponibilidad</w:t>
            </w:r>
          </w:p>
        </w:tc>
        <w:tc>
          <w:tcPr>
            <w:tcW w:type="dxa" w:w="17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 99 %</w:t>
            </w:r>
          </w:p>
        </w:tc>
        <w:tc>
          <w:tcPr>
            <w:tcW w:type="dxa" w:w="5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Nivel de servicio razonable para la operación en horario laboral, que acota las interrupciones.</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Usabilidad</w:t>
            </w:r>
          </w:p>
        </w:tc>
        <w:tc>
          <w:tcPr>
            <w:tcW w:type="dxa" w:w="17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SUS ≥ 68</w:t>
            </w:r>
          </w:p>
        </w:tc>
        <w:tc>
          <w:tcPr>
            <w:tcW w:type="dxa" w:w="5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valor 68 corresponde al promedio de la escala SUS; puntajes superiores indican una usabilidad aceptable (Brooke, 1996; Bangor, Kortum y Miller, 2008).</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Completitud de datos</w:t>
            </w:r>
          </w:p>
        </w:tc>
        <w:tc>
          <w:tcPr>
            <w:tcW w:type="dxa" w:w="17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 95 %</w:t>
            </w:r>
          </w:p>
        </w:tc>
        <w:tc>
          <w:tcPr>
            <w:tcW w:type="dxa" w:w="5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Meta de calidad que asegura registros confiables para el análisis histórico y predictivo.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Intentos de acceso</w:t>
            </w:r>
          </w:p>
        </w:tc>
        <w:tc>
          <w:tcPr>
            <w:tcW w:type="dxa" w:w="17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5 intentos</w:t>
            </w:r>
          </w:p>
        </w:tc>
        <w:tc>
          <w:tcPr>
            <w:tcW w:type="dxa" w:w="5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Límite habitual de seguridad que mitiga ataques de fuerza bruta sin afectar al usuario legítimo.</w:t>
            </w:r>
          </w:p>
        </w:tc>
      </w:tr>
    </w:tbl>
    <w:p>
      <w:pPr>
        <w:spacing w:after="200" w:before="40" w:line="300"/>
      </w:pPr>
      <w:r>
        <w:rPr>
          <w:rFonts w:ascii="Times New Roman" w:cs="Times New Roman" w:eastAsia="Times New Roman" w:hAnsi="Times New Roman"/>
          <w:i/>
          <w:iCs/>
          <w:color w:val="000000"/>
          <w:sz w:val="20"/>
          <w:szCs w:val="20"/>
        </w:rPr>
        <w:t xml:space="preserve">Tabla 22. Justificación de las métricas cuantitativas.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Las fuentes citadas en este apartado (Brooke, 1996; Bangor, Kortum y Miller, 2008; Nielsen, 1993) deben incorporarse a la bibliografía general del documento conforme a las normas APA.</w:t>
      </w:r>
    </w:p>
    <w:p>
      <w:pPr>
        <w:pStyle w:val="Heading2"/>
        <w:spacing w:after="120" w:before="200" w:line="360"/>
        <w:jc w:val="left"/>
      </w:pPr>
      <w:r>
        <w:rPr>
          <w:rFonts w:ascii="Times New Roman" w:cs="Times New Roman" w:eastAsia="Times New Roman" w:hAnsi="Times New Roman"/>
          <w:b/>
          <w:bCs/>
          <w:color w:val="000000"/>
          <w:sz w:val="24"/>
          <w:szCs w:val="24"/>
        </w:rPr>
        <w:t xml:space="preserve">4.10 Herramientas de desarrollo e infraestructura tecnológica</w:t>
      </w:r>
    </w:p>
    <w:p>
      <w:pPr>
        <w:spacing w:after="120" w:line="360"/>
        <w:ind w:firstLine="708"/>
        <w:jc w:val="both"/>
      </w:pPr>
      <w:r>
        <w:rPr>
          <w:rFonts w:ascii="Times New Roman" w:cs="Times New Roman" w:eastAsia="Times New Roman" w:hAnsi="Times New Roman"/>
          <w:color w:val="000000"/>
          <w:sz w:val="24"/>
          <w:szCs w:val="24"/>
        </w:rPr>
        <w:t xml:space="preserve">En esta sección se identifican las herramientas de desarrollo y los componentes de infraestructura necesarios para construir y operar la solución, indicando su propósito y la justificación de su selección conforme a los requerimientos del sistema.</w:t>
      </w:r>
    </w:p>
    <w:p>
      <w:pPr>
        <w:pStyle w:val="Heading3"/>
        <w:spacing w:after="120" w:before="200" w:line="360"/>
        <w:jc w:val="left"/>
      </w:pPr>
      <w:r>
        <w:rPr>
          <w:rFonts w:ascii="Times New Roman" w:cs="Times New Roman" w:eastAsia="Times New Roman" w:hAnsi="Times New Roman"/>
          <w:b/>
          <w:bCs/>
          <w:color w:val="000000"/>
          <w:sz w:val="24"/>
          <w:szCs w:val="24"/>
        </w:rPr>
        <w:t xml:space="preserve">4.10.1 Herramientas de desarrollo</w:t>
      </w:r>
    </w:p>
    <w:p>
      <w:pPr>
        <w:keepNext/>
        <w:spacing w:after="40" w:before="120" w:line="300"/>
      </w:pPr>
      <w:r>
        <w:rPr>
          <w:rFonts w:ascii="Times New Roman" w:cs="Times New Roman" w:eastAsia="Times New Roman" w:hAnsi="Times New Roman"/>
          <w:b/>
          <w:bCs/>
          <w:color w:val="000000"/>
          <w:sz w:val="24"/>
          <w:szCs w:val="24"/>
        </w:rPr>
        <w:t xml:space="preserve">Tabla 23 </w:t>
      </w:r>
      <w:r>
        <w:rPr>
          <w:rFonts w:ascii="Times New Roman" w:cs="Times New Roman" w:eastAsia="Times New Roman" w:hAnsi="Times New Roman"/>
          <w:b/>
          <w:bCs/>
          <w:color w:val="000000"/>
          <w:sz w:val="24"/>
          <w:szCs w:val="24"/>
        </w:rPr>
        <w:t xml:space="preserve">Herramientas de desarrollo</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herramientas de desarrollo, su propósito y la justificación de su selección.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200"/>
        <w:gridCol w:w="2760"/>
        <w:gridCol w:w="4400"/>
      </w:tblGrid>
      <w:tr>
        <w:trPr>
          <w:tblHeader/>
        </w:trPr>
        <w:tc>
          <w:tcPr>
            <w:tcW w:type="dxa" w:w="22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Herramienta</w:t>
            </w:r>
          </w:p>
        </w:tc>
        <w:tc>
          <w:tcPr>
            <w:tcW w:type="dxa" w:w="27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Propósito</w:t>
            </w:r>
          </w:p>
        </w:tc>
        <w:tc>
          <w:tcPr>
            <w:tcW w:type="dxa" w:w="44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Justificación</w:t>
            </w:r>
          </w:p>
        </w:tc>
      </w:tr>
      <w:tr>
        <w:tc>
          <w:tcPr>
            <w:tcW w:type="dxa" w:w="2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Visual Studio Code</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Entorno de desarrollo</w:t>
            </w:r>
          </w:p>
        </w:tc>
        <w:tc>
          <w:tcPr>
            <w:tcW w:type="dxa" w:w="4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Editor multiplataforma con soporte para JavaScript; facilita el desarrollo del frontend y del backend.</w:t>
            </w:r>
          </w:p>
        </w:tc>
      </w:tr>
      <w:tr>
        <w:tc>
          <w:tcPr>
            <w:tcW w:type="dxa" w:w="2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React</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Desarrollo del frontend</w:t>
            </w:r>
          </w:p>
        </w:tc>
        <w:tc>
          <w:tcPr>
            <w:tcW w:type="dxa" w:w="4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Basado en componentes reutilizables; permite construir interfaces dinámicas y responsivas (RNF-09).</w:t>
            </w:r>
          </w:p>
        </w:tc>
      </w:tr>
      <w:tr>
        <w:tc>
          <w:tcPr>
            <w:tcW w:type="dxa" w:w="2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Node.js</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Desarrollo del backend</w:t>
            </w:r>
          </w:p>
        </w:tc>
        <w:tc>
          <w:tcPr>
            <w:tcW w:type="dxa" w:w="4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Ejecuta JavaScript del lado del servidor con manejo eficiente de peticiones concurrentes (RNF-05).</w:t>
            </w:r>
          </w:p>
        </w:tc>
      </w:tr>
      <w:tr>
        <w:tc>
          <w:tcPr>
            <w:tcW w:type="dxa" w:w="2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Express.js</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Servicios REST</w:t>
            </w:r>
          </w:p>
        </w:tc>
        <w:tc>
          <w:tcPr>
            <w:tcW w:type="dxa" w:w="4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Simplifica la creación de los servicios REST que comunican el frontend con el backend (RES-03).</w:t>
            </w:r>
          </w:p>
        </w:tc>
      </w:tr>
      <w:tr>
        <w:tc>
          <w:tcPr>
            <w:tcW w:type="dxa" w:w="2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MySQL</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Base de datos</w:t>
            </w:r>
          </w:p>
        </w:tc>
        <w:tc>
          <w:tcPr>
            <w:tcW w:type="dxa" w:w="4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Gestor relacional confiable para almacenar incidencias, mantenimientos e historial (RNF-13).</w:t>
            </w:r>
          </w:p>
        </w:tc>
      </w:tr>
      <w:tr>
        <w:tc>
          <w:tcPr>
            <w:tcW w:type="dxa" w:w="2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Python (scikit-learn, pandas)</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Componente predictivo</w:t>
            </w:r>
          </w:p>
        </w:tc>
        <w:tc>
          <w:tcPr>
            <w:tcW w:type="dxa" w:w="4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Bibliotecas maduras para el entrenamiento y la evaluación del modelo de clasificación.</w:t>
            </w:r>
          </w:p>
        </w:tc>
      </w:tr>
      <w:tr>
        <w:tc>
          <w:tcPr>
            <w:tcW w:type="dxa" w:w="2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Postman</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Pruebas de servicios</w:t>
            </w:r>
          </w:p>
        </w:tc>
        <w:tc>
          <w:tcPr>
            <w:tcW w:type="dxa" w:w="4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Permite validar los servicios REST y verificar los criterios de aceptación.</w:t>
            </w:r>
          </w:p>
        </w:tc>
      </w:tr>
      <w:tr>
        <w:tc>
          <w:tcPr>
            <w:tcW w:type="dxa" w:w="2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Git y GitHub</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Control de versiones</w:t>
            </w:r>
          </w:p>
        </w:tc>
        <w:tc>
          <w:tcPr>
            <w:tcW w:type="dxa" w:w="4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Gestionan el historial del código y el trabajo ordenado durante el desarrollo.</w:t>
            </w:r>
          </w:p>
        </w:tc>
      </w:tr>
    </w:tbl>
    <w:p>
      <w:pPr>
        <w:spacing w:after="200" w:before="40" w:line="300"/>
      </w:pPr>
      <w:r>
        <w:rPr>
          <w:rFonts w:ascii="Times New Roman" w:cs="Times New Roman" w:eastAsia="Times New Roman" w:hAnsi="Times New Roman"/>
          <w:i/>
          <w:iCs/>
          <w:color w:val="000000"/>
          <w:sz w:val="20"/>
          <w:szCs w:val="20"/>
        </w:rPr>
        <w:t xml:space="preserve">Tabla 23. Herramientas de desarrollo.</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4.10.2 Infraestructura tecnológica</w:t>
      </w:r>
    </w:p>
    <w:p>
      <w:pPr>
        <w:keepNext/>
        <w:spacing w:after="40" w:before="120" w:line="300"/>
      </w:pPr>
      <w:r>
        <w:rPr>
          <w:rFonts w:ascii="Times New Roman" w:cs="Times New Roman" w:eastAsia="Times New Roman" w:hAnsi="Times New Roman"/>
          <w:b/>
          <w:bCs/>
          <w:color w:val="000000"/>
          <w:sz w:val="24"/>
          <w:szCs w:val="24"/>
        </w:rPr>
        <w:t xml:space="preserve">Tabla 24 </w:t>
      </w:r>
      <w:r>
        <w:rPr>
          <w:rFonts w:ascii="Times New Roman" w:cs="Times New Roman" w:eastAsia="Times New Roman" w:hAnsi="Times New Roman"/>
          <w:b/>
          <w:bCs/>
          <w:color w:val="000000"/>
          <w:sz w:val="24"/>
          <w:szCs w:val="24"/>
        </w:rPr>
        <w:t xml:space="preserve">Infraestructura tecnológica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componentes de infraestructura, su propósito y la justificación de su selección.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500"/>
        <w:gridCol w:w="2760"/>
        <w:gridCol w:w="4100"/>
      </w:tblGrid>
      <w:tr>
        <w:trPr>
          <w:tblHeader/>
        </w:trPr>
        <w:tc>
          <w:tcPr>
            <w:tcW w:type="dxa" w:w="2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Componente</w:t>
            </w:r>
          </w:p>
        </w:tc>
        <w:tc>
          <w:tcPr>
            <w:tcW w:type="dxa" w:w="27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Propósito</w:t>
            </w:r>
          </w:p>
        </w:tc>
        <w:tc>
          <w:tcPr>
            <w:tcW w:type="dxa" w:w="4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Justificación</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Servidor de aplicaciones</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Alojar el frontend y el backend</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Provee el entorno de ejecución de la aplicación y atiende las peticiones de los usuarios.</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Servidor de base de datos</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Ejecutar el gestor MySQL</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Centraliza y resguarda la información del sistema (RNF-13).</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Certificado SSL/TLS (HTTPS)</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Cifrar la comunicación</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Garantiza la confidencialidad e integridad de los datos transmitidos (RNF-03).</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Servicio de respaldos</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Copias de seguridad periódicas</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Asegura la recuperación de la información ante fallas o pérdida de datos (RNF-13).</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Monitoreo y verificación de estado</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Supervisar los servicios</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Permite el reinicio automático y la verificación de disponibilidad (RNF-08).</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Equipo de cómputo de desarrollo</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Análisis, desarrollo y pruebas</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Recurso disponible del investigador; no requiere infraestructura adicional (RES-05).</w:t>
            </w:r>
          </w:p>
        </w:tc>
      </w:tr>
    </w:tbl>
    <w:p>
      <w:pPr>
        <w:spacing w:after="200" w:before="40" w:line="300"/>
      </w:pPr>
      <w:r>
        <w:rPr>
          <w:rFonts w:ascii="Times New Roman" w:cs="Times New Roman" w:eastAsia="Times New Roman" w:hAnsi="Times New Roman"/>
          <w:i/>
          <w:iCs/>
          <w:color w:val="000000"/>
          <w:sz w:val="20"/>
          <w:szCs w:val="20"/>
        </w:rPr>
        <w:t xml:space="preserve">Tabla 24. Infraestructura tecnológica.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4.11 Matriz de trazabilidad</w:t>
      </w:r>
    </w:p>
    <w:p>
      <w:pPr>
        <w:spacing w:after="120" w:line="360"/>
        <w:ind w:firstLine="708"/>
        <w:jc w:val="both"/>
      </w:pPr>
      <w:r>
        <w:rPr>
          <w:rFonts w:ascii="Times New Roman" w:cs="Times New Roman" w:eastAsia="Times New Roman" w:hAnsi="Times New Roman"/>
          <w:color w:val="000000"/>
          <w:sz w:val="24"/>
          <w:szCs w:val="24"/>
        </w:rPr>
        <w:t xml:space="preserve">La matriz de trazabilidad establece la relación entre las necesidades y objetivos identificados en la investigación, las reglas del negocio, las características de la solución y los requerimientos funcionales y no funcionales. Permite comprobar que cada elemento de la solución responde a una necesidad real y que ninguna necesidad queda sin atender.</w:t>
      </w:r>
    </w:p>
    <w:p>
      <w:pPr>
        <w:keepNext/>
        <w:spacing w:after="40" w:before="120" w:line="300"/>
      </w:pPr>
      <w:r>
        <w:rPr>
          <w:rFonts w:ascii="Times New Roman" w:cs="Times New Roman" w:eastAsia="Times New Roman" w:hAnsi="Times New Roman"/>
          <w:b/>
          <w:bCs/>
          <w:color w:val="000000"/>
          <w:sz w:val="24"/>
          <w:szCs w:val="24"/>
        </w:rPr>
        <w:t xml:space="preserve">Tabla 25 </w:t>
      </w:r>
      <w:r>
        <w:rPr>
          <w:rFonts w:ascii="Times New Roman" w:cs="Times New Roman" w:eastAsia="Times New Roman" w:hAnsi="Times New Roman"/>
          <w:b/>
          <w:bCs/>
          <w:color w:val="000000"/>
          <w:sz w:val="24"/>
          <w:szCs w:val="24"/>
        </w:rPr>
        <w:t xml:space="preserve">Matriz de trazabilidad de la solución</w:t>
      </w:r>
    </w:p>
    <w:p>
      <w:pPr>
        <w:keepNext/>
        <w:spacing w:after="80" w:line="300"/>
        <w:ind w:firstLine="708"/>
        <w:jc w:val="both"/>
      </w:pPr>
      <w:r>
        <w:rPr>
          <w:rFonts w:ascii="Times New Roman" w:cs="Times New Roman" w:eastAsia="Times New Roman" w:hAnsi="Times New Roman"/>
          <w:color w:val="000000"/>
          <w:sz w:val="22"/>
          <w:szCs w:val="22"/>
        </w:rPr>
        <w:t xml:space="preserve">La tabla vincula cada necesidad con el objetivo específico, la característica, la regla del negocio y los requerimientos que le dan respuesta.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050"/>
        <w:gridCol w:w="1250"/>
        <w:gridCol w:w="1660"/>
        <w:gridCol w:w="1500"/>
        <w:gridCol w:w="2900"/>
      </w:tblGrid>
      <w:tr>
        <w:trPr>
          <w:tblHeader/>
        </w:trPr>
        <w:tc>
          <w:tcPr>
            <w:tcW w:type="dxa" w:w="20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Necesidad</w:t>
            </w:r>
          </w:p>
        </w:tc>
        <w:tc>
          <w:tcPr>
            <w:tcW w:type="dxa" w:w="12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Objetivo</w:t>
            </w:r>
          </w:p>
        </w:tc>
        <w:tc>
          <w:tcPr>
            <w:tcW w:type="dxa" w:w="16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Característica</w:t>
            </w:r>
          </w:p>
        </w:tc>
        <w:tc>
          <w:tcPr>
            <w:tcW w:type="dxa" w:w="1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Regla</w:t>
            </w:r>
          </w:p>
        </w:tc>
        <w:tc>
          <w:tcPr>
            <w:tcW w:type="dxa" w:w="2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Requerimientos (RF / RNF)</w:t>
            </w:r>
          </w:p>
        </w:tc>
      </w:tr>
      <w:tr>
        <w:tc>
          <w:tcPr>
            <w:tcW w:type="dxa" w:w="20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N-01. Centralizar la información</w:t>
            </w:r>
          </w:p>
        </w:tc>
        <w:tc>
          <w:tcPr>
            <w:tcW w:type="dxa" w:w="12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OE-02</w:t>
            </w:r>
          </w:p>
        </w:tc>
        <w:tc>
          <w:tcPr>
            <w:tcW w:type="dxa" w:w="16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CAR-01, CAR-07</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RN-01, RN-07</w:t>
            </w:r>
          </w:p>
        </w:tc>
        <w:tc>
          <w:tcPr>
            <w:tcW w:type="dxa" w:w="2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RF-01, RF-03, RF-10 / RNF-13, RNF-14</w:t>
            </w:r>
          </w:p>
        </w:tc>
      </w:tr>
      <w:tr>
        <w:tc>
          <w:tcPr>
            <w:tcW w:type="dxa" w:w="20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N-02. Seguimiento oportuno</w:t>
            </w:r>
          </w:p>
        </w:tc>
        <w:tc>
          <w:tcPr>
            <w:tcW w:type="dxa" w:w="12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OE-04</w:t>
            </w:r>
          </w:p>
        </w:tc>
        <w:tc>
          <w:tcPr>
            <w:tcW w:type="dxa" w:w="16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CAR-01, CAR-05</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RN-01, RN-03</w:t>
            </w:r>
          </w:p>
        </w:tc>
        <w:tc>
          <w:tcPr>
            <w:tcW w:type="dxa" w:w="29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RF-02, RF-03, RF-07 / RNF-05</w:t>
            </w:r>
          </w:p>
        </w:tc>
      </w:tr>
      <w:tr>
        <w:tc>
          <w:tcPr>
            <w:tcW w:type="dxa" w:w="20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N-03. Anticipar fallas</w:t>
            </w:r>
          </w:p>
        </w:tc>
        <w:tc>
          <w:tcPr>
            <w:tcW w:type="dxa" w:w="12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OE-03</w:t>
            </w:r>
          </w:p>
        </w:tc>
        <w:tc>
          <w:tcPr>
            <w:tcW w:type="dxa" w:w="16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CAR-03, CAR-04</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RN-04, RN-05</w:t>
            </w:r>
          </w:p>
        </w:tc>
        <w:tc>
          <w:tcPr>
            <w:tcW w:type="dxa" w:w="2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RF-05, RF-06 / RNF-12</w:t>
            </w:r>
          </w:p>
        </w:tc>
      </w:tr>
      <w:tr>
        <w:tc>
          <w:tcPr>
            <w:tcW w:type="dxa" w:w="20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N-04. Reducir tiempos de respuesta</w:t>
            </w:r>
          </w:p>
        </w:tc>
        <w:tc>
          <w:tcPr>
            <w:tcW w:type="dxa" w:w="12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OE-04</w:t>
            </w:r>
          </w:p>
        </w:tc>
        <w:tc>
          <w:tcPr>
            <w:tcW w:type="dxa" w:w="16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CAR-02, CAR-05</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RN-02</w:t>
            </w:r>
          </w:p>
        </w:tc>
        <w:tc>
          <w:tcPr>
            <w:tcW w:type="dxa" w:w="29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RF-04, RF-07 / RNF-05, RNF-07</w:t>
            </w:r>
          </w:p>
        </w:tc>
      </w:tr>
      <w:tr>
        <w:tc>
          <w:tcPr>
            <w:tcW w:type="dxa" w:w="20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N-05. Acceder al historial</w:t>
            </w:r>
          </w:p>
        </w:tc>
        <w:tc>
          <w:tcPr>
            <w:tcW w:type="dxa" w:w="12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OE-02</w:t>
            </w:r>
          </w:p>
        </w:tc>
        <w:tc>
          <w:tcPr>
            <w:tcW w:type="dxa" w:w="16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CAR-07</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RN-07</w:t>
            </w:r>
          </w:p>
        </w:tc>
        <w:tc>
          <w:tcPr>
            <w:tcW w:type="dxa" w:w="2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RF-10 / RNF-13</w:t>
            </w:r>
          </w:p>
        </w:tc>
      </w:tr>
      <w:tr>
        <w:tc>
          <w:tcPr>
            <w:tcW w:type="dxa" w:w="20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N-06. Acceso seguro y controlado</w:t>
            </w:r>
          </w:p>
        </w:tc>
        <w:tc>
          <w:tcPr>
            <w:tcW w:type="dxa" w:w="12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OE-02</w:t>
            </w:r>
          </w:p>
        </w:tc>
        <w:tc>
          <w:tcPr>
            <w:tcW w:type="dxa" w:w="16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CAR-06</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RN-06</w:t>
            </w:r>
          </w:p>
        </w:tc>
        <w:tc>
          <w:tcPr>
            <w:tcW w:type="dxa" w:w="29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RF-08, RF-09 / RNF-01, RNF-02, RNF-03, RNF-04</w:t>
            </w:r>
          </w:p>
        </w:tc>
      </w:tr>
      <w:tr>
        <w:tc>
          <w:tcPr>
            <w:tcW w:type="dxa" w:w="20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N-07. Disminuir errores manuales</w:t>
            </w:r>
          </w:p>
        </w:tc>
        <w:tc>
          <w:tcPr>
            <w:tcW w:type="dxa" w:w="12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OE-05</w:t>
            </w:r>
          </w:p>
        </w:tc>
        <w:tc>
          <w:tcPr>
            <w:tcW w:type="dxa" w:w="16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CAR-01, CAR-02</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RN-03, RN-04</w:t>
            </w:r>
          </w:p>
        </w:tc>
        <w:tc>
          <w:tcPr>
            <w:tcW w:type="dxa" w:w="2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RF-01, RF-04 / RNF-10, RNF-14</w:t>
            </w:r>
          </w:p>
        </w:tc>
      </w:tr>
    </w:tbl>
    <w:p>
      <w:pPr>
        <w:spacing w:after="200" w:before="40" w:line="300"/>
      </w:pPr>
      <w:r>
        <w:rPr>
          <w:rFonts w:ascii="Times New Roman" w:cs="Times New Roman" w:eastAsia="Times New Roman" w:hAnsi="Times New Roman"/>
          <w:i/>
          <w:iCs/>
          <w:color w:val="000000"/>
          <w:sz w:val="20"/>
          <w:szCs w:val="20"/>
        </w:rPr>
        <w:t xml:space="preserve">Tabla 25. Matriz de trazabilidad de la solución.</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4.11.1 Trazabilidad de los requerimientos no funcionales</w:t>
      </w:r>
    </w:p>
    <w:p>
      <w:pPr>
        <w:spacing w:after="120" w:line="360"/>
        <w:ind w:firstLine="708"/>
        <w:jc w:val="both"/>
      </w:pPr>
      <w:r>
        <w:rPr>
          <w:rFonts w:ascii="Times New Roman" w:cs="Times New Roman" w:eastAsia="Times New Roman" w:hAnsi="Times New Roman"/>
          <w:color w:val="000000"/>
          <w:sz w:val="24"/>
          <w:szCs w:val="24"/>
        </w:rPr>
        <w:t xml:space="preserve">Con el propósito de completar la trazabilidad, la siguiente tabla vincula cada requerimiento no funcional con su atributo de calidad, la necesidad u objetivo que lo origina y el requerimiento funcional o componente con el que se relaciona. De esta manera se comprueba que la totalidad de los requerimientos no funcionales responde a la investigación realizada.</w:t>
      </w:r>
    </w:p>
    <w:p>
      <w:pPr>
        <w:keepNext/>
        <w:spacing w:after="40" w:before="120" w:line="300"/>
      </w:pPr>
      <w:r>
        <w:rPr>
          <w:rFonts w:ascii="Times New Roman" w:cs="Times New Roman" w:eastAsia="Times New Roman" w:hAnsi="Times New Roman"/>
          <w:b/>
          <w:bCs/>
          <w:color w:val="000000"/>
          <w:sz w:val="24"/>
          <w:szCs w:val="24"/>
        </w:rPr>
        <w:t xml:space="preserve">Tabla 26 </w:t>
      </w:r>
      <w:r>
        <w:rPr>
          <w:rFonts w:ascii="Times New Roman" w:cs="Times New Roman" w:eastAsia="Times New Roman" w:hAnsi="Times New Roman"/>
          <w:b/>
          <w:bCs/>
          <w:color w:val="000000"/>
          <w:sz w:val="24"/>
          <w:szCs w:val="24"/>
        </w:rPr>
        <w:t xml:space="preserve">Trazabilidad de los requerimientos no funcionales</w:t>
      </w:r>
    </w:p>
    <w:p>
      <w:pPr>
        <w:keepNext/>
        <w:spacing w:after="80" w:line="300"/>
        <w:ind w:firstLine="708"/>
        <w:jc w:val="both"/>
      </w:pPr>
      <w:r>
        <w:rPr>
          <w:rFonts w:ascii="Times New Roman" w:cs="Times New Roman" w:eastAsia="Times New Roman" w:hAnsi="Times New Roman"/>
          <w:color w:val="000000"/>
          <w:sz w:val="22"/>
          <w:szCs w:val="22"/>
        </w:rPr>
        <w:t xml:space="preserve">La tabla relaciona cada requerimiento no funcional con su atributo, la necesidad u objetivo asociado y el elemento del sistema con el que se vincula.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050"/>
        <w:gridCol w:w="1900"/>
        <w:gridCol w:w="3200"/>
        <w:gridCol w:w="3210"/>
      </w:tblGrid>
      <w:tr>
        <w:trPr>
          <w:tblHeader/>
        </w:trPr>
        <w:tc>
          <w:tcPr>
            <w:tcW w:type="dxa" w:w="10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RNF</w:t>
            </w:r>
          </w:p>
        </w:tc>
        <w:tc>
          <w:tcPr>
            <w:tcW w:type="dxa" w:w="1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Atributo</w:t>
            </w:r>
          </w:p>
        </w:tc>
        <w:tc>
          <w:tcPr>
            <w:tcW w:type="dxa" w:w="32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Necesidad / Objetivo</w:t>
            </w:r>
          </w:p>
        </w:tc>
        <w:tc>
          <w:tcPr>
            <w:tcW w:type="dxa" w:w="321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Se relaciona con</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RNF-01</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N-06 / OE-02</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RF-08</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RNF-02</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N-06 / OE-02</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RF-08, RF-09</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RNF-03</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N-06 / OE-02</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RES-03</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RNF-04</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N-06 / OE-02</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RF-08</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RNF-05</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Rendimiento</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N-02, N-04 / OE-04</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RF-01, RF-07</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RNF-06</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Rendimiento</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N-02 / OE-04</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RF-07, RF-10</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RNF-07</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Disponibilidad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OE-04</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CAR-05</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RNF-08</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Disponibilidad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OE-04</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Infraestructura</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RNF-09</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OE-06</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RF-07</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RNF-10</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N-07 / OE-05</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RF-01</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RNF-11</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OE-06</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CAR-05</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RNF-12</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Confiabilidad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N-03 / OE-03</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RF-05, RF-06</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RNF-13</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Confiabilidad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N-01, N-05 / OE-02</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RF-10</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RNF-14</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Mantenibilidad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N-01, N-07 / OE-02</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RF-03</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RNF-15</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Compatibilidad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OE-06</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RF-07</w:t>
            </w:r>
          </w:p>
        </w:tc>
      </w:tr>
    </w:tbl>
    <w:p>
      <w:pPr>
        <w:spacing w:after="200" w:before="40" w:line="300"/>
      </w:pPr>
      <w:r>
        <w:rPr>
          <w:rFonts w:ascii="Times New Roman" w:cs="Times New Roman" w:eastAsia="Times New Roman" w:hAnsi="Times New Roman"/>
          <w:i/>
          <w:iCs/>
          <w:color w:val="000000"/>
          <w:sz w:val="20"/>
          <w:szCs w:val="20"/>
        </w:rPr>
        <w:t xml:space="preserve">Tabla 26. Trazabilidad de los requerimientos no funcionales.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 correspondencia presentada en las tablas anteriores confirma la coherencia entre la investigación realizada y la solución propuesta, y facilita la comprobación de su cumplimiento durante la fase de pruebas.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2026-09-14T05:37:37.592Z</dcterms:created>
  <dcterms:modified xsi:type="dcterms:W3CDTF">2026-09-14T05:37:37.605Z</dcterms:modified>
</cp:coreProperties>
</file>

<file path=docProps/custom.xml><?xml version="1.0" encoding="utf-8"?>
<Properties xmlns="http://schemas.openxmlformats.org/officeDocument/2006/custom-properties" xmlns:vt="http://schemas.openxmlformats.org/officeDocument/2006/docPropsVTypes"/>
</file>