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</w:pPr>
      <w:r>
        <w:rPr>
          <w:sz w:val="56"/>
          <w:szCs w:val="56"/>
        </w:rPr>
        <w:t xml:space="preserve"> </w:t>
      </w:r>
    </w:p>
    <w:p>
      <w:pPr>
        <w:shd w:fill="BF9000" w:val="clear"/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0" w:before="2600"/>
      </w:pPr>
    </w:p>
    <w:p>
      <w:pPr>
        <w:spacing w:after="120" w:before="0"/>
        <w:jc w:val="center"/>
      </w:pPr>
      <w:r>
        <w:rPr>
          <w:rFonts w:ascii="Segoe UI" w:cs="Segoe UI" w:eastAsia="Segoe UI" w:hAnsi="Segoe UI"/>
          <w:b/>
          <w:bCs/>
          <w:color w:val="BF9000"/>
          <w:sz w:val="28"/>
          <w:szCs w:val="28"/>
        </w:rPr>
        <w:t xml:space="preserve">BILL-07</w:t>
      </w:r>
    </w:p>
    <w:p>
      <w:pPr>
        <w:spacing w:after="60" w:before="0"/>
        <w:jc w:val="center"/>
      </w:pPr>
      <w:r>
        <w:rPr>
          <w:rFonts w:ascii="Segoe UI" w:cs="Segoe UI" w:eastAsia="Segoe UI" w:hAnsi="Segoe UI"/>
          <w:b/>
          <w:bCs/>
          <w:color w:val="1F3864"/>
          <w:sz w:val="52"/>
          <w:szCs w:val="52"/>
        </w:rPr>
        <w:t xml:space="preserve">Majesco Billing</w:t>
      </w:r>
    </w:p>
    <w:p>
      <w:pPr>
        <w:spacing w:after="200" w:before="0"/>
        <w:jc w:val="center"/>
      </w:pPr>
      <w:r>
        <w:rPr>
          <w:rFonts w:ascii="Segoe UI" w:cs="Segoe UI" w:eastAsia="Segoe UI" w:hAnsi="Segoe UI"/>
          <w:b/>
          <w:bCs/>
          <w:color w:val="1F3864"/>
          <w:sz w:val="52"/>
          <w:szCs w:val="52"/>
        </w:rPr>
        <w:t xml:space="preserve">Screen ↔ Process Mapping (L3 → L6)</w:t>
      </w:r>
    </w:p>
    <w:p>
      <w:pPr>
        <w:spacing w:after="700" w:before="0"/>
        <w:jc w:val="center"/>
      </w:pPr>
      <w:r>
        <w:rPr>
          <w:rFonts w:ascii="Segoe UI" w:cs="Segoe UI" w:eastAsia="Segoe UI" w:hAnsi="Segoe UI"/>
          <w:color w:val="5B6470"/>
          <w:sz w:val="28"/>
          <w:szCs w:val="28"/>
        </w:rPr>
        <w:t xml:space="preserve">Majesco Billing — Commercial Lines Workstream</w:t>
      </w:r>
    </w:p>
    <w:p>
      <w:pPr>
        <w:spacing w:after="40" w:before="40"/>
        <w:jc w:val="center"/>
      </w:pPr>
      <w:r>
        <w:rPr>
          <w:rFonts w:ascii="Segoe UI" w:cs="Segoe UI" w:eastAsia="Segoe UI" w:hAnsi="Segoe UI"/>
          <w:b/>
          <w:bCs/>
          <w:color w:val="1F3864"/>
          <w:sz w:val="22"/>
          <w:szCs w:val="22"/>
        </w:rPr>
        <w:t xml:space="preserve">Date   </w:t>
      </w:r>
      <w:r>
        <w:rPr>
          <w:color w:val="333333"/>
          <w:sz w:val="22"/>
          <w:szCs w:val="22"/>
        </w:rPr>
        <w:t xml:space="preserve">14 August 2026</w:t>
      </w:r>
    </w:p>
    <w:p>
      <w:pPr>
        <w:spacing w:after="40" w:before="40"/>
        <w:jc w:val="center"/>
      </w:pPr>
      <w:r>
        <w:rPr>
          <w:rFonts w:ascii="Segoe UI" w:cs="Segoe UI" w:eastAsia="Segoe UI" w:hAnsi="Segoe UI"/>
          <w:b/>
          <w:bCs/>
          <w:color w:val="1F3864"/>
          <w:sz w:val="22"/>
          <w:szCs w:val="22"/>
        </w:rPr>
        <w:t xml:space="preserve">Version   </w:t>
      </w:r>
      <w:r>
        <w:rPr>
          <w:color w:val="333333"/>
          <w:sz w:val="22"/>
          <w:szCs w:val="22"/>
        </w:rPr>
        <w:t xml:space="preserve">1.0</w:t>
      </w:r>
    </w:p>
    <w:p>
      <w:pPr>
        <w:spacing w:after="40" w:before="40"/>
        <w:jc w:val="center"/>
      </w:pPr>
      <w:r>
        <w:rPr>
          <w:rFonts w:ascii="Segoe UI" w:cs="Segoe UI" w:eastAsia="Segoe UI" w:hAnsi="Segoe UI"/>
          <w:b/>
          <w:bCs/>
          <w:color w:val="1F3864"/>
          <w:sz w:val="22"/>
          <w:szCs w:val="22"/>
        </w:rPr>
        <w:t xml:space="preserve">Applied by   </w:t>
      </w:r>
      <w:r>
        <w:rPr>
          <w:color w:val="333333"/>
          <w:sz w:val="22"/>
          <w:szCs w:val="22"/>
        </w:rPr>
        <w:t xml:space="preserve">backend/scripts/add-majesco-billing.ts (NodeAppUsage, usageType: performed)</w:t>
      </w:r>
    </w:p>
    <w:p>
      <w:pPr>
        <w:spacing w:after="0" w:before="2400"/>
      </w:pPr>
    </w:p>
    <w:p>
      <w:pPr>
        <w:spacing w:after="0" w:before="0"/>
        <w:jc w:val="center"/>
      </w:pPr>
      <w:r>
        <w:rPr>
          <w:i/>
          <w:iCs/>
          <w:color w:val="5B6470"/>
          <w:sz w:val="18"/>
          <w:szCs w:val="18"/>
        </w:rPr>
        <w:t xml:space="preserve">Maps the Majesco Billing for P&amp;C screen inventory onto the Transformation Bridge process taxonomy.</w:t>
      </w:r>
    </w:p>
    <w:p>
      <w:r>
        <w:br w:type="page"/>
      </w:r>
    </w:p>
    <w:p>
      <w:pPr>
        <w:pBdr>
          <w:bottom w:val="single" w:color="BF9000" w:sz="12" w:space="6"/>
        </w:pBdr>
        <w:spacing w:after="240" w:before="120"/>
      </w:pPr>
      <w:r>
        <w:rPr>
          <w:rFonts w:ascii="Segoe UI" w:cs="Segoe UI" w:eastAsia="Segoe UI" w:hAnsi="Segoe UI"/>
          <w:b/>
          <w:bCs/>
          <w:color w:val="1F3864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BF9000" w:sz="6"/>
          <w:left w:val="single" w:color="BF9000" w:sz="6"/>
          <w:bottom w:val="single" w:color="BF9000" w:sz="6"/>
          <w:right w:val="single" w:color="BF9000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7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Evidence legend</w:t>
            </w:r>
          </w:p>
          <w:p>
            <w:pPr>
              <w:spacing w:after="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[Confirmed]</w:t>
            </w:r>
            <w:r>
              <w:rPr>
                <w:sz w:val="20"/>
                <w:szCs w:val="20"/>
              </w:rPr>
              <w:t xml:space="preserve">  directly evidenced in a cited public source.    </w:t>
            </w:r>
            <w:r>
              <w:rPr>
                <w:b/>
                <w:bCs/>
                <w:color w:val="B45309"/>
                <w:sz w:val="20"/>
                <w:szCs w:val="20"/>
              </w:rPr>
              <w:t xml:space="preserve">[Inferred]</w:t>
            </w:r>
            <w:r>
              <w:rPr>
                <w:sz w:val="20"/>
                <w:szCs w:val="20"/>
              </w:rPr>
              <w:t xml:space="preserve">  reasonable inference from industry-standard P&amp;C billing capability sets, Majesco marketing language, or sibling-product documentation — validate before treating as fact.</w:t>
            </w:r>
          </w:p>
        </w:tc>
      </w:tr>
    </w:tbl>
    <w:p>
      <w:pPr>
        <w:spacing w:after="120" w:before="120"/>
      </w:pPr>
    </w:p>
    <w:p>
      <w:pPr>
        <w:spacing w:after="120" w:before="60"/>
        <w:jc w:val="left"/>
      </w:pPr>
      <w:r>
        <w:rPr>
          <w:sz w:val="21"/>
          <w:szCs w:val="21"/>
        </w:rPr>
        <w:t xml:space="preserve">Maps the Majesco Billing for P&amp;C screen inventory (see </w:t>
      </w:r>
      <w:r>
        <w:rPr>
          <w:color w:val="2E5395"/>
          <w:sz w:val="21"/>
          <w:szCs w:val="21"/>
          <w:u w:val="single"/>
        </w:rPr>
        <w:t xml:space="preserve">majesco-billing-research-dossier.md</w:t>
      </w:r>
      <w:r>
        <w:rPr>
          <w:sz w:val="21"/>
          <w:szCs w:val="21"/>
        </w:rPr>
        <w:t xml:space="preserve">, §3) onto the Transformation Bridge process taxonomy. Data wiring is applied by </w:t>
      </w:r>
      <w:r>
        <w:rPr>
          <w:rFonts w:ascii="Consolas" w:cs="Consolas" w:eastAsia="Consolas" w:hAnsi="Consolas"/>
          <w:sz w:val="19"/>
          <w:szCs w:val="19"/>
        </w:rPr>
        <w:t xml:space="preserve">backend/scripts/add-majesco-billing.ts</w:t>
      </w:r>
      <w:r>
        <w:rPr>
          <w:sz w:val="21"/>
          <w:szCs w:val="21"/>
        </w:rPr>
        <w:t xml:space="preserve">, which registers the </w:t>
      </w:r>
      <w:r>
        <w:rPr>
          <w:b/>
          <w:bCs/>
          <w:sz w:val="21"/>
          <w:szCs w:val="21"/>
        </w:rPr>
        <w:t xml:space="preserve">Majesco Billing</w:t>
      </w:r>
      <w:r>
        <w:rPr>
          <w:sz w:val="21"/>
          <w:szCs w:val="21"/>
        </w:rPr>
        <w:t xml:space="preserve"> application and links it (</w:t>
      </w:r>
      <w:r>
        <w:rPr>
          <w:rFonts w:ascii="Consolas" w:cs="Consolas" w:eastAsia="Consolas" w:hAnsi="Consolas"/>
          <w:sz w:val="19"/>
          <w:szCs w:val="19"/>
        </w:rPr>
        <w:t xml:space="preserve">NodeAppUsage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usageType: performed</w:t>
      </w:r>
      <w:r>
        <w:rPr>
          <w:sz w:val="21"/>
          <w:szCs w:val="21"/>
        </w:rPr>
        <w:t xml:space="preserve">) to every L5 task listed below — and to any generated L6 child tasks of those L5s present in the live environment (the AAA-rollout task layer; the seed itself is L1–L5).</w:t>
      </w:r>
    </w:p>
    <w:p>
      <w:pPr>
        <w:spacing w:after="120" w:before="60"/>
        <w:jc w:val="left"/>
      </w:pPr>
      <w:r>
        <w:rPr>
          <w:b/>
          <w:bCs/>
          <w:sz w:val="21"/>
          <w:szCs w:val="21"/>
        </w:rPr>
        <w:t xml:space="preserve">Evidence</w:t>
      </w:r>
      <w:r>
        <w:rPr>
          <w:sz w:val="21"/>
          <w:szCs w:val="21"/>
        </w:rP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Confirmed</w:t>
      </w:r>
      <w:r>
        <w:rPr>
          <w:sz w:val="21"/>
          <w:szCs w:val="21"/>
        </w:rPr>
        <w:t xml:space="preserve"> = the screen/workspace is directly evidenced in Majesco public material; </w:t>
      </w:r>
      <w:r>
        <w:rPr>
          <w:rFonts w:ascii="Consolas" w:cs="Consolas" w:eastAsia="Consolas" w:hAnsi="Consolas"/>
          <w:sz w:val="19"/>
          <w:szCs w:val="19"/>
        </w:rPr>
        <w:t xml:space="preserve">Inferred</w:t>
      </w:r>
      <w:r>
        <w:rPr>
          <w:sz w:val="21"/>
          <w:szCs w:val="21"/>
        </w:rPr>
        <w:t xml:space="preserve"> = standard screen implied by a confirmed capability (Majesco publishes no public screen catalog).</w:t>
      </w:r>
    </w:p>
    <w:p>
      <w:pPr>
        <w:spacing w:after="60" w:before="240"/>
        <w:jc w:val="center"/>
      </w:pPr>
      <w:r>
        <w:drawing>
          <wp:inline distT="0" distB="0" distL="0" distR="0">
            <wp:extent cx="590550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B6470"/>
          <w:sz w:val="18"/>
          <w:szCs w:val="18"/>
        </w:rPr>
        <w:t xml:space="preserve">Figure 1 — Coverage: 20 Majesco screens grouped by function, mapped to the two L3 process areas — Billing, Collections &amp; Receivables (21 tasks) and Premium Billing &amp; Receivables Accounting (30 tasks).</w:t>
      </w:r>
    </w:p>
    <w:p>
      <w:pPr>
        <w:pStyle w:val="Heading1"/>
      </w:pPr>
      <w:r>
        <w:t xml:space="preserve">High-level mapping (Majesco module → L3 process areas)</w:t>
      </w:r>
    </w:p>
    <w:tbl>
      <w:tblPr>
        <w:tblW w:type="dxa" w:w="9360"/>
        <w:tblBorders>
          <w:top w:val="single" w:color="C5CEDD" w:sz="4"/>
          <w:left w:val="single" w:color="C5CEDD" w:sz="4"/>
          <w:bottom w:val="single" w:color="C5CEDD" w:sz="4"/>
          <w:right w:val="single" w:color="C5CEDD" w:sz="4"/>
          <w:insideH w:val="single" w:color="C5CEDD" w:sz="4"/>
          <w:insideV w:val="single" w:color="C5CEDD" w:sz="4"/>
        </w:tblBorders>
      </w:tblPr>
      <w:tblGrid>
        <w:gridCol w:w="3359"/>
        <w:gridCol w:w="1714"/>
        <w:gridCol w:w="1801"/>
        <w:gridCol w:w="2486"/>
      </w:tblGrid>
      <w:tr>
        <w:trPr>
          <w:tblHeader/>
        </w:trPr>
        <w:tc>
          <w:tcPr>
            <w:tcW w:type="dxa" w:w="335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Majesco functional module</w:t>
            </w:r>
          </w:p>
        </w:tc>
        <w:tc>
          <w:tcPr>
            <w:tcW w:type="dxa" w:w="171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L1</w:t>
            </w:r>
          </w:p>
        </w:tc>
        <w:tc>
          <w:tcPr>
            <w:tcW w:type="dxa" w:w="180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L2</w:t>
            </w:r>
          </w:p>
        </w:tc>
        <w:tc>
          <w:tcPr>
            <w:tcW w:type="dxa" w:w="248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335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Billing operations (plans, notices, collection, suspense, lapse, refunds)</w:t>
            </w:r>
          </w:p>
        </w:tc>
        <w:tc>
          <w:tcPr>
            <w:tcW w:type="dxa" w:w="17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Core Business</w:t>
            </w:r>
          </w:p>
        </w:tc>
        <w:tc>
          <w:tcPr>
            <w:tcW w:type="dxa" w:w="180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Business Operations</w:t>
            </w:r>
          </w:p>
        </w:tc>
        <w:tc>
          <w:tcPr>
            <w:tcW w:type="dxa" w:w="2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Billing, Collections &amp; Receivables</w:t>
            </w:r>
          </w:p>
        </w:tc>
      </w:tr>
      <w:tr>
        <w:tc>
          <w:tcPr>
            <w:tcW w:type="dxa" w:w="335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Receivables accounting, cash application, agency/broker settlement, GL</w:t>
            </w:r>
          </w:p>
        </w:tc>
        <w:tc>
          <w:tcPr>
            <w:tcW w:type="dxa" w:w="171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Corporate Functions</w:t>
            </w:r>
          </w:p>
        </w:tc>
        <w:tc>
          <w:tcPr>
            <w:tcW w:type="dxa" w:w="1801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Finance &amp; Investments</w:t>
            </w:r>
          </w:p>
        </w:tc>
        <w:tc>
          <w:tcPr>
            <w:tcW w:type="dxa" w:w="2486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Premium Billing &amp; Receivables Accounting</w:t>
            </w:r>
          </w:p>
        </w:tc>
      </w:tr>
    </w:tbl>
    <w:p>
      <w:pPr>
        <w:spacing w:after="60" w:before="60"/>
      </w:pPr>
    </w:p>
    <w:p>
      <w:pPr>
        <w:spacing w:after="120" w:before="60"/>
        <w:jc w:val="left"/>
      </w:pPr>
      <w:r>
        <w:rPr>
          <w:sz w:val="21"/>
          <w:szCs w:val="21"/>
        </w:rPr>
        <w:t xml:space="preserve">Adjacent areas touched but </w:t>
      </w:r>
      <w:r>
        <w:rPr>
          <w:b/>
          <w:bCs/>
          <w:sz w:val="21"/>
          <w:szCs w:val="21"/>
        </w:rPr>
        <w:t xml:space="preserve">not</w:t>
      </w:r>
      <w:r>
        <w:rPr>
          <w:sz w:val="21"/>
          <w:szCs w:val="21"/>
        </w:rPr>
        <w:t xml:space="preserve"> mapped (different owning systems in the estate): </w:t>
      </w:r>
      <w:r>
        <w:rPr>
          <w:rFonts w:ascii="Consolas" w:cs="Consolas" w:eastAsia="Consolas" w:hAnsi="Consolas"/>
          <w:sz w:val="19"/>
          <w:szCs w:val="19"/>
        </w:rPr>
        <w:t xml:space="preserve">Finance &amp; Investments &gt; Treasury &amp; Cash Management</w:t>
      </w:r>
      <w:r>
        <w:rPr>
          <w:sz w:val="21"/>
          <w:szCs w:val="21"/>
        </w:rPr>
        <w:t xml:space="preserve"> (bank-side cash), </w:t>
      </w:r>
      <w:r>
        <w:rPr>
          <w:rFonts w:ascii="Consolas" w:cs="Consolas" w:eastAsia="Consolas" w:hAnsi="Consolas"/>
          <w:sz w:val="19"/>
          <w:szCs w:val="19"/>
        </w:rPr>
        <w:t xml:space="preserve">Finance &amp; Investments &gt; Statutory &amp; Regulatory Reporting &gt; Escheatment &amp; Unclaimed Property Compliance</w:t>
      </w:r>
      <w:r>
        <w:rPr>
          <w:sz w:val="21"/>
          <w:szCs w:val="21"/>
        </w:rPr>
        <w:t xml:space="preserve"> (escheat is unverified for Majesco — dossier §2.8), </w:t>
      </w:r>
      <w:r>
        <w:rPr>
          <w:rFonts w:ascii="Consolas" w:cs="Consolas" w:eastAsia="Consolas" w:hAnsi="Consolas"/>
          <w:sz w:val="19"/>
          <w:szCs w:val="19"/>
        </w:rPr>
        <w:t xml:space="preserve">Claims &gt; Settlement &amp; Payment</w:t>
      </w:r>
      <w:r>
        <w:rPr>
          <w:sz w:val="21"/>
          <w:szCs w:val="21"/>
        </w:rPr>
        <w:t xml:space="preserve"> (claims money-out), </w:t>
      </w:r>
      <w:r>
        <w:rPr>
          <w:rFonts w:ascii="Consolas" w:cs="Consolas" w:eastAsia="Consolas" w:hAnsi="Consolas"/>
          <w:sz w:val="19"/>
          <w:szCs w:val="19"/>
        </w:rPr>
        <w:t xml:space="preserve">Reinsurance &gt; Premium &amp; Settlement Accounting</w:t>
      </w:r>
      <w:r>
        <w:rPr>
          <w:sz w:val="21"/>
          <w:szCs w:val="21"/>
        </w:rPr>
        <w:t xml:space="preserve">. The L4 </w:t>
      </w:r>
      <w:r>
        <w:rPr>
          <w:rFonts w:ascii="Consolas" w:cs="Consolas" w:eastAsia="Consolas" w:hAnsi="Consolas"/>
          <w:sz w:val="19"/>
          <w:szCs w:val="19"/>
        </w:rPr>
        <w:t xml:space="preserve">Annuity Purchase Payment Processing</w:t>
      </w:r>
      <w:r>
        <w:rPr>
          <w:sz w:val="21"/>
          <w:szCs w:val="21"/>
        </w:rPr>
        <w:t xml:space="preserve"> under Billing, Collections &amp; Receivables is L&amp;A-side and out of scope for a commercial-lines P&amp;C billing platform.</w:t>
      </w:r>
    </w:p>
    <w:p>
      <w:pPr>
        <w:pStyle w:val="Heading1"/>
      </w:pPr>
      <w:r>
        <w:t xml:space="preserve">Screen-level mapping (L3 → L4 → L5)</w:t>
      </w:r>
    </w:p>
    <w:p>
      <w:pPr>
        <w:spacing w:after="120" w:before="60"/>
        <w:jc w:val="left"/>
      </w:pPr>
      <w:r>
        <w:rPr>
          <w:sz w:val="21"/>
          <w:szCs w:val="21"/>
        </w:rPr>
        <w:t xml:space="preserve">Abbreviations: </w:t>
      </w:r>
      <w:r>
        <w:rPr>
          <w:b/>
          <w:bCs/>
          <w:sz w:val="21"/>
          <w:szCs w:val="21"/>
        </w:rPr>
        <w:t xml:space="preserve">BCR</w:t>
      </w:r>
      <w:r>
        <w:rPr>
          <w:sz w:val="21"/>
          <w:szCs w:val="21"/>
        </w:rPr>
        <w:t xml:space="preserve"> = Core Business › Business Operations › Billing, Collections &amp; Receivables; </w:t>
      </w:r>
      <w:r>
        <w:rPr>
          <w:b/>
          <w:bCs/>
          <w:sz w:val="21"/>
          <w:szCs w:val="21"/>
        </w:rPr>
        <w:t xml:space="preserve">PBRA</w:t>
      </w:r>
      <w:r>
        <w:rPr>
          <w:sz w:val="21"/>
          <w:szCs w:val="21"/>
        </w:rPr>
        <w:t xml:space="preserve"> = Corporate Functions › Finance &amp; Investments › Premium Billing &amp; Receivables Accounting.</w:t>
      </w:r>
    </w:p>
    <w:p>
      <w:pPr>
        <w:pStyle w:val="Heading2"/>
      </w:pPr>
      <w:r>
        <w:t xml:space="preserve">Account &amp; inquiry</w:t>
      </w:r>
    </w:p>
    <w:tbl>
      <w:tblPr>
        <w:tblW w:type="dxa" w:w="9360"/>
        <w:tblBorders>
          <w:top w:val="single" w:color="C5CEDD" w:sz="4"/>
          <w:left w:val="single" w:color="C5CEDD" w:sz="4"/>
          <w:bottom w:val="single" w:color="C5CEDD" w:sz="4"/>
          <w:right w:val="single" w:color="C5CEDD" w:sz="4"/>
          <w:insideH w:val="single" w:color="C5CEDD" w:sz="4"/>
          <w:insideV w:val="single" w:color="C5CEDD" w:sz="4"/>
        </w:tblBorders>
      </w:tblPr>
      <w:tblGrid>
        <w:gridCol w:w="2258"/>
        <w:gridCol w:w="1102"/>
        <w:gridCol w:w="779"/>
        <w:gridCol w:w="2413"/>
        <w:gridCol w:w="2808"/>
      </w:tblGrid>
      <w:tr>
        <w:trPr>
          <w:tblHeader/>
        </w:trPr>
        <w:tc>
          <w:tcPr>
            <w:tcW w:type="dxa" w:w="225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10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77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L3</w:t>
            </w:r>
          </w:p>
        </w:tc>
        <w:tc>
          <w:tcPr>
            <w:tcW w:type="dxa" w:w="2413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L4</w:t>
            </w:r>
          </w:p>
        </w:tc>
        <w:tc>
          <w:tcPr>
            <w:tcW w:type="dxa" w:w="280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L5 task</w:t>
            </w:r>
          </w:p>
        </w:tc>
      </w:tr>
      <w:tr>
        <w:tc>
          <w:tcPr>
            <w:tcW w:type="dxa" w:w="225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Billing Account Overview / Account Inquiry</w:t>
            </w:r>
          </w:p>
        </w:tc>
        <w:tc>
          <w:tcPr>
            <w:tcW w:type="dxa" w:w="11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[Inferred]</w:t>
            </w:r>
          </w:p>
        </w:tc>
        <w:tc>
          <w:tcPr>
            <w:tcW w:type="dxa" w:w="7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4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Refunds &amp; Overpayment Processing</w:t>
            </w:r>
          </w:p>
        </w:tc>
        <w:tc>
          <w:tcPr>
            <w:tcW w:type="dxa" w:w="280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Identify credit balances and overpayments for refund</w:t>
            </w:r>
          </w:p>
        </w:tc>
      </w:tr>
      <w:tr>
        <w:tc>
          <w:tcPr>
            <w:tcW w:type="dxa" w:w="2258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102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7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413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Delinquency Monitoring &amp; Receivables Collections</w:t>
            </w:r>
          </w:p>
        </w:tc>
        <w:tc>
          <w:tcPr>
            <w:tcW w:type="dxa" w:w="2808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Identify and prioritize past-due premium accounts</w:t>
            </w:r>
          </w:p>
        </w:tc>
      </w:tr>
      <w:tr>
        <w:tc>
          <w:tcPr>
            <w:tcW w:type="dxa" w:w="225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Policy Billing Inquiry</w:t>
            </w:r>
          </w:p>
        </w:tc>
        <w:tc>
          <w:tcPr>
            <w:tcW w:type="dxa" w:w="11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[Inferred]</w:t>
            </w:r>
          </w:p>
        </w:tc>
        <w:tc>
          <w:tcPr>
            <w:tcW w:type="dxa" w:w="7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4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Billing Mode Setup &amp; Premium Notice Generation</w:t>
            </w:r>
          </w:p>
        </w:tc>
        <w:tc>
          <w:tcPr>
            <w:tcW w:type="dxa" w:w="280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Generate and proof premium notice for the upcoming installment</w:t>
            </w:r>
          </w:p>
        </w:tc>
      </w:tr>
      <w:tr>
        <w:tc>
          <w:tcPr>
            <w:tcW w:type="dxa" w:w="2258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102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7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413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Invoice &amp; Receivable Creation</w:t>
            </w:r>
          </w:p>
        </w:tc>
        <w:tc>
          <w:tcPr>
            <w:tcW w:type="dxa" w:w="2808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Validate invoice data against policy before release</w:t>
            </w:r>
          </w:p>
        </w:tc>
      </w:tr>
      <w:tr>
        <w:tc>
          <w:tcPr>
            <w:tcW w:type="dxa" w:w="225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Invoice / Statement Detail</w:t>
            </w:r>
          </w:p>
        </w:tc>
        <w:tc>
          <w:tcPr>
            <w:tcW w:type="dxa" w:w="11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[Inferred]</w:t>
            </w:r>
          </w:p>
        </w:tc>
        <w:tc>
          <w:tcPr>
            <w:tcW w:type="dxa" w:w="7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4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Invoice &amp; Receivable Creation</w:t>
            </w:r>
          </w:p>
        </w:tc>
        <w:tc>
          <w:tcPr>
            <w:tcW w:type="dxa" w:w="280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Generate premium invoice from bound policy terms</w:t>
            </w:r>
          </w:p>
        </w:tc>
      </w:tr>
      <w:tr>
        <w:tc>
          <w:tcPr>
            <w:tcW w:type="dxa" w:w="2258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102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7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413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Billing Mode Setup &amp; Premium Notice Generation</w:t>
            </w:r>
          </w:p>
        </w:tc>
        <w:tc>
          <w:tcPr>
            <w:tcW w:type="dxa" w:w="2808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Generate and proof premium notice for the upcoming installment</w:t>
            </w:r>
          </w:p>
        </w:tc>
      </w:tr>
      <w:tr>
        <w:tc>
          <w:tcPr>
            <w:tcW w:type="dxa" w:w="225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Payment Plan / Schedule Maintenance</w:t>
            </w:r>
          </w:p>
        </w:tc>
        <w:tc>
          <w:tcPr>
            <w:tcW w:type="dxa" w:w="11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[Inferred]</w:t>
            </w:r>
          </w:p>
        </w:tc>
        <w:tc>
          <w:tcPr>
            <w:tcW w:type="dxa" w:w="7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4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Billing Mode Setup &amp; Premium Notice Generation</w:t>
            </w:r>
          </w:p>
        </w:tc>
        <w:tc>
          <w:tcPr>
            <w:tcW w:type="dxa" w:w="280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Configure billing plan and payment schedule on the policy account</w:t>
            </w:r>
          </w:p>
        </w:tc>
      </w:tr>
      <w:tr>
        <w:tc>
          <w:tcPr>
            <w:tcW w:type="dxa" w:w="2258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102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7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413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Billing Mode Setup &amp; Premium Notice Generation</w:t>
            </w:r>
          </w:p>
        </w:tc>
        <w:tc>
          <w:tcPr>
            <w:tcW w:type="dxa" w:w="2808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Apply mid-term billing changes from endorsements to the schedule</w:t>
            </w:r>
          </w:p>
        </w:tc>
      </w:tr>
      <w:tr>
        <w:tc>
          <w:tcPr>
            <w:tcW w:type="dxa" w:w="225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1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4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Invoice &amp; Receivable Creation</w:t>
            </w:r>
          </w:p>
        </w:tc>
        <w:tc>
          <w:tcPr>
            <w:tcW w:type="dxa" w:w="280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Calculate installment schedule and down-payment amounts</w:t>
            </w:r>
          </w:p>
        </w:tc>
      </w:tr>
    </w:tbl>
    <w:p>
      <w:pPr>
        <w:spacing w:after="60" w:before="60"/>
      </w:pPr>
    </w:p>
    <w:p>
      <w:pPr>
        <w:pStyle w:val="Heading2"/>
      </w:pPr>
      <w:r>
        <w:t xml:space="preserve">Money in</w:t>
      </w:r>
    </w:p>
    <w:tbl>
      <w:tblPr>
        <w:tblW w:type="dxa" w:w="9360"/>
        <w:tblBorders>
          <w:top w:val="single" w:color="C5CEDD" w:sz="4"/>
          <w:left w:val="single" w:color="C5CEDD" w:sz="4"/>
          <w:bottom w:val="single" w:color="C5CEDD" w:sz="4"/>
          <w:right w:val="single" w:color="C5CEDD" w:sz="4"/>
          <w:insideH w:val="single" w:color="C5CEDD" w:sz="4"/>
          <w:insideV w:val="single" w:color="C5CEDD" w:sz="4"/>
        </w:tblBorders>
      </w:tblPr>
      <w:tblGrid>
        <w:gridCol w:w="1937"/>
        <w:gridCol w:w="2034"/>
        <w:gridCol w:w="700"/>
        <w:gridCol w:w="2215"/>
        <w:gridCol w:w="2474"/>
      </w:tblGrid>
      <w:tr>
        <w:trPr>
          <w:tblHeader/>
        </w:trPr>
        <w:tc>
          <w:tcPr>
            <w:tcW w:type="dxa" w:w="193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3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L3</w:t>
            </w:r>
          </w:p>
        </w:tc>
        <w:tc>
          <w:tcPr>
            <w:tcW w:type="dxa" w:w="221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L4</w:t>
            </w:r>
          </w:p>
        </w:tc>
        <w:tc>
          <w:tcPr>
            <w:tcW w:type="dxa" w:w="247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L5 task</w:t>
            </w:r>
          </w:p>
        </w:tc>
      </w:tr>
      <w:tr>
        <w:tc>
          <w:tcPr>
            <w:tcW w:type="dxa" w:w="19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Payment Entry / Batch Cash Entry</w:t>
            </w:r>
          </w:p>
        </w:tc>
        <w:tc>
          <w:tcPr>
            <w:tcW w:type="dxa" w:w="20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[Inferred]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21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Collection &amp; Payment Processing</w:t>
            </w:r>
          </w:p>
        </w:tc>
        <w:tc>
          <w:tcPr>
            <w:tcW w:type="dxa" w:w="247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Capture and validate inbound premium payment against the account</w:t>
            </w:r>
          </w:p>
        </w:tc>
      </w:tr>
      <w:tr>
        <w:tc>
          <w:tcPr>
            <w:tcW w:type="dxa" w:w="193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03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215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Collection &amp; Payment Processing</w:t>
            </w:r>
          </w:p>
        </w:tc>
        <w:tc>
          <w:tcPr>
            <w:tcW w:type="dxa" w:w="247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Post lockbox and bank file payments to policyholder accounts</w:t>
            </w:r>
          </w:p>
        </w:tc>
      </w:tr>
      <w:tr>
        <w:tc>
          <w:tcPr>
            <w:tcW w:type="dxa" w:w="19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0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21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Cash Application &amp; Suspense Resolution</w:t>
            </w:r>
          </w:p>
        </w:tc>
        <w:tc>
          <w:tcPr>
            <w:tcW w:type="dxa" w:w="247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Process lockbox and ACH/EFT receipt files</w:t>
            </w:r>
          </w:p>
        </w:tc>
      </w:tr>
      <w:tr>
        <w:tc>
          <w:tcPr>
            <w:tcW w:type="dxa" w:w="193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03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215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Invoice &amp; Payment Processing</w:t>
            </w:r>
          </w:p>
        </w:tc>
        <w:tc>
          <w:tcPr>
            <w:tcW w:type="dxa" w:w="247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Process customer premium payments across channels</w:t>
            </w:r>
          </w:p>
        </w:tc>
      </w:tr>
      <w:tr>
        <w:tc>
          <w:tcPr>
            <w:tcW w:type="dxa" w:w="19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Cash Application / Allocation Workbench</w:t>
            </w:r>
          </w:p>
        </w:tc>
        <w:tc>
          <w:tcPr>
            <w:tcW w:type="dxa" w:w="20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[Inferred]</w:t>
            </w:r>
            <w:r>
              <w:rPr>
                <w:sz w:val="20"/>
                <w:szCs w:val="20"/>
              </w:rPr>
              <w:t xml:space="preserve"> (AI cash allocation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[Confirmed]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21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Cash Application &amp; Suspense Resolution</w:t>
            </w:r>
          </w:p>
        </w:tc>
        <w:tc>
          <w:tcPr>
            <w:tcW w:type="dxa" w:w="247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Match incoming payments to open premium invoices</w:t>
            </w:r>
          </w:p>
        </w:tc>
      </w:tr>
      <w:tr>
        <w:tc>
          <w:tcPr>
            <w:tcW w:type="dxa" w:w="193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03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215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Cash Application &amp; Suspense Resolution</w:t>
            </w:r>
          </w:p>
        </w:tc>
        <w:tc>
          <w:tcPr>
            <w:tcW w:type="dxa" w:w="247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Reconcile applied cash to daily bank deposits</w:t>
            </w:r>
          </w:p>
        </w:tc>
      </w:tr>
      <w:tr>
        <w:tc>
          <w:tcPr>
            <w:tcW w:type="dxa" w:w="19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Suspense Management</w:t>
            </w:r>
          </w:p>
        </w:tc>
        <w:tc>
          <w:tcPr>
            <w:tcW w:type="dxa" w:w="20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[Inferred]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21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Cash-with-Application &amp; Premium Suspense Management</w:t>
            </w:r>
          </w:p>
        </w:tc>
        <w:tc>
          <w:tcPr>
            <w:tcW w:type="dxa" w:w="247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Record cash-with-application receipt prior to policy issuance</w:t>
            </w:r>
          </w:p>
        </w:tc>
      </w:tr>
      <w:tr>
        <w:tc>
          <w:tcPr>
            <w:tcW w:type="dxa" w:w="193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03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215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Cash-with-Application &amp; Premium Suspense Management</w:t>
            </w:r>
          </w:p>
        </w:tc>
        <w:tc>
          <w:tcPr>
            <w:tcW w:type="dxa" w:w="247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Match suspense items to issued policies and release funds</w:t>
            </w:r>
          </w:p>
        </w:tc>
      </w:tr>
      <w:tr>
        <w:tc>
          <w:tcPr>
            <w:tcW w:type="dxa" w:w="19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0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21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Cash-with-Application &amp; Premium Suspense Management</w:t>
            </w:r>
          </w:p>
        </w:tc>
        <w:tc>
          <w:tcPr>
            <w:tcW w:type="dxa" w:w="247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Investigate and age unidentified premium suspense items</w:t>
            </w:r>
          </w:p>
        </w:tc>
      </w:tr>
      <w:tr>
        <w:tc>
          <w:tcPr>
            <w:tcW w:type="dxa" w:w="193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03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215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Cash Application &amp; Suspense Resolution</w:t>
            </w:r>
          </w:p>
        </w:tc>
        <w:tc>
          <w:tcPr>
            <w:tcW w:type="dxa" w:w="247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Investigate and clear unapplied cash in suspense</w:t>
            </w:r>
          </w:p>
        </w:tc>
      </w:tr>
      <w:tr>
        <w:tc>
          <w:tcPr>
            <w:tcW w:type="dxa" w:w="19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NSF / Payment Reversal Processing</w:t>
            </w:r>
          </w:p>
        </w:tc>
        <w:tc>
          <w:tcPr>
            <w:tcW w:type="dxa" w:w="20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[Inferred]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21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Collection &amp; Payment Processing</w:t>
            </w:r>
          </w:p>
        </w:tc>
        <w:tc>
          <w:tcPr>
            <w:tcW w:type="dxa" w:w="247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Resolve declined and returned payment exceptions</w:t>
            </w:r>
          </w:p>
        </w:tc>
      </w:tr>
      <w:tr>
        <w:tc>
          <w:tcPr>
            <w:tcW w:type="dxa" w:w="193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03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215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Invoice &amp; Payment Processing</w:t>
            </w:r>
          </w:p>
        </w:tc>
        <w:tc>
          <w:tcPr>
            <w:tcW w:type="dxa" w:w="247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Handle payment exceptions, NSF and chargebacks</w:t>
            </w:r>
          </w:p>
        </w:tc>
      </w:tr>
    </w:tbl>
    <w:p>
      <w:pPr>
        <w:spacing w:after="60" w:before="60"/>
      </w:pPr>
    </w:p>
    <w:p>
      <w:pPr>
        <w:pStyle w:val="Heading2"/>
      </w:pPr>
      <w:r>
        <w:t xml:space="preserve">Agency bill</w:t>
      </w:r>
    </w:p>
    <w:tbl>
      <w:tblPr>
        <w:tblW w:type="dxa" w:w="9360"/>
        <w:tblBorders>
          <w:top w:val="single" w:color="C5CEDD" w:sz="4"/>
          <w:left w:val="single" w:color="C5CEDD" w:sz="4"/>
          <w:bottom w:val="single" w:color="C5CEDD" w:sz="4"/>
          <w:right w:val="single" w:color="C5CEDD" w:sz="4"/>
          <w:insideH w:val="single" w:color="C5CEDD" w:sz="4"/>
          <w:insideV w:val="single" w:color="C5CEDD" w:sz="4"/>
        </w:tblBorders>
      </w:tblPr>
      <w:tblGrid>
        <w:gridCol w:w="2059"/>
        <w:gridCol w:w="2297"/>
        <w:gridCol w:w="700"/>
        <w:gridCol w:w="1995"/>
        <w:gridCol w:w="2309"/>
      </w:tblGrid>
      <w:tr>
        <w:trPr>
          <w:tblHeader/>
        </w:trPr>
        <w:tc>
          <w:tcPr>
            <w:tcW w:type="dxa" w:w="205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9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L3</w:t>
            </w:r>
          </w:p>
        </w:tc>
        <w:tc>
          <w:tcPr>
            <w:tcW w:type="dxa" w:w="199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L4</w:t>
            </w:r>
          </w:p>
        </w:tc>
        <w:tc>
          <w:tcPr>
            <w:tcW w:type="dxa" w:w="23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L5 task</w:t>
            </w:r>
          </w:p>
        </w:tc>
      </w:tr>
      <w:tr>
        <w:tc>
          <w:tcPr>
            <w:tcW w:type="dxa" w:w="205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Agency Statement / Account Current Reconciliation</w:t>
            </w:r>
          </w:p>
        </w:tc>
        <w:tc>
          <w:tcPr>
            <w:tcW w:type="dxa" w:w="22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[Inferred]</w:t>
            </w:r>
            <w:r>
              <w:rPr>
                <w:sz w:val="20"/>
                <w:szCs w:val="20"/>
              </w:rPr>
              <w:t xml:space="preserve"> (bill types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[Confirmed]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199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Agent &amp; Broker Account Reconciliation</w:t>
            </w:r>
          </w:p>
        </w:tc>
        <w:tc>
          <w:tcPr>
            <w:tcW w:type="dxa" w:w="23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Reconcile broker statement-of-account to ledger balances</w:t>
            </w:r>
          </w:p>
        </w:tc>
      </w:tr>
      <w:tr>
        <w:tc>
          <w:tcPr>
            <w:tcW w:type="dxa" w:w="205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29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1995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Agent &amp; Broker Account Reconciliation</w:t>
            </w:r>
          </w:p>
        </w:tc>
        <w:tc>
          <w:tcPr>
            <w:tcW w:type="dxa" w:w="230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Research and resolve broker account discrepancies</w:t>
            </w:r>
          </w:p>
        </w:tc>
      </w:tr>
      <w:tr>
        <w:tc>
          <w:tcPr>
            <w:tcW w:type="dxa" w:w="205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2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199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Agent &amp; Broker Account Reconciliation</w:t>
            </w:r>
          </w:p>
        </w:tc>
        <w:tc>
          <w:tcPr>
            <w:tcW w:type="dxa" w:w="23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Confirm aged broker balances and request settlement</w:t>
            </w:r>
          </w:p>
        </w:tc>
      </w:tr>
      <w:tr>
        <w:tc>
          <w:tcPr>
            <w:tcW w:type="dxa" w:w="205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Audit Premium Entry</w:t>
            </w:r>
          </w:p>
        </w:tc>
        <w:tc>
          <w:tcPr>
            <w:tcW w:type="dxa" w:w="229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[Confirmed]</w:t>
            </w:r>
            <w:r>
              <w:rPr>
                <w:sz w:val="20"/>
                <w:szCs w:val="20"/>
              </w:rPr>
              <w:t xml:space="preserve"> ("direct entry of commissionable audit premiums")</w:t>
            </w:r>
          </w:p>
        </w:tc>
        <w:tc>
          <w:tcPr>
            <w:tcW w:type="dxa" w:w="7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1995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Billing Mode Setup &amp; Premium Notice Generation</w:t>
            </w:r>
          </w:p>
        </w:tc>
        <w:tc>
          <w:tcPr>
            <w:tcW w:type="dxa" w:w="230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Apply mid-term billing changes from endorsements to the schedule</w:t>
            </w:r>
          </w:p>
        </w:tc>
      </w:tr>
      <w:tr>
        <w:tc>
          <w:tcPr>
            <w:tcW w:type="dxa" w:w="205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Compensation Manager</w:t>
            </w:r>
          </w:p>
        </w:tc>
        <w:tc>
          <w:tcPr>
            <w:tcW w:type="dxa" w:w="22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[Confirmed]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199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Agent &amp; Broker Account Reconciliation</w:t>
            </w:r>
          </w:p>
        </w:tc>
        <w:tc>
          <w:tcPr>
            <w:tcW w:type="dxa" w:w="23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Verify commission netting on producer remittances</w:t>
            </w:r>
          </w:p>
        </w:tc>
      </w:tr>
    </w:tbl>
    <w:p>
      <w:pPr>
        <w:spacing w:after="60" w:before="60"/>
      </w:pPr>
    </w:p>
    <w:p>
      <w:pPr>
        <w:pStyle w:val="Heading2"/>
      </w:pPr>
      <w:r>
        <w:t xml:space="preserve">Money out</w:t>
      </w:r>
    </w:p>
    <w:tbl>
      <w:tblPr>
        <w:tblW w:type="dxa" w:w="9360"/>
        <w:tblBorders>
          <w:top w:val="single" w:color="C5CEDD" w:sz="4"/>
          <w:left w:val="single" w:color="C5CEDD" w:sz="4"/>
          <w:bottom w:val="single" w:color="C5CEDD" w:sz="4"/>
          <w:right w:val="single" w:color="C5CEDD" w:sz="4"/>
          <w:insideH w:val="single" w:color="C5CEDD" w:sz="4"/>
          <w:insideV w:val="single" w:color="C5CEDD" w:sz="4"/>
        </w:tblBorders>
      </w:tblPr>
      <w:tblGrid>
        <w:gridCol w:w="2194"/>
        <w:gridCol w:w="1585"/>
        <w:gridCol w:w="723"/>
        <w:gridCol w:w="2310"/>
        <w:gridCol w:w="2548"/>
      </w:tblGrid>
      <w:tr>
        <w:trPr>
          <w:tblHeader/>
        </w:trPr>
        <w:tc>
          <w:tcPr>
            <w:tcW w:type="dxa" w:w="219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58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723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L3</w:t>
            </w:r>
          </w:p>
        </w:tc>
        <w:tc>
          <w:tcPr>
            <w:tcW w:type="dxa" w:w="231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L4</w:t>
            </w:r>
          </w:p>
        </w:tc>
        <w:tc>
          <w:tcPr>
            <w:tcW w:type="dxa" w:w="254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L5 task</w:t>
            </w:r>
          </w:p>
        </w:tc>
      </w:tr>
      <w:tr>
        <w:tc>
          <w:tcPr>
            <w:tcW w:type="dxa" w:w="219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Disbursement / Refund Queue (Hold-and-Release)</w:t>
            </w: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[Confirmed]</w:t>
            </w:r>
            <w:r>
              <w:rPr>
                <w:sz w:val="20"/>
                <w:szCs w:val="20"/>
              </w:rPr>
              <w:t xml:space="preserve"> (capability)</w:t>
            </w:r>
          </w:p>
        </w:tc>
        <w:tc>
          <w:tcPr>
            <w:tcW w:type="dxa" w:w="72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3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Refunds &amp; Overpayment Processing</w:t>
            </w:r>
          </w:p>
        </w:tc>
        <w:tc>
          <w:tcPr>
            <w:tcW w:type="dxa" w:w="25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Calculate return-premium amount on cancellation or reduction</w:t>
            </w:r>
          </w:p>
        </w:tc>
      </w:tr>
      <w:tr>
        <w:tc>
          <w:tcPr>
            <w:tcW w:type="dxa" w:w="219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85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23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31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Refunds &amp; Overpayment Processing</w:t>
            </w:r>
          </w:p>
        </w:tc>
        <w:tc>
          <w:tcPr>
            <w:tcW w:type="dxa" w:w="2548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Validate refund payee and disbursement details</w:t>
            </w:r>
          </w:p>
        </w:tc>
      </w:tr>
      <w:tr>
        <w:tc>
          <w:tcPr>
            <w:tcW w:type="dxa" w:w="219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2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3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Refunds &amp; Overpayment Processing</w:t>
            </w:r>
          </w:p>
        </w:tc>
        <w:tc>
          <w:tcPr>
            <w:tcW w:type="dxa" w:w="25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Approve and release premium refund disbursement</w:t>
            </w:r>
          </w:p>
        </w:tc>
      </w:tr>
      <w:tr>
        <w:tc>
          <w:tcPr>
            <w:tcW w:type="dxa" w:w="219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85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23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31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Cash-with-Application &amp; Premium Suspense Management</w:t>
            </w:r>
          </w:p>
        </w:tc>
        <w:tc>
          <w:tcPr>
            <w:tcW w:type="dxa" w:w="2548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Disposition declined applications by refunding suspended funds</w:t>
            </w:r>
          </w:p>
        </w:tc>
      </w:tr>
      <w:tr>
        <w:tc>
          <w:tcPr>
            <w:tcW w:type="dxa" w:w="219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2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3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Invoice &amp; Payment Processing</w:t>
            </w:r>
          </w:p>
        </w:tc>
        <w:tc>
          <w:tcPr>
            <w:tcW w:type="dxa" w:w="25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Process premium refunds and overpayment returns</w:t>
            </w:r>
          </w:p>
        </w:tc>
      </w:tr>
    </w:tbl>
    <w:p>
      <w:pPr>
        <w:spacing w:after="60" w:before="60"/>
      </w:pPr>
    </w:p>
    <w:p>
      <w:pPr>
        <w:pStyle w:val="Heading2"/>
      </w:pPr>
      <w:r>
        <w:t xml:space="preserve">Delinquency &amp; servicing</w:t>
      </w:r>
    </w:p>
    <w:tbl>
      <w:tblPr>
        <w:tblW w:type="dxa" w:w="9360"/>
        <w:tblBorders>
          <w:top w:val="single" w:color="C5CEDD" w:sz="4"/>
          <w:left w:val="single" w:color="C5CEDD" w:sz="4"/>
          <w:bottom w:val="single" w:color="C5CEDD" w:sz="4"/>
          <w:right w:val="single" w:color="C5CEDD" w:sz="4"/>
          <w:insideH w:val="single" w:color="C5CEDD" w:sz="4"/>
          <w:insideV w:val="single" w:color="C5CEDD" w:sz="4"/>
        </w:tblBorders>
      </w:tblPr>
      <w:tblGrid>
        <w:gridCol w:w="1974"/>
        <w:gridCol w:w="1922"/>
        <w:gridCol w:w="707"/>
        <w:gridCol w:w="2190"/>
        <w:gridCol w:w="2567"/>
      </w:tblGrid>
      <w:tr>
        <w:trPr>
          <w:tblHeader/>
        </w:trPr>
        <w:tc>
          <w:tcPr>
            <w:tcW w:type="dxa" w:w="197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92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70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L3</w:t>
            </w:r>
          </w:p>
        </w:tc>
        <w:tc>
          <w:tcPr>
            <w:tcW w:type="dxa" w:w="219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L4</w:t>
            </w:r>
          </w:p>
        </w:tc>
        <w:tc>
          <w:tcPr>
            <w:tcW w:type="dxa" w:w="256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L5 task</w:t>
            </w:r>
          </w:p>
        </w:tc>
      </w:tr>
      <w:tr>
        <w:tc>
          <w:tcPr>
            <w:tcW w:type="dxa" w:w="197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Delinquency / Collections Workbench</w:t>
            </w:r>
          </w:p>
        </w:tc>
        <w:tc>
          <w:tcPr>
            <w:tcW w:type="dxa" w:w="19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[Inferred]</w:t>
            </w:r>
            <w:r>
              <w:rPr>
                <w:sz w:val="20"/>
                <w:szCs w:val="20"/>
              </w:rPr>
              <w:t xml:space="preserve"> (capabilities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[Confirmed]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70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1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Grace Period &amp; Lapse Billing Administration</w:t>
            </w:r>
          </w:p>
        </w:tc>
        <w:tc>
          <w:tcPr>
            <w:tcW w:type="dxa" w:w="25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Identify past-due accounts entering the grace period</w:t>
            </w:r>
          </w:p>
        </w:tc>
      </w:tr>
      <w:tr>
        <w:tc>
          <w:tcPr>
            <w:tcW w:type="dxa" w:w="197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922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19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Grace Period &amp; Lapse Billing Administration</w:t>
            </w:r>
          </w:p>
        </w:tc>
        <w:tc>
          <w:tcPr>
            <w:tcW w:type="dxa" w:w="256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Issue cancellation and lapse warning notices with statutory timing</w:t>
            </w:r>
          </w:p>
        </w:tc>
      </w:tr>
      <w:tr>
        <w:tc>
          <w:tcPr>
            <w:tcW w:type="dxa" w:w="197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9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1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Delinquency Monitoring &amp; Receivables Collections</w:t>
            </w:r>
          </w:p>
        </w:tc>
        <w:tc>
          <w:tcPr>
            <w:tcW w:type="dxa" w:w="25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Identify and prioritize past-due premium accounts</w:t>
            </w:r>
          </w:p>
        </w:tc>
      </w:tr>
      <w:tr>
        <w:tc>
          <w:tcPr>
            <w:tcW w:type="dxa" w:w="197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922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19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Delinquency Monitoring &amp; Receivables Collections</w:t>
            </w:r>
          </w:p>
        </w:tc>
        <w:tc>
          <w:tcPr>
            <w:tcW w:type="dxa" w:w="256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Execute dunning notices and collection outreach</w:t>
            </w:r>
          </w:p>
        </w:tc>
      </w:tr>
      <w:tr>
        <w:tc>
          <w:tcPr>
            <w:tcW w:type="dxa" w:w="197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9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1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Delinquency Monitoring &amp; Receivables Collections</w:t>
            </w:r>
          </w:p>
        </w:tc>
        <w:tc>
          <w:tcPr>
            <w:tcW w:type="dxa" w:w="25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Negotiate and set up premium payment arrangements</w:t>
            </w:r>
          </w:p>
        </w:tc>
      </w:tr>
      <w:tr>
        <w:tc>
          <w:tcPr>
            <w:tcW w:type="dxa" w:w="197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Cancellation / Reinstatement Processing</w:t>
            </w:r>
          </w:p>
        </w:tc>
        <w:tc>
          <w:tcPr>
            <w:tcW w:type="dxa" w:w="1922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[Inferred]</w:t>
            </w:r>
          </w:p>
        </w:tc>
        <w:tc>
          <w:tcPr>
            <w:tcW w:type="dxa" w:w="70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19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Grace Period &amp; Lapse Billing Administration</w:t>
            </w:r>
          </w:p>
        </w:tc>
        <w:tc>
          <w:tcPr>
            <w:tcW w:type="dxa" w:w="256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Execute lapse or cancellation for unpaid policies at deadline</w:t>
            </w:r>
          </w:p>
        </w:tc>
      </w:tr>
      <w:tr>
        <w:tc>
          <w:tcPr>
            <w:tcW w:type="dxa" w:w="197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9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1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Grace Period &amp; Lapse Billing Administration</w:t>
            </w:r>
          </w:p>
        </w:tc>
        <w:tc>
          <w:tcPr>
            <w:tcW w:type="dxa" w:w="25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Reinstate lapsed policy upon qualifying payment</w:t>
            </w:r>
          </w:p>
        </w:tc>
      </w:tr>
      <w:tr>
        <w:tc>
          <w:tcPr>
            <w:tcW w:type="dxa" w:w="197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922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19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Delinquency Monitoring &amp; Receivables Collections</w:t>
            </w:r>
          </w:p>
        </w:tc>
        <w:tc>
          <w:tcPr>
            <w:tcW w:type="dxa" w:w="256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Trigger cancellation for non-payment after grace</w:t>
            </w:r>
          </w:p>
        </w:tc>
      </w:tr>
      <w:tr>
        <w:tc>
          <w:tcPr>
            <w:tcW w:type="dxa" w:w="197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Write-off Dialog / Tolerance Rules</w:t>
            </w:r>
          </w:p>
        </w:tc>
        <w:tc>
          <w:tcPr>
            <w:tcW w:type="dxa" w:w="19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[Confirmed]</w:t>
            </w:r>
          </w:p>
        </w:tc>
        <w:tc>
          <w:tcPr>
            <w:tcW w:type="dxa" w:w="70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1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Receivable Accounting</w:t>
            </w:r>
          </w:p>
        </w:tc>
        <w:tc>
          <w:tcPr>
            <w:tcW w:type="dxa" w:w="25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Write off uncollectible premium receivables with approval</w:t>
            </w:r>
          </w:p>
        </w:tc>
      </w:tr>
      <w:tr>
        <w:tc>
          <w:tcPr>
            <w:tcW w:type="dxa" w:w="197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922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19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Receivable Accounting</w:t>
            </w:r>
          </w:p>
        </w:tc>
        <w:tc>
          <w:tcPr>
            <w:tcW w:type="dxa" w:w="256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Compute and book allowance for doubtful premium accounts</w:t>
            </w:r>
          </w:p>
        </w:tc>
      </w:tr>
    </w:tbl>
    <w:p>
      <w:pPr>
        <w:spacing w:after="60" w:before="60"/>
      </w:pPr>
    </w:p>
    <w:p>
      <w:pPr>
        <w:pStyle w:val="Heading2"/>
      </w:pPr>
      <w:r>
        <w:t xml:space="preserve">Financial close</w:t>
      </w:r>
    </w:p>
    <w:tbl>
      <w:tblPr>
        <w:tblW w:type="dxa" w:w="9360"/>
        <w:tblBorders>
          <w:top w:val="single" w:color="C5CEDD" w:sz="4"/>
          <w:left w:val="single" w:color="C5CEDD" w:sz="4"/>
          <w:bottom w:val="single" w:color="C5CEDD" w:sz="4"/>
          <w:right w:val="single" w:color="C5CEDD" w:sz="4"/>
          <w:insideH w:val="single" w:color="C5CEDD" w:sz="4"/>
          <w:insideV w:val="single" w:color="C5CEDD" w:sz="4"/>
        </w:tblBorders>
      </w:tblPr>
      <w:tblGrid>
        <w:gridCol w:w="2054"/>
        <w:gridCol w:w="2102"/>
        <w:gridCol w:w="709"/>
        <w:gridCol w:w="1979"/>
        <w:gridCol w:w="2516"/>
      </w:tblGrid>
      <w:tr>
        <w:trPr>
          <w:tblHeader/>
        </w:trPr>
        <w:tc>
          <w:tcPr>
            <w:tcW w:type="dxa" w:w="205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10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7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L3</w:t>
            </w:r>
          </w:p>
        </w:tc>
        <w:tc>
          <w:tcPr>
            <w:tcW w:type="dxa" w:w="197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L4</w:t>
            </w:r>
          </w:p>
        </w:tc>
        <w:tc>
          <w:tcPr>
            <w:tcW w:type="dxa" w:w="251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L5 task</w:t>
            </w:r>
          </w:p>
        </w:tc>
      </w:tr>
      <w:tr>
        <w:tc>
          <w:tcPr>
            <w:tcW w:type="dxa" w:w="20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Trial Balance / GL Reconciliation</w:t>
            </w:r>
          </w:p>
        </w:tc>
        <w:tc>
          <w:tcPr>
            <w:tcW w:type="dxa" w:w="21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[Confirmed]</w:t>
            </w:r>
            <w:r>
              <w:rPr>
                <w:sz w:val="20"/>
                <w:szCs w:val="20"/>
              </w:rPr>
              <w:t xml:space="preserve"> (daily auto-reconciliation, v12)</w:t>
            </w:r>
          </w:p>
        </w:tc>
        <w:tc>
          <w:tcPr>
            <w:tcW w:type="dxa" w:w="7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19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Billing-to-Ledger Reconciliation</w:t>
            </w:r>
          </w:p>
        </w:tc>
        <w:tc>
          <w:tcPr>
            <w:tcW w:type="dxa" w:w="25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Reconcile billing system premium totals to GL</w:t>
            </w:r>
          </w:p>
        </w:tc>
      </w:tr>
      <w:tr>
        <w:tc>
          <w:tcPr>
            <w:tcW w:type="dxa" w:w="205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102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197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Billing-to-Ledger Reconciliation</w:t>
            </w:r>
          </w:p>
        </w:tc>
        <w:tc>
          <w:tcPr>
            <w:tcW w:type="dxa" w:w="2516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Reconcile suspense and clearing accounts to zero</w:t>
            </w:r>
          </w:p>
        </w:tc>
      </w:tr>
      <w:tr>
        <w:tc>
          <w:tcPr>
            <w:tcW w:type="dxa" w:w="20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1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19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Billing-to-Ledger Reconciliation</w:t>
            </w:r>
          </w:p>
        </w:tc>
        <w:tc>
          <w:tcPr>
            <w:tcW w:type="dxa" w:w="25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Document reconciliation controls for period close</w:t>
            </w:r>
          </w:p>
        </w:tc>
      </w:tr>
      <w:tr>
        <w:tc>
          <w:tcPr>
            <w:tcW w:type="dxa" w:w="205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102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197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Receivable Accounting</w:t>
            </w:r>
          </w:p>
        </w:tc>
        <w:tc>
          <w:tcPr>
            <w:tcW w:type="dxa" w:w="2516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Reconcile AR subledger to general ledger control account</w:t>
            </w:r>
          </w:p>
        </w:tc>
      </w:tr>
      <w:tr>
        <w:tc>
          <w:tcPr>
            <w:tcW w:type="dxa" w:w="20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1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19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Receivable Accounting</w:t>
            </w:r>
          </w:p>
        </w:tc>
        <w:tc>
          <w:tcPr>
            <w:tcW w:type="dxa" w:w="25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Record earned premium recognition entries for the period</w:t>
            </w:r>
          </w:p>
        </w:tc>
      </w:tr>
      <w:tr>
        <w:tc>
          <w:tcPr>
            <w:tcW w:type="dxa" w:w="205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102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197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Invoice &amp; Receivable Creation</w:t>
            </w:r>
          </w:p>
        </w:tc>
        <w:tc>
          <w:tcPr>
            <w:tcW w:type="dxa" w:w="2516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Post premium receivable to the general ledger</w:t>
            </w:r>
          </w:p>
        </w:tc>
      </w:tr>
      <w:tr>
        <w:tc>
          <w:tcPr>
            <w:tcW w:type="dxa" w:w="205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Batch Processing Monitor / Day-End Console</w:t>
            </w:r>
          </w:p>
        </w:tc>
        <w:tc>
          <w:tcPr>
            <w:tcW w:type="dxa" w:w="21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[Confirmed]</w:t>
            </w:r>
          </w:p>
        </w:tc>
        <w:tc>
          <w:tcPr>
            <w:tcW w:type="dxa" w:w="7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19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Collection &amp; Payment Processing</w:t>
            </w:r>
          </w:p>
        </w:tc>
        <w:tc>
          <w:tcPr>
            <w:tcW w:type="dxa" w:w="25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Process recurring auto-pay (EFT) draft run for due installments</w:t>
            </w:r>
          </w:p>
        </w:tc>
      </w:tr>
      <w:tr>
        <w:tc>
          <w:tcPr>
            <w:tcW w:type="dxa" w:w="205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102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1979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Billing-to-Ledger Reconciliation</w:t>
            </w:r>
          </w:p>
        </w:tc>
        <w:tc>
          <w:tcPr>
            <w:tcW w:type="dxa" w:w="2516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Investigate billing-to-GL interface posting failures</w:t>
            </w:r>
          </w:p>
        </w:tc>
      </w:tr>
    </w:tbl>
    <w:p>
      <w:pPr>
        <w:spacing w:after="60" w:before="60"/>
      </w:pPr>
    </w:p>
    <w:p>
      <w:pPr>
        <w:pStyle w:val="Heading2"/>
      </w:pPr>
      <w:r>
        <w:t xml:space="preserve">Digital &amp; analytics</w:t>
      </w:r>
    </w:p>
    <w:tbl>
      <w:tblPr>
        <w:tblW w:type="dxa" w:w="9360"/>
        <w:tblBorders>
          <w:top w:val="single" w:color="C5CEDD" w:sz="4"/>
          <w:left w:val="single" w:color="C5CEDD" w:sz="4"/>
          <w:bottom w:val="single" w:color="C5CEDD" w:sz="4"/>
          <w:right w:val="single" w:color="C5CEDD" w:sz="4"/>
          <w:insideH w:val="single" w:color="C5CEDD" w:sz="4"/>
          <w:insideV w:val="single" w:color="C5CEDD" w:sz="4"/>
        </w:tblBorders>
      </w:tblPr>
      <w:tblGrid>
        <w:gridCol w:w="1963"/>
        <w:gridCol w:w="1117"/>
        <w:gridCol w:w="753"/>
        <w:gridCol w:w="2333"/>
        <w:gridCol w:w="3194"/>
      </w:tblGrid>
      <w:tr>
        <w:trPr>
          <w:tblHeader/>
        </w:trPr>
        <w:tc>
          <w:tcPr>
            <w:tcW w:type="dxa" w:w="1963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11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753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L3</w:t>
            </w:r>
          </w:p>
        </w:tc>
        <w:tc>
          <w:tcPr>
            <w:tcW w:type="dxa" w:w="2333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L4</w:t>
            </w:r>
          </w:p>
        </w:tc>
        <w:tc>
          <w:tcPr>
            <w:tcW w:type="dxa" w:w="319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L5 task</w:t>
            </w:r>
          </w:p>
        </w:tc>
      </w:tr>
      <w:tr>
        <w:tc>
          <w:tcPr>
            <w:tcW w:type="dxa" w:w="196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Bill360 Policyholder Portal (EBPP)</w:t>
            </w:r>
          </w:p>
        </w:tc>
        <w:tc>
          <w:tcPr>
            <w:tcW w:type="dxa" w:w="111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[Confirmed]</w:t>
            </w:r>
          </w:p>
        </w:tc>
        <w:tc>
          <w:tcPr>
            <w:tcW w:type="dxa" w:w="7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33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Collection &amp; Payment Processing</w:t>
            </w:r>
          </w:p>
        </w:tc>
        <w:tc>
          <w:tcPr>
            <w:tcW w:type="dxa" w:w="319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Enable policyholder self-service payment and auto-pay enrollment</w:t>
            </w:r>
          </w:p>
        </w:tc>
      </w:tr>
      <w:tr>
        <w:tc>
          <w:tcPr>
            <w:tcW w:type="dxa" w:w="1963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11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53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333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Billing Mode Setup &amp; Premium Notice Generation</w:t>
            </w:r>
          </w:p>
        </w:tc>
        <w:tc>
          <w:tcPr>
            <w:tcW w:type="dxa" w:w="319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Distribute premium notices through print and e-delivery channels</w:t>
            </w:r>
          </w:p>
        </w:tc>
      </w:tr>
      <w:tr>
        <w:tc>
          <w:tcPr>
            <w:tcW w:type="dxa" w:w="196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11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33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Invoice &amp; Payment Processing</w:t>
            </w:r>
          </w:p>
        </w:tc>
        <w:tc>
          <w:tcPr>
            <w:tcW w:type="dxa" w:w="319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Administer auto-pay and recurring premium enrollment</w:t>
            </w:r>
          </w:p>
        </w:tc>
      </w:tr>
      <w:tr>
        <w:tc>
          <w:tcPr>
            <w:tcW w:type="dxa" w:w="1963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 Dashboards &amp; Reports</w:t>
            </w:r>
          </w:p>
        </w:tc>
        <w:tc>
          <w:tcPr>
            <w:tcW w:type="dxa" w:w="111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[Confirmed]</w:t>
            </w:r>
          </w:p>
        </w:tc>
        <w:tc>
          <w:tcPr>
            <w:tcW w:type="dxa" w:w="753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333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Premium Receivable Accounting</w:t>
            </w:r>
          </w:p>
        </w:tc>
        <w:tc>
          <w:tcPr>
            <w:tcW w:type="dxa" w:w="319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Prepare premium receivable aging and rollforward report</w:t>
            </w:r>
          </w:p>
        </w:tc>
      </w:tr>
      <w:tr>
        <w:tc>
          <w:tcPr>
            <w:tcW w:type="dxa" w:w="196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11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PBRA</w:t>
            </w:r>
          </w:p>
        </w:tc>
        <w:tc>
          <w:tcPr>
            <w:tcW w:type="dxa" w:w="233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Delinquency Monitoring &amp; Receivables Collections</w:t>
            </w:r>
          </w:p>
        </w:tc>
        <w:tc>
          <w:tcPr>
            <w:tcW w:type="dxa" w:w="319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Report collections performance and roll-rate metrics</w:t>
            </w:r>
          </w:p>
        </w:tc>
      </w:tr>
      <w:tr>
        <w:tc>
          <w:tcPr>
            <w:tcW w:type="dxa" w:w="1963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Configuration Toolset / Dev Studio</w:t>
            </w:r>
          </w:p>
        </w:tc>
        <w:tc>
          <w:tcPr>
            <w:tcW w:type="dxa" w:w="1117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[Confirmed]</w:t>
            </w:r>
          </w:p>
        </w:tc>
        <w:tc>
          <w:tcPr>
            <w:tcW w:type="dxa" w:w="753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BCR</w:t>
            </w:r>
          </w:p>
        </w:tc>
        <w:tc>
          <w:tcPr>
            <w:tcW w:type="dxa" w:w="2333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Billing Mode Setup &amp; Premium Notice Generation</w:t>
            </w:r>
          </w:p>
        </w:tc>
        <w:tc>
          <w:tcPr>
            <w:tcW w:type="dxa" w:w="3194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Configure billing plan and payment schedule on the policy account</w:t>
            </w:r>
          </w:p>
        </w:tc>
      </w:tr>
      <w:tr>
        <w:tc>
          <w:tcPr>
            <w:tcW w:type="dxa" w:w="196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Majesco Copilot pane</w:t>
            </w:r>
          </w:p>
        </w:tc>
        <w:tc>
          <w:tcPr>
            <w:tcW w:type="dxa" w:w="111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[Confirmed]</w:t>
            </w:r>
          </w:p>
        </w:tc>
        <w:tc>
          <w:tcPr>
            <w:tcW w:type="dxa" w:w="7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3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19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Cross-cutting: embedded in the screens above (data retrieval, allocation suggestions, exception resolution); no separate task mapping</w:t>
            </w:r>
          </w:p>
        </w:tc>
      </w:tr>
    </w:tbl>
    <w:p>
      <w:pPr>
        <w:spacing w:after="60" w:before="60"/>
      </w:pPr>
    </w:p>
    <w:p>
      <w:pPr>
        <w:pStyle w:val="Heading1"/>
      </w:pPr>
      <w:r>
        <w:t xml:space="preserve">L6 note</w:t>
      </w:r>
    </w:p>
    <w:p>
      <w:pPr>
        <w:spacing w:after="120" w:before="60"/>
        <w:jc w:val="left"/>
      </w:pPr>
      <w:r>
        <w:rPr>
          <w:sz w:val="21"/>
          <w:szCs w:val="21"/>
        </w:rPr>
        <w:t xml:space="preserve">The live database carries a generated L6 task layer under some L5s (created out-of-band by the AAA rollout; </w:t>
      </w:r>
      <w:r>
        <w:rPr>
          <w:rFonts w:ascii="Consolas" w:cs="Consolas" w:eastAsia="Consolas" w:hAnsi="Consolas"/>
          <w:sz w:val="19"/>
          <w:szCs w:val="19"/>
        </w:rPr>
        <w:t xml:space="preserve">ProcessLevelType</w:t>
      </w:r>
      <w:r>
        <w:rPr>
          <w:sz w:val="21"/>
          <w:szCs w:val="21"/>
        </w:rPr>
        <w:t xml:space="preserve"> L6 exists only in the environment, not the seed). </w:t>
      </w:r>
      <w:r>
        <w:rPr>
          <w:rFonts w:ascii="Consolas" w:cs="Consolas" w:eastAsia="Consolas" w:hAnsi="Consolas"/>
          <w:sz w:val="19"/>
          <w:szCs w:val="19"/>
        </w:rPr>
        <w:t xml:space="preserve">add-majesco-billing.ts</w:t>
      </w:r>
      <w:r>
        <w:rPr>
          <w:sz w:val="21"/>
          <w:szCs w:val="21"/>
        </w:rPr>
        <w:t xml:space="preserve"> therefore propagates each mapped L5's link to its </w:t>
      </w:r>
      <w:r>
        <w:rPr>
          <w:rFonts w:ascii="Consolas" w:cs="Consolas" w:eastAsia="Consolas" w:hAnsi="Consolas"/>
          <w:sz w:val="19"/>
          <w:szCs w:val="19"/>
        </w:rPr>
        <w:t xml:space="preserve">isTask</w:t>
      </w:r>
      <w:r>
        <w:rPr>
          <w:sz w:val="21"/>
          <w:szCs w:val="21"/>
        </w:rPr>
        <w:t xml:space="preserve"> L6 children at run time, so the mapping is L3→L6-complete wherever L6 decomposition exists, without hardcoding environment-specific ids.</w:t>
      </w:r>
    </w:p>
    <w:p>
      <w:pPr>
        <w:pStyle w:val="Heading1"/>
      </w:pPr>
      <w:r>
        <w:t xml:space="preserve">Coverage summary</w:t>
      </w:r>
    </w:p>
    <w:p>
      <w:pPr>
        <w:spacing w:after="120" w:before="60"/>
        <w:jc w:val="left"/>
      </w:pPr>
      <w:r>
        <w:rPr>
          <w:sz w:val="21"/>
          <w:szCs w:val="21"/>
        </w:rPr>
        <w:t xml:space="preserve">20 screens → 51 distinct L5 tasks: all 21 P&amp;C tasks of </w:t>
      </w:r>
      <w:r>
        <w:rPr>
          <w:b/>
          <w:bCs/>
          <w:sz w:val="21"/>
          <w:szCs w:val="21"/>
        </w:rPr>
        <w:t xml:space="preserve">Billing, Collections &amp; Receivables</w:t>
      </w:r>
      <w:r>
        <w:rPr>
          <w:sz w:val="21"/>
          <w:szCs w:val="21"/>
        </w:rPr>
        <w:t xml:space="preserve"> (the 4 L&amp;A annuity tasks excluded) and all 30 tasks of </w:t>
      </w:r>
      <w:r>
        <w:rPr>
          <w:b/>
          <w:bCs/>
          <w:sz w:val="21"/>
          <w:szCs w:val="21"/>
        </w:rPr>
        <w:t xml:space="preserve">Premium Billing &amp; Receivables Accounting</w:t>
      </w:r>
      <w:r>
        <w:rPr>
          <w:sz w:val="21"/>
          <w:szCs w:val="21"/>
        </w:rPr>
        <w:t xml:space="preserve"> — full coverage of both commercial-billing L3 subtrees minus the annuity L4.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EDD" w:sz="6" w:space="4"/>
      </w:pBdr>
      <w:tabs>
        <w:tab w:val="center" w:pos="4680"/>
        <w:tab w:val="right" w:pos="9360"/>
      </w:tabs>
      <w:spacing w:after="0" w:before="0"/>
    </w:pPr>
    <w:r>
      <w:rPr>
        <w:color w:val="5B6470"/>
        <w:sz w:val="16"/>
        <w:szCs w:val="16"/>
      </w:rPr>
      <w:t xml:space="preserve">Version 1.0 · 2026-08-14</w:t>
    </w:r>
    <w:r>
      <w:rPr>
        <w:sz w:val="16"/>
        <w:szCs w:val="16"/>
      </w:rPr>
      <w:t xml:space="preserve">	</w:t>
    </w:r>
    <w:r>
      <w:rPr>
        <w:color w:val="1F3864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rPr>
        <w:color w:val="5B6470"/>
        <w:sz w:val="16"/>
        <w:szCs w:val="16"/>
      </w:rPr>
      <w:t xml:space="preserve">	BILL-07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8" w:space="4"/>
      </w:pBdr>
      <w:tabs>
        <w:tab w:val="right" w:pos="9360"/>
      </w:tabs>
      <w:spacing w:after="0" w:before="0"/>
    </w:pPr>
    <w:r>
      <w:rPr>
        <w:rFonts w:ascii="Segoe UI" w:cs="Segoe UI" w:eastAsia="Segoe UI" w:hAnsi="Segoe UI"/>
        <w:b/>
        <w:bCs/>
        <w:color w:val="1F3864"/>
        <w:sz w:val="18"/>
        <w:szCs w:val="18"/>
      </w:rPr>
      <w:t xml:space="preserve">BILL-07 · Screen ↔ Process Map</w:t>
    </w:r>
    <w:r>
      <w:rPr>
        <w:rFonts w:ascii="Segoe UI" w:cs="Segoe UI" w:eastAsia="Segoe UI" w:hAnsi="Segoe UI"/>
        <w:color w:val="5B6470"/>
        <w:sz w:val="18"/>
        <w:szCs w:val="18"/>
      </w:rPr>
      <w:t xml:space="preserve">	Majesco Billing — Commercial Lines Workstream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  <w:lvl w:ilvl="1" w15:tentative="1">
      <w:start w:val="1"/>
      <w:numFmt w:val="bullet"/>
      <w:lvlText w:val="◦"/>
      <w:lvlJc w:val="left"/>
      <w:pPr>
        <w:ind w:left="820" w:hanging="230"/>
      </w:pPr>
    </w:lvl>
    <w:lvl w:ilvl="2" w15:tentative="1">
      <w:start w:val="1"/>
      <w:numFmt w:val="bullet"/>
      <w:lvlText w:val="▪"/>
      <w:lvlJc w:val="left"/>
      <w:pPr>
        <w:ind w:left="118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  <w:lvl w:ilvl="1" w15:tentative="1">
      <w:start w:val="1"/>
      <w:numFmt w:val="decimal"/>
      <w:lvlText w:val="%2."/>
      <w:lvlJc w:val="left"/>
      <w:pPr>
        <w:ind w:left="820" w:hanging="230"/>
      </w:pPr>
    </w:lvl>
    <w:lvl w:ilvl="2" w15:tentative="1">
      <w:start w:val="1"/>
      <w:numFmt w:val="decimal"/>
      <w:lvlText w:val="%3."/>
      <w:lvlJc w:val="left"/>
      <w:pPr>
        <w:ind w:left="1180" w:hanging="2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9000" w:sz="8" w:space="4"/>
      </w:pBdr>
      <w:spacing w:after="160" w:before="360"/>
      <w:outlineLvl w:val="0"/>
    </w:pPr>
    <w:rPr>
      <w:rFonts w:ascii="Segoe UI" w:cs="Segoe UI" w:eastAsia="Segoe UI" w:hAnsi="Segoe U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Segoe UI" w:cs="Segoe UI" w:eastAsia="Segoe UI" w:hAnsi="Segoe UI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Segoe UI" w:cs="Segoe UI" w:eastAsia="Segoe UI" w:hAnsi="Segoe UI"/>
      <w:b/>
      <w:bCs/>
      <w:color w:val="3B4A63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80" w:before="180"/>
      <w:outlineLvl w:val="3"/>
    </w:pPr>
    <w:rPr>
      <w:rFonts w:ascii="Segoe UI" w:cs="Segoe UI" w:eastAsia="Segoe UI" w:hAnsi="Segoe UI"/>
      <w:b/>
      <w:bCs/>
      <w:i/>
      <w:iCs/>
      <w:color w:val="3B4A6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c6ac6cdd8fa2245d848f69b98af1ad7b2496e1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Majesco Billing Screen ↔ Process Mapping (L3 → L6)</dc:title>
  <dc:creator>Majesco Billing Workstream</dc:creator>
  <dc:description>Screen ↔ Process Map</dc:description>
  <cp:lastModifiedBy>Un-named</cp:lastModifiedBy>
  <cp:revision>1</cp:revision>
  <dcterms:created xsi:type="dcterms:W3CDTF">2026-08-14T18:02:14.769Z</dcterms:created>
  <dcterms:modified xsi:type="dcterms:W3CDTF">2026-08-14T18:02:14.769Z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