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aramond" w:cs="Garamond" w:eastAsia="Garamond" w:hAnsi="Garamond"/>
          <w:b/>
          <w:bCs/>
          <w:sz w:val="20"/>
          <w:szCs w:val="20"/>
        </w:rPr>
        <w:t xml:space="preserve">DEPARTMENT OF ENGLISH</w:t>
      </w:r>
    </w:p>
    <w:p>
      <w:pPr>
        <w:spacing w:after="120"/>
        <w:jc w:val="center"/>
      </w:pPr>
      <w:r>
        <w:rPr>
          <w:rFonts w:ascii="Garamond" w:cs="Garamond" w:eastAsia="Garamond" w:hAnsi="Garamond"/>
          <w:b/>
          <w:bCs/>
          <w:sz w:val="32"/>
          <w:szCs w:val="32"/>
        </w:rPr>
        <w:t xml:space="preserve">ENG 150 — Introduction to Literary Studies</w:t>
      </w:r>
    </w:p>
    <w:p>
      <w:pPr>
        <w:spacing w:after="300"/>
        <w:jc w:val="center"/>
      </w:pPr>
      <w:r>
        <w:rPr>
          <w:rFonts w:ascii="Garamond" w:cs="Garamond" w:eastAsia="Garamond" w:hAnsi="Garamond"/>
          <w:i/>
          <w:iCs/>
        </w:rPr>
        <w:t xml:space="preserve">Fall 2026 · Section 02 · Tuesdays &amp; Thursdays 11:00–12:20 · VIC-108</w:t>
      </w:r>
    </w:p>
    <w:p>
      <w:pPr>
        <w:spacing w:after="120"/>
      </w:pPr>
      <w:r>
        <w:rPr>
          <w:rFonts w:ascii="Garamond" w:cs="Garamond" w:eastAsia="Garamond" w:hAnsi="Garamond"/>
          <w:b/>
          <w:bCs/>
        </w:rPr>
        <w:t xml:space="preserve">Instructor</w:t>
      </w:r>
    </w:p>
    <w:p>
      <w:pPr>
        <w:spacing w:after="120"/>
      </w:pPr>
      <w:r>
        <w:rPr>
          <w:rFonts w:ascii="Garamond" w:cs="Garamond" w:eastAsia="Garamond" w:hAnsi="Garamond"/>
        </w:rPr>
        <w:t xml:space="preserve">Dr. Helena Marchetti · hmarchetti@example.edu · Office JOR-711</w:t>
      </w:r>
    </w:p>
    <w:p>
      <w:pPr>
        <w:spacing w:after="280"/>
      </w:pPr>
      <w:r>
        <w:rPr>
          <w:rFonts w:ascii="Garamond" w:cs="Garamond" w:eastAsia="Garamond" w:hAnsi="Garamond"/>
        </w:rPr>
        <w:t xml:space="preserve">Office hours: Thursdays 13:00–15:00, or by appointment.</w:t>
      </w:r>
    </w:p>
    <w:p>
      <w:pPr>
        <w:spacing w:after="120"/>
      </w:pPr>
      <w:r>
        <w:rPr>
          <w:rFonts w:ascii="Garamond" w:cs="Garamond" w:eastAsia="Garamond" w:hAnsi="Garamond"/>
          <w:b/>
          <w:bCs/>
        </w:rPr>
        <w:t xml:space="preserve">Course Description</w:t>
      </w:r>
    </w:p>
    <w:p>
      <w:pPr>
        <w:spacing w:after="280"/>
      </w:pPr>
      <w:r>
        <w:rPr>
          <w:rFonts w:ascii="Garamond" w:cs="Garamond" w:eastAsia="Garamond" w:hAnsi="Garamond"/>
        </w:rPr>
        <w:t xml:space="preserve">An introduction to the close reading of prose fiction. We will read seven novels across the term, attending to narrative voice, structure, and historical context. This course carries no examinations; assessment is entirely by written work.</w:t>
      </w:r>
    </w:p>
    <w:p>
      <w:pPr>
        <w:spacing w:after="120"/>
      </w:pPr>
      <w:r>
        <w:rPr>
          <w:rFonts w:ascii="Garamond" w:cs="Garamond" w:eastAsia="Garamond" w:hAnsi="Garamond"/>
          <w:b/>
          <w:bCs/>
        </w:rPr>
        <w:t xml:space="preserve">Required Texts</w:t>
      </w:r>
    </w:p>
    <w:p>
      <w:pPr>
        <w:spacing w:after="160"/>
      </w:pPr>
      <w:r>
        <w:rPr>
          <w:rFonts w:ascii="Garamond" w:cs="Garamond" w:eastAsia="Garamond" w:hAnsi="Garamond"/>
        </w:rPr>
        <w:t xml:space="preserve">All seven novels are required. Prices below are the campus bookstore list price as of August 2026 and are provided so you can budget for the term. Used copies are almost always available for less. Where the table says "any edition," you may use any print edition you already own, borrow a library copy, or read a public-domain text at no cost — but you must bring a physical copy to seminar.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3400"/>
        <w:gridCol w:w="1400"/>
      </w:tblGrid>
      <w:tr>
        <w:tc>
          <w:tcPr>
            <w:tcW w:type="dxa" w:w="4600"/>
            <w:shd w:fill="EDE7DC" w:val="clear"/>
          </w:tcPr>
          <w:p>
            <w:r>
              <w:rPr>
                <w:rFonts w:ascii="Garamond" w:cs="Garamond" w:eastAsia="Garamond" w:hAnsi="Garamond"/>
                <w:b/>
                <w:bCs/>
                <w:sz w:val="20"/>
                <w:szCs w:val="20"/>
              </w:rPr>
              <w:t xml:space="preserve">Author / Title</w:t>
            </w:r>
          </w:p>
        </w:tc>
        <w:tc>
          <w:tcPr>
            <w:tcW w:type="dxa" w:w="3400"/>
            <w:shd w:fill="EDE7DC" w:val="clear"/>
          </w:tcPr>
          <w:p>
            <w:r>
              <w:rPr>
                <w:rFonts w:ascii="Garamond" w:cs="Garamond" w:eastAsia="Garamond" w:hAnsi="Garamond"/>
                <w:b/>
                <w:bCs/>
                <w:sz w:val="20"/>
                <w:szCs w:val="20"/>
              </w:rPr>
              <w:t xml:space="preserve">Edition</w:t>
            </w:r>
          </w:p>
        </w:tc>
        <w:tc>
          <w:tcPr>
            <w:tcW w:type="dxa" w:w="1400"/>
            <w:shd w:fill="EDE7DC" w:val="clear"/>
          </w:tcPr>
          <w:p>
            <w:r>
              <w:rPr>
                <w:rFonts w:ascii="Garamond" w:cs="Garamond" w:eastAsia="Garamond" w:hAnsi="Garamond"/>
                <w:b/>
                <w:bCs/>
                <w:sz w:val="20"/>
                <w:szCs w:val="20"/>
              </w:rPr>
              <w:t xml:space="preserve">Price</w:t>
            </w:r>
          </w:p>
        </w:tc>
      </w:tr>
      <w:tr>
        <w:tc>
          <w:tcPr>
            <w:tcW w:type="dxa" w:w="4600"/>
          </w:tcPr>
          <w:p>
            <w:r>
              <w:rPr>
                <w:rFonts w:ascii="Garamond" w:cs="Garamond" w:eastAsia="Garamond" w:hAnsi="Garamond"/>
                <w:b w:val="false"/>
                <w:bCs w:val="false"/>
                <w:sz w:val="20"/>
                <w:szCs w:val="20"/>
              </w:rPr>
              <w:t xml:space="preserve">Achebe, Things Fall Apart</w:t>
            </w:r>
          </w:p>
        </w:tc>
        <w:tc>
          <w:tcPr>
            <w:tcW w:type="dxa" w:w="3400"/>
          </w:tcPr>
          <w:p>
            <w:r>
              <w:rPr>
                <w:rFonts w:ascii="Garamond" w:cs="Garamond" w:eastAsia="Garamond" w:hAnsi="Garamond"/>
                <w:b w:val="false"/>
                <w:bCs w:val="false"/>
                <w:sz w:val="20"/>
                <w:szCs w:val="20"/>
              </w:rPr>
              <w:t xml:space="preserve">Anchor, any edition</w:t>
            </w:r>
          </w:p>
        </w:tc>
        <w:tc>
          <w:tcPr>
            <w:tcW w:type="dxa" w:w="1400"/>
          </w:tcPr>
          <w:p>
            <w:r>
              <w:rPr>
                <w:rFonts w:ascii="Garamond" w:cs="Garamond" w:eastAsia="Garamond" w:hAnsi="Garamond"/>
                <w:b w:val="false"/>
                <w:bCs w:val="false"/>
                <w:sz w:val="20"/>
                <w:szCs w:val="20"/>
              </w:rPr>
              <w:t xml:space="preserve">$12.95</w:t>
            </w:r>
          </w:p>
        </w:tc>
      </w:tr>
      <w:tr>
        <w:tc>
          <w:tcPr>
            <w:tcW w:type="dxa" w:w="4600"/>
          </w:tcPr>
          <w:p>
            <w:r>
              <w:rPr>
                <w:rFonts w:ascii="Garamond" w:cs="Garamond" w:eastAsia="Garamond" w:hAnsi="Garamond"/>
                <w:b w:val="false"/>
                <w:bCs w:val="false"/>
                <w:sz w:val="20"/>
                <w:szCs w:val="20"/>
              </w:rPr>
              <w:t xml:space="preserve">Woolf, Mrs Dalloway</w:t>
            </w:r>
          </w:p>
        </w:tc>
        <w:tc>
          <w:tcPr>
            <w:tcW w:type="dxa" w:w="3400"/>
          </w:tcPr>
          <w:p>
            <w:r>
              <w:rPr>
                <w:rFonts w:ascii="Garamond" w:cs="Garamond" w:eastAsia="Garamond" w:hAnsi="Garamond"/>
                <w:b w:val="false"/>
                <w:bCs w:val="false"/>
                <w:sz w:val="20"/>
                <w:szCs w:val="20"/>
              </w:rPr>
              <w:t xml:space="preserve">Harcourt, any edition</w:t>
            </w:r>
          </w:p>
        </w:tc>
        <w:tc>
          <w:tcPr>
            <w:tcW w:type="dxa" w:w="1400"/>
          </w:tcPr>
          <w:p>
            <w:r>
              <w:rPr>
                <w:rFonts w:ascii="Garamond" w:cs="Garamond" w:eastAsia="Garamond" w:hAnsi="Garamond"/>
                <w:b w:val="false"/>
                <w:bCs w:val="false"/>
                <w:sz w:val="20"/>
                <w:szCs w:val="20"/>
              </w:rPr>
              <w:t xml:space="preserve">$14.50</w:t>
            </w:r>
          </w:p>
        </w:tc>
      </w:tr>
      <w:tr>
        <w:tc>
          <w:tcPr>
            <w:tcW w:type="dxa" w:w="4600"/>
          </w:tcPr>
          <w:p>
            <w:r>
              <w:rPr>
                <w:rFonts w:ascii="Garamond" w:cs="Garamond" w:eastAsia="Garamond" w:hAnsi="Garamond"/>
                <w:b w:val="false"/>
                <w:bCs w:val="false"/>
                <w:sz w:val="20"/>
                <w:szCs w:val="20"/>
              </w:rPr>
              <w:t xml:space="preserve">Morrison, Beloved</w:t>
            </w:r>
          </w:p>
        </w:tc>
        <w:tc>
          <w:tcPr>
            <w:tcW w:type="dxa" w:w="3400"/>
          </w:tcPr>
          <w:p>
            <w:r>
              <w:rPr>
                <w:rFonts w:ascii="Garamond" w:cs="Garamond" w:eastAsia="Garamond" w:hAnsi="Garamond"/>
                <w:b w:val="false"/>
                <w:bCs w:val="false"/>
                <w:sz w:val="20"/>
                <w:szCs w:val="20"/>
              </w:rPr>
              <w:t xml:space="preserve">Vintage</w:t>
            </w:r>
          </w:p>
        </w:tc>
        <w:tc>
          <w:tcPr>
            <w:tcW w:type="dxa" w:w="1400"/>
          </w:tcPr>
          <w:p>
            <w:r>
              <w:rPr>
                <w:rFonts w:ascii="Garamond" w:cs="Garamond" w:eastAsia="Garamond" w:hAnsi="Garamond"/>
                <w:b w:val="false"/>
                <w:bCs w:val="false"/>
                <w:sz w:val="20"/>
                <w:szCs w:val="20"/>
              </w:rPr>
              <w:t xml:space="preserve">$16.00</w:t>
            </w:r>
          </w:p>
        </w:tc>
      </w:tr>
      <w:tr>
        <w:tc>
          <w:tcPr>
            <w:tcW w:type="dxa" w:w="4600"/>
          </w:tcPr>
          <w:p>
            <w:r>
              <w:rPr>
                <w:rFonts w:ascii="Garamond" w:cs="Garamond" w:eastAsia="Garamond" w:hAnsi="Garamond"/>
                <w:b w:val="false"/>
                <w:bCs w:val="false"/>
                <w:sz w:val="20"/>
                <w:szCs w:val="20"/>
              </w:rPr>
              <w:t xml:space="preserve">Ishiguro, The Remains of the Day</w:t>
            </w:r>
          </w:p>
        </w:tc>
        <w:tc>
          <w:tcPr>
            <w:tcW w:type="dxa" w:w="3400"/>
          </w:tcPr>
          <w:p>
            <w:r>
              <w:rPr>
                <w:rFonts w:ascii="Garamond" w:cs="Garamond" w:eastAsia="Garamond" w:hAnsi="Garamond"/>
                <w:b w:val="false"/>
                <w:bCs w:val="false"/>
                <w:sz w:val="20"/>
                <w:szCs w:val="20"/>
              </w:rPr>
              <w:t xml:space="preserve">Vintage</w:t>
            </w:r>
          </w:p>
        </w:tc>
        <w:tc>
          <w:tcPr>
            <w:tcW w:type="dxa" w:w="1400"/>
          </w:tcPr>
          <w:p>
            <w:r>
              <w:rPr>
                <w:rFonts w:ascii="Garamond" w:cs="Garamond" w:eastAsia="Garamond" w:hAnsi="Garamond"/>
                <w:b w:val="false"/>
                <w:bCs w:val="false"/>
                <w:sz w:val="20"/>
                <w:szCs w:val="20"/>
              </w:rPr>
              <w:t xml:space="preserve">$13.25</w:t>
            </w:r>
          </w:p>
        </w:tc>
      </w:tr>
      <w:tr>
        <w:tc>
          <w:tcPr>
            <w:tcW w:type="dxa" w:w="4600"/>
          </w:tcPr>
          <w:p>
            <w:r>
              <w:rPr>
                <w:rFonts w:ascii="Garamond" w:cs="Garamond" w:eastAsia="Garamond" w:hAnsi="Garamond"/>
                <w:b w:val="false"/>
                <w:bCs w:val="false"/>
                <w:sz w:val="20"/>
                <w:szCs w:val="20"/>
              </w:rPr>
              <w:t xml:space="preserve">Shelley, Frankenstein (1818 text)</w:t>
            </w:r>
          </w:p>
        </w:tc>
        <w:tc>
          <w:tcPr>
            <w:tcW w:type="dxa" w:w="3400"/>
          </w:tcPr>
          <w:p>
            <w:r>
              <w:rPr>
                <w:rFonts w:ascii="Garamond" w:cs="Garamond" w:eastAsia="Garamond" w:hAnsi="Garamond"/>
                <w:b w:val="false"/>
                <w:bCs w:val="false"/>
                <w:sz w:val="20"/>
                <w:szCs w:val="20"/>
              </w:rPr>
              <w:t xml:space="preserve">Broadview — this edition required</w:t>
            </w:r>
          </w:p>
        </w:tc>
        <w:tc>
          <w:tcPr>
            <w:tcW w:type="dxa" w:w="1400"/>
          </w:tcPr>
          <w:p>
            <w:r>
              <w:rPr>
                <w:rFonts w:ascii="Garamond" w:cs="Garamond" w:eastAsia="Garamond" w:hAnsi="Garamond"/>
                <w:b w:val="false"/>
                <w:bCs w:val="false"/>
                <w:sz w:val="20"/>
                <w:szCs w:val="20"/>
              </w:rPr>
              <w:t xml:space="preserve">$18.99</w:t>
            </w:r>
          </w:p>
        </w:tc>
      </w:tr>
      <w:tr>
        <w:tc>
          <w:tcPr>
            <w:tcW w:type="dxa" w:w="4600"/>
          </w:tcPr>
          <w:p>
            <w:r>
              <w:rPr>
                <w:rFonts w:ascii="Garamond" w:cs="Garamond" w:eastAsia="Garamond" w:hAnsi="Garamond"/>
                <w:b w:val="false"/>
                <w:bCs w:val="false"/>
                <w:sz w:val="20"/>
                <w:szCs w:val="20"/>
              </w:rPr>
              <w:t xml:space="preserve">Hurston, Their Eyes Were Watching God</w:t>
            </w:r>
          </w:p>
        </w:tc>
        <w:tc>
          <w:tcPr>
            <w:tcW w:type="dxa" w:w="3400"/>
          </w:tcPr>
          <w:p>
            <w:r>
              <w:rPr>
                <w:rFonts w:ascii="Garamond" w:cs="Garamond" w:eastAsia="Garamond" w:hAnsi="Garamond"/>
                <w:b w:val="false"/>
                <w:bCs w:val="false"/>
                <w:sz w:val="20"/>
                <w:szCs w:val="20"/>
              </w:rPr>
              <w:t xml:space="preserve">Harper, any edition</w:t>
            </w:r>
          </w:p>
        </w:tc>
        <w:tc>
          <w:tcPr>
            <w:tcW w:type="dxa" w:w="1400"/>
          </w:tcPr>
          <w:p>
            <w:r>
              <w:rPr>
                <w:rFonts w:ascii="Garamond" w:cs="Garamond" w:eastAsia="Garamond" w:hAnsi="Garamond"/>
                <w:b w:val="false"/>
                <w:bCs w:val="false"/>
                <w:sz w:val="20"/>
                <w:szCs w:val="20"/>
              </w:rPr>
              <w:t xml:space="preserve">$11.99</w:t>
            </w:r>
          </w:p>
        </w:tc>
      </w:tr>
      <w:tr>
        <w:tc>
          <w:tcPr>
            <w:tcW w:type="dxa" w:w="4600"/>
          </w:tcPr>
          <w:p>
            <w:r>
              <w:rPr>
                <w:rFonts w:ascii="Garamond" w:cs="Garamond" w:eastAsia="Garamond" w:hAnsi="Garamond"/>
                <w:b w:val="false"/>
                <w:bCs w:val="false"/>
                <w:sz w:val="20"/>
                <w:szCs w:val="20"/>
              </w:rPr>
              <w:t xml:space="preserve">Coetzee, Disgrace</w:t>
            </w:r>
          </w:p>
        </w:tc>
        <w:tc>
          <w:tcPr>
            <w:tcW w:type="dxa" w:w="3400"/>
          </w:tcPr>
          <w:p>
            <w:r>
              <w:rPr>
                <w:rFonts w:ascii="Garamond" w:cs="Garamond" w:eastAsia="Garamond" w:hAnsi="Garamond"/>
                <w:b w:val="false"/>
                <w:bCs w:val="false"/>
                <w:sz w:val="20"/>
                <w:szCs w:val="20"/>
              </w:rPr>
              <w:t xml:space="preserve">Penguin, any edition</w:t>
            </w:r>
          </w:p>
        </w:tc>
        <w:tc>
          <w:tcPr>
            <w:tcW w:type="dxa" w:w="1400"/>
          </w:tcPr>
          <w:p>
            <w:r>
              <w:rPr>
                <w:rFonts w:ascii="Garamond" w:cs="Garamond" w:eastAsia="Garamond" w:hAnsi="Garamond"/>
                <w:b w:val="false"/>
                <w:bCs w:val="false"/>
                <w:sz w:val="20"/>
                <w:szCs w:val="20"/>
              </w:rPr>
              <w:t xml:space="preserve">$10.50</w:t>
            </w:r>
          </w:p>
        </w:tc>
      </w:tr>
    </w:tbl>
    <w:p>
      <w:pPr>
        <w:spacing w:after="120"/>
      </w:pPr>
      <w:r>
        <w:rPr>
          <w:rFonts w:ascii="Garamond" w:cs="Garamond" w:eastAsia="Garamond" w:hAnsi="Garamond"/>
        </w:rPr>
        <w:t xml:space="preserve"/>
      </w:r>
    </w:p>
    <w:p>
      <w:pPr>
        <w:spacing w:after="160"/>
      </w:pPr>
      <w:r>
        <w:rPr>
          <w:rFonts w:ascii="Garamond" w:cs="Garamond" w:eastAsia="Garamond" w:hAnsi="Garamond"/>
          <w:i/>
          <w:iCs/>
        </w:rPr>
        <w:t xml:space="preserve">Approximate total if all seven are purchased new: $98.18.</w:t>
      </w:r>
    </w:p>
    <w:p>
      <w:pPr>
        <w:spacing w:after="280"/>
      </w:pPr>
      <w:r>
        <w:rPr>
          <w:rFonts w:ascii="Garamond" w:cs="Garamond" w:eastAsia="Garamond" w:hAnsi="Garamond"/>
        </w:rPr>
        <w:t xml:space="preserve">In addition, a printed course reader containing critical essays and secondary readings must be purchased from the campus copy centre for $24.00. Please pick it up during the first week of classes — the copy centre does not reprint after September 25.</w:t>
      </w:r>
    </w:p>
    <w:p>
      <w:pPr>
        <w:spacing w:after="120"/>
      </w:pPr>
      <w:r>
        <w:rPr>
          <w:rFonts w:ascii="Garamond" w:cs="Garamond" w:eastAsia="Garamond" w:hAnsi="Garamond"/>
          <w:b/>
          <w:bCs/>
        </w:rPr>
        <w:t xml:space="preserve">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200"/>
      </w:tblGrid>
      <w:tr>
        <w:tc>
          <w:tcPr>
            <w:tcW w:type="dxa" w:w="5200"/>
            <w:shd w:fill="EDE7DC" w:val="clear"/>
          </w:tcPr>
          <w:p>
            <w:r>
              <w:rPr>
                <w:rFonts w:ascii="Garamond" w:cs="Garamond" w:eastAsia="Garamond" w:hAnsi="Garamond"/>
                <w:b/>
                <w:bCs/>
                <w:sz w:val="20"/>
                <w:szCs w:val="20"/>
              </w:rPr>
              <w:t xml:space="preserve">Component</w:t>
            </w:r>
          </w:p>
        </w:tc>
        <w:tc>
          <w:tcPr>
            <w:tcW w:type="dxa" w:w="2000"/>
            <w:shd w:fill="EDE7DC" w:val="clear"/>
          </w:tcPr>
          <w:p>
            <w:r>
              <w:rPr>
                <w:rFonts w:ascii="Garamond" w:cs="Garamond" w:eastAsia="Garamond" w:hAnsi="Garamond"/>
                <w:b/>
                <w:bCs/>
                <w:sz w:val="20"/>
                <w:szCs w:val="20"/>
              </w:rPr>
              <w:t xml:space="preserve">Weight</w:t>
            </w:r>
          </w:p>
        </w:tc>
        <w:tc>
          <w:tcPr>
            <w:tcW w:type="dxa" w:w="2200"/>
            <w:shd w:fill="EDE7DC" w:val="clear"/>
          </w:tcPr>
          <w:p>
            <w:r>
              <w:rPr>
                <w:rFonts w:ascii="Garamond" w:cs="Garamond" w:eastAsia="Garamond" w:hAnsi="Garamond"/>
                <w:b/>
                <w:bCs/>
                <w:sz w:val="20"/>
                <w:szCs w:val="20"/>
              </w:rPr>
              <w:t xml:space="preserve">Due</w:t>
            </w:r>
          </w:p>
        </w:tc>
      </w:tr>
      <w:tr>
        <w:tc>
          <w:tcPr>
            <w:tcW w:type="dxa" w:w="5200"/>
          </w:tcPr>
          <w:p>
            <w:r>
              <w:rPr>
                <w:rFonts w:ascii="Garamond" w:cs="Garamond" w:eastAsia="Garamond" w:hAnsi="Garamond"/>
                <w:b w:val="false"/>
                <w:bCs w:val="false"/>
                <w:sz w:val="20"/>
                <w:szCs w:val="20"/>
              </w:rPr>
              <w:t xml:space="preserve">Close reading exercise (750 words)</w:t>
            </w:r>
          </w:p>
        </w:tc>
        <w:tc>
          <w:tcPr>
            <w:tcW w:type="dxa" w:w="2000"/>
          </w:tcPr>
          <w:p>
            <w:r>
              <w:rPr>
                <w:rFonts w:ascii="Garamond" w:cs="Garamond" w:eastAsia="Garamond" w:hAnsi="Garamond"/>
                <w:b w:val="false"/>
                <w:bCs w:val="false"/>
                <w:sz w:val="20"/>
                <w:szCs w:val="20"/>
              </w:rPr>
              <w:t xml:space="preserve">15%</w:t>
            </w:r>
          </w:p>
        </w:tc>
        <w:tc>
          <w:tcPr>
            <w:tcW w:type="dxa" w:w="2200"/>
          </w:tcPr>
          <w:p>
            <w:r>
              <w:rPr>
                <w:rFonts w:ascii="Garamond" w:cs="Garamond" w:eastAsia="Garamond" w:hAnsi="Garamond"/>
                <w:b w:val="false"/>
                <w:bCs w:val="false"/>
                <w:sz w:val="20"/>
                <w:szCs w:val="20"/>
              </w:rPr>
              <w:t xml:space="preserve">September 29, 2026</w:t>
            </w:r>
          </w:p>
        </w:tc>
      </w:tr>
      <w:tr>
        <w:tc>
          <w:tcPr>
            <w:tcW w:type="dxa" w:w="5200"/>
          </w:tcPr>
          <w:p>
            <w:r>
              <w:rPr>
                <w:rFonts w:ascii="Garamond" w:cs="Garamond" w:eastAsia="Garamond" w:hAnsi="Garamond"/>
                <w:b w:val="false"/>
                <w:bCs w:val="false"/>
                <w:sz w:val="20"/>
                <w:szCs w:val="20"/>
              </w:rPr>
              <w:t xml:space="preserve">Essay 1 (1,500 words)</w:t>
            </w:r>
          </w:p>
        </w:tc>
        <w:tc>
          <w:tcPr>
            <w:tcW w:type="dxa" w:w="2000"/>
          </w:tcPr>
          <w:p>
            <w:r>
              <w:rPr>
                <w:rFonts w:ascii="Garamond" w:cs="Garamond" w:eastAsia="Garamond" w:hAnsi="Garamond"/>
                <w:b w:val="false"/>
                <w:bCs w:val="false"/>
                <w:sz w:val="20"/>
                <w:szCs w:val="20"/>
              </w:rPr>
              <w:t xml:space="preserve">25%</w:t>
            </w:r>
          </w:p>
        </w:tc>
        <w:tc>
          <w:tcPr>
            <w:tcW w:type="dxa" w:w="2200"/>
          </w:tcPr>
          <w:p>
            <w:r>
              <w:rPr>
                <w:rFonts w:ascii="Garamond" w:cs="Garamond" w:eastAsia="Garamond" w:hAnsi="Garamond"/>
                <w:b w:val="false"/>
                <w:bCs w:val="false"/>
                <w:sz w:val="20"/>
                <w:szCs w:val="20"/>
              </w:rPr>
              <w:t xml:space="preserve">October 20, 2026</w:t>
            </w:r>
          </w:p>
        </w:tc>
      </w:tr>
      <w:tr>
        <w:tc>
          <w:tcPr>
            <w:tcW w:type="dxa" w:w="5200"/>
          </w:tcPr>
          <w:p>
            <w:r>
              <w:rPr>
                <w:rFonts w:ascii="Garamond" w:cs="Garamond" w:eastAsia="Garamond" w:hAnsi="Garamond"/>
                <w:b w:val="false"/>
                <w:bCs w:val="false"/>
                <w:sz w:val="20"/>
                <w:szCs w:val="20"/>
              </w:rPr>
              <w:t xml:space="preserve">Essay 2 (2,000 words)</w:t>
            </w:r>
          </w:p>
        </w:tc>
        <w:tc>
          <w:tcPr>
            <w:tcW w:type="dxa" w:w="2000"/>
          </w:tcPr>
          <w:p>
            <w:r>
              <w:rPr>
                <w:rFonts w:ascii="Garamond" w:cs="Garamond" w:eastAsia="Garamond" w:hAnsi="Garamond"/>
                <w:b w:val="false"/>
                <w:bCs w:val="false"/>
                <w:sz w:val="20"/>
                <w:szCs w:val="20"/>
              </w:rPr>
              <w:t xml:space="preserve">30%</w:t>
            </w:r>
          </w:p>
        </w:tc>
        <w:tc>
          <w:tcPr>
            <w:tcW w:type="dxa" w:w="2200"/>
          </w:tcPr>
          <w:p>
            <w:r>
              <w:rPr>
                <w:rFonts w:ascii="Garamond" w:cs="Garamond" w:eastAsia="Garamond" w:hAnsi="Garamond"/>
                <w:b w:val="false"/>
                <w:bCs w:val="false"/>
                <w:sz w:val="20"/>
                <w:szCs w:val="20"/>
              </w:rPr>
              <w:t xml:space="preserve">November 17, 2026</w:t>
            </w:r>
          </w:p>
        </w:tc>
      </w:tr>
      <w:tr>
        <w:tc>
          <w:tcPr>
            <w:tcW w:type="dxa" w:w="5200"/>
          </w:tcPr>
          <w:p>
            <w:r>
              <w:rPr>
                <w:rFonts w:ascii="Garamond" w:cs="Garamond" w:eastAsia="Garamond" w:hAnsi="Garamond"/>
                <w:b w:val="false"/>
                <w:bCs w:val="false"/>
                <w:sz w:val="20"/>
                <w:szCs w:val="20"/>
              </w:rPr>
              <w:t xml:space="preserve">Final portfolio &amp; revision</w:t>
            </w:r>
          </w:p>
        </w:tc>
        <w:tc>
          <w:tcPr>
            <w:tcW w:type="dxa" w:w="2000"/>
          </w:tcPr>
          <w:p>
            <w:r>
              <w:rPr>
                <w:rFonts w:ascii="Garamond" w:cs="Garamond" w:eastAsia="Garamond" w:hAnsi="Garamond"/>
                <w:b w:val="false"/>
                <w:bCs w:val="false"/>
                <w:sz w:val="20"/>
                <w:szCs w:val="20"/>
              </w:rPr>
              <w:t xml:space="preserve">20%</w:t>
            </w:r>
          </w:p>
        </w:tc>
        <w:tc>
          <w:tcPr>
            <w:tcW w:type="dxa" w:w="2200"/>
          </w:tcPr>
          <w:p>
            <w:r>
              <w:rPr>
                <w:rFonts w:ascii="Garamond" w:cs="Garamond" w:eastAsia="Garamond" w:hAnsi="Garamond"/>
                <w:b w:val="false"/>
                <w:bCs w:val="false"/>
                <w:sz w:val="20"/>
                <w:szCs w:val="20"/>
              </w:rPr>
              <w:t xml:space="preserve">December 8, 2026</w:t>
            </w:r>
          </w:p>
        </w:tc>
      </w:tr>
      <w:tr>
        <w:tc>
          <w:tcPr>
            <w:tcW w:type="dxa" w:w="5200"/>
          </w:tcPr>
          <w:p>
            <w:r>
              <w:rPr>
                <w:rFonts w:ascii="Garamond" w:cs="Garamond" w:eastAsia="Garamond" w:hAnsi="Garamond"/>
                <w:b w:val="false"/>
                <w:bCs w:val="false"/>
                <w:sz w:val="20"/>
                <w:szCs w:val="20"/>
              </w:rPr>
              <w:t xml:space="preserve">Seminar participation</w:t>
            </w:r>
          </w:p>
        </w:tc>
        <w:tc>
          <w:tcPr>
            <w:tcW w:type="dxa" w:w="2000"/>
          </w:tcPr>
          <w:p>
            <w:r>
              <w:rPr>
                <w:rFonts w:ascii="Garamond" w:cs="Garamond" w:eastAsia="Garamond" w:hAnsi="Garamond"/>
                <w:b w:val="false"/>
                <w:bCs w:val="false"/>
                <w:sz w:val="20"/>
                <w:szCs w:val="20"/>
              </w:rPr>
              <w:t xml:space="preserve">10%</w:t>
            </w:r>
          </w:p>
        </w:tc>
        <w:tc>
          <w:tcPr>
            <w:tcW w:type="dxa" w:w="2200"/>
          </w:tcPr>
          <w:p>
            <w:r>
              <w:rPr>
                <w:rFonts w:ascii="Garamond" w:cs="Garamond" w:eastAsia="Garamond" w:hAnsi="Garamond"/>
                <w:b w:val="false"/>
                <w:bCs w:val="false"/>
                <w:sz w:val="20"/>
                <w:szCs w:val="20"/>
              </w:rPr>
              <w:t xml:space="preserve">ongoing</w:t>
            </w:r>
          </w:p>
        </w:tc>
      </w:tr>
    </w:tbl>
    <w:p>
      <w:pPr>
        <w:spacing w:after="160"/>
      </w:pPr>
      <w:r>
        <w:rPr>
          <w:rFonts w:ascii="Garamond" w:cs="Garamond" w:eastAsia="Garamond" w:hAnsi="Garamond"/>
        </w:rPr>
        <w:t xml:space="preserve"/>
      </w:r>
    </w:p>
    <w:p>
      <w:pPr>
        <w:spacing w:after="280"/>
      </w:pPr>
      <w:r>
        <w:rPr>
          <w:rFonts w:ascii="Garamond" w:cs="Garamond" w:eastAsia="Garamond" w:hAnsi="Garamond"/>
        </w:rPr>
        <w:t xml:space="preserve">There is no midterm and no final examination in this course. The final portfolio is due at 16:00 on the date above and is submitted through the course portal.</w:t>
      </w:r>
    </w:p>
    <w:p>
      <w:pPr>
        <w:spacing w:after="120"/>
      </w:pPr>
      <w:r>
        <w:rPr>
          <w:rFonts w:ascii="Garamond" w:cs="Garamond" w:eastAsia="Garamond" w:hAnsi="Garamond"/>
          <w:b/>
          <w:bCs/>
        </w:rPr>
        <w:t xml:space="preserve">Schedule of Readings</w:t>
      </w:r>
    </w:p>
    <w:p>
      <w:pPr>
        <w:spacing w:after="120"/>
      </w:pPr>
      <w:r>
        <w:rPr>
          <w:rFonts w:ascii="Garamond" w:cs="Garamond" w:eastAsia="Garamond" w:hAnsi="Garamond"/>
        </w:rPr>
        <w:t xml:space="preserve">Weeks 1–2 (Sept 8–18): Introduction; Things Fall Apart</w:t>
      </w:r>
    </w:p>
    <w:p>
      <w:pPr>
        <w:spacing w:after="120"/>
      </w:pPr>
      <w:r>
        <w:rPr>
          <w:rFonts w:ascii="Garamond" w:cs="Garamond" w:eastAsia="Garamond" w:hAnsi="Garamond"/>
        </w:rPr>
        <w:t xml:space="preserve">Weeks 3–4 (Sept 22–Oct 2): Mrs Dalloway</w:t>
      </w:r>
    </w:p>
    <w:p>
      <w:pPr>
        <w:spacing w:after="120"/>
      </w:pPr>
      <w:r>
        <w:rPr>
          <w:rFonts w:ascii="Garamond" w:cs="Garamond" w:eastAsia="Garamond" w:hAnsi="Garamond"/>
        </w:rPr>
        <w:t xml:space="preserve">Weeks 5–6 (Oct 6–9): Frankenstein — note that reading week falls October 12–16</w:t>
      </w:r>
    </w:p>
    <w:p>
      <w:pPr>
        <w:spacing w:after="120"/>
      </w:pPr>
      <w:r>
        <w:rPr>
          <w:rFonts w:ascii="Garamond" w:cs="Garamond" w:eastAsia="Garamond" w:hAnsi="Garamond"/>
        </w:rPr>
        <w:t xml:space="preserve">Weeks 7–8 (Oct 20–30): Beloved</w:t>
      </w:r>
    </w:p>
    <w:p>
      <w:pPr>
        <w:spacing w:after="120"/>
      </w:pPr>
      <w:r>
        <w:rPr>
          <w:rFonts w:ascii="Garamond" w:cs="Garamond" w:eastAsia="Garamond" w:hAnsi="Garamond"/>
        </w:rPr>
        <w:t xml:space="preserve">Weeks 9–10 (Nov 3–13): Their Eyes Were Watching God</w:t>
      </w:r>
    </w:p>
    <w:p>
      <w:pPr>
        <w:spacing w:after="120"/>
      </w:pPr>
      <w:r>
        <w:rPr>
          <w:rFonts w:ascii="Garamond" w:cs="Garamond" w:eastAsia="Garamond" w:hAnsi="Garamond"/>
        </w:rPr>
        <w:t xml:space="preserve">Weeks 11–12 (Nov 17–27): The Remains of the Day</w:t>
      </w:r>
    </w:p>
    <w:p>
      <w:pPr>
        <w:spacing w:after="280"/>
      </w:pPr>
      <w:r>
        <w:rPr>
          <w:rFonts w:ascii="Garamond" w:cs="Garamond" w:eastAsia="Garamond" w:hAnsi="Garamond"/>
        </w:rPr>
        <w:t xml:space="preserve">Week 13 (Dec 1–7): Disgrace; course conclusion</w:t>
      </w:r>
    </w:p>
    <w:p>
      <w:pPr>
        <w:spacing w:after="120"/>
      </w:pPr>
      <w:r>
        <w:rPr>
          <w:rFonts w:ascii="Garamond" w:cs="Garamond" w:eastAsia="Garamond" w:hAnsi="Garamond"/>
          <w:b/>
          <w:bCs/>
        </w:rPr>
        <w:t xml:space="preserve">Policies</w:t>
      </w:r>
    </w:p>
    <w:p>
      <w:pPr>
        <w:spacing w:after="120"/>
      </w:pPr>
      <w:r>
        <w:rPr>
          <w:rFonts w:ascii="Garamond" w:cs="Garamond" w:eastAsia="Garamond" w:hAnsi="Garamond"/>
        </w:rPr>
        <w:t xml:space="preserve">Late written work is penalized 3% per calendar day. Extensions are granted only for documented reasons and must be requested before the deadline, not after.</w:t>
      </w:r>
    </w:p>
    <w:p>
      <w:pPr>
        <w:spacing w:after="120"/>
      </w:pPr>
      <w:r>
        <w:rPr>
          <w:rFonts w:ascii="Garamond" w:cs="Garamond" w:eastAsia="Garamond" w:hAnsi="Garamond"/>
        </w:rPr>
        <w:t xml:space="preserve">Students requiring academic accommodation should register with Academic Accommodation Support in the first two weeks of term.</w:t>
      </w:r>
    </w:p>
    <w:p>
      <w:pPr>
        <w:spacing w:after="120"/>
      </w:pPr>
      <w:r>
        <w:rPr>
          <w:rFonts w:ascii="Garamond" w:cs="Garamond" w:eastAsia="Garamond" w:hAnsi="Garamond"/>
        </w:rPr>
        <w:t xml:space="preserve">The last day to drop this course without academic penalty is November 10, 2026. Refund deadlines are set by the Registrar and are earlier — consult the Registrar's fee schedule.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2026-08-22T10:02:12.663Z</dcterms:created>
  <dcterms:modified xsi:type="dcterms:W3CDTF">2026-08-22T10:02:12.680Z</dcterms:modified>
</cp:coreProperties>
</file>

<file path=docProps/custom.xml><?xml version="1.0" encoding="utf-8"?>
<Properties xmlns="http://schemas.openxmlformats.org/officeDocument/2006/custom-properties" xmlns:vt="http://schemas.openxmlformats.org/officeDocument/2006/docPropsVTypes"/>
</file>