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09-12-2020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Completed, created read and delete pods on API call, some files cleaned up (removing no longer needed files, updated readme.md with basic info, got the room service to correctly add a new host and add new customer, and return music from spotify.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a66i5u3i59m" w:id="1"/>
      <w:bookmarkEnd w:id="1"/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WebSocket in backend.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Working together with Harrison, we are going to implement the backend api’s and room-service api with the front end code.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Implementing backend apis and room service apis with the front end code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 </w:t>
      </w:r>
      <w:r w:rsidDel="00000000" w:rsidR="00000000" w:rsidRPr="00000000">
        <w:rPr>
          <w:rtl w:val="0"/>
        </w:rPr>
        <w:t xml:space="preserve">Move WebSocket client to frontend.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8Qr1owk2o02cCrlixgGaMnlGwg==">AMUW2mVgALWI2AZ1Q90HdiHamH6KBmGkvcbFFE9fDHHkm5K3MS9qUIpWMRibISkBVdOFTvRSQbIpp4jpXYyyHQ7R9PuWY3/rVZOwWH4ZhO6mWOKnv3L5Kh5OvOJaVvMYJtJGWkxP7JPHT7NGb5My56me+2d1rrnbqg==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