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InSAR 形变监测分析报告</w:t>
      </w:r>
    </w:p>
    <w:p>
      <w:r>
        <w:rPr>
          <w:b/>
        </w:rPr>
        <w:t>山东招远庙山金矿4.974km2</w:t>
      </w:r>
      <w:r>
        <w:rPr>
          <w:i/>
        </w:rPr>
        <w:t xml:space="preserve">   ·   报告生成 2026-05-27</w:t>
      </w:r>
    </w:p>
    <w:p>
      <w:pPr>
        <w:pStyle w:val="Heading1"/>
      </w:pPr>
      <w:r>
        <w:rPr>
          <w:color w:val="18181B"/>
        </w:rPr>
        <w:t>1. AOI 与观测概况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研究区</w:t>
            </w:r>
          </w:p>
        </w:tc>
        <w:tc>
          <w:tcPr>
            <w:tcW w:type="dxa" w:w="4320"/>
            <w:vAlign w:val="center"/>
          </w:tcPr>
          <w:p>
            <w:r>
              <w:t>山东招远庙山金矿4.974km2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观测时段</w:t>
            </w:r>
          </w:p>
        </w:tc>
        <w:tc>
          <w:tcPr>
            <w:tcW w:type="dxa" w:w="4320"/>
            <w:vAlign w:val="center"/>
          </w:tcPr>
          <w:p>
            <w:r>
              <w:t>2018-11-25  →  2019-12-13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数据源</w:t>
            </w:r>
          </w:p>
        </w:tc>
        <w:tc>
          <w:tcPr>
            <w:tcW w:type="dxa" w:w="4320"/>
            <w:vAlign w:val="center"/>
          </w:tcPr>
          <w:p>
            <w:r>
              <w:t>Sentinel-1 C-band SAR(欧空局)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有效干涉对数</w:t>
            </w:r>
          </w:p>
        </w:tc>
        <w:tc>
          <w:tcPr>
            <w:tcW w:type="dxa" w:w="4320"/>
            <w:vAlign w:val="center"/>
          </w:tcPr>
          <w:p>
            <w:r>
              <w:t>120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极化</w:t>
            </w:r>
          </w:p>
        </w:tc>
        <w:tc>
          <w:tcPr>
            <w:tcW w:type="dxa" w:w="4320"/>
            <w:vAlign w:val="center"/>
          </w:tcPr>
          <w:p>
            <w:r>
              <w:t>VV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轨道方向</w:t>
            </w:r>
          </w:p>
        </w:tc>
        <w:tc>
          <w:tcPr>
            <w:tcW w:type="dxa" w:w="4320"/>
            <w:vAlign w:val="center"/>
          </w:tcPr>
          <w:p>
            <w:r>
              <w:t>ASCENDING</w:t>
            </w:r>
          </w:p>
        </w:tc>
      </w:tr>
    </w:tbl>
    <w:p>
      <w:pPr>
        <w:pStyle w:val="Heading1"/>
      </w:pPr>
      <w:r>
        <w:rPr>
          <w:color w:val="18181B"/>
        </w:rPr>
        <w:t>2. 数据特征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整体平均相干性</w:t>
            </w:r>
          </w:p>
        </w:tc>
        <w:tc>
          <w:tcPr>
            <w:tcW w:type="dxa" w:w="4320"/>
            <w:vAlign w:val="center"/>
          </w:tcPr>
          <w:p>
            <w:r>
              <w:t>0.901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时间基线分布</w:t>
            </w:r>
          </w:p>
        </w:tc>
        <w:tc>
          <w:tcPr>
            <w:tcW w:type="dxa" w:w="4320"/>
            <w:vAlign w:val="center"/>
          </w:tcPr>
          <w:p>
            <w:r>
              <w:t>6~24 天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典型基线值</w:t>
            </w:r>
          </w:p>
        </w:tc>
        <w:tc>
          <w:tcPr>
            <w:tcW w:type="dxa" w:w="4320"/>
            <w:vAlign w:val="center"/>
          </w:tcPr>
          <w:p>
            <w:r>
              <w:t>6, 12, 24 天</w:t>
            </w:r>
          </w:p>
        </w:tc>
      </w:tr>
    </w:tbl>
    <w:p>
      <w:r>
        <w:rPr>
          <w:b/>
        </w:rPr>
        <w:t>相干性解读:</w:t>
      </w:r>
      <w:r>
        <w:t xml:space="preserve"> 平均相干性 0.90 处于高水平,表明 AOI 地表稳定(植被/积水/扰动少),InSAR 信号质量良好。</w:t>
      </w:r>
    </w:p>
    <w:p>
      <w:pPr>
        <w:pStyle w:val="Heading2"/>
      </w:pPr>
      <w:r>
        <w:rPr>
          <w:color w:val="18181B"/>
        </w:rPr>
        <w:t>2.1 代表性干涉对快视</w:t>
      </w:r>
    </w:p>
    <w:p>
      <w:r>
        <w:t>以下展示 6 张相干性最高的干涉对快视图,每张包含 LOS 形变(中值去趋势)与相干性两个子图。形变图色标:红色 = 远离卫星方向(可能对应沉降),蓝色 = 靠近卫星方向(可能对应抬升)。</w:t>
      </w:r>
    </w:p>
    <w:p>
      <w:r>
        <w:drawing>
          <wp:inline xmlns:a="http://schemas.openxmlformats.org/drawingml/2006/main" xmlns:pic="http://schemas.openxmlformats.org/drawingml/2006/picture">
            <wp:extent cx="5760000" cy="264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150_IW3_20190118_20190130_V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8"/>
        </w:rPr>
        <w:t>005150_IW3_20190118_20190130_VV</w:t>
      </w:r>
    </w:p>
    <w:p>
      <w:r>
        <w:drawing>
          <wp:inline xmlns:a="http://schemas.openxmlformats.org/drawingml/2006/main" xmlns:pic="http://schemas.openxmlformats.org/drawingml/2006/picture">
            <wp:extent cx="5760000" cy="264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150_IW3_20190223_20190307_V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8"/>
        </w:rPr>
        <w:t>005150_IW3_20190223_20190307_VV</w:t>
      </w:r>
    </w:p>
    <w:p>
      <w:r>
        <w:drawing>
          <wp:inline xmlns:a="http://schemas.openxmlformats.org/drawingml/2006/main" xmlns:pic="http://schemas.openxmlformats.org/drawingml/2006/picture">
            <wp:extent cx="5760000" cy="2640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151_IW3_20190118_20190130_V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8"/>
        </w:rPr>
        <w:t>005151_IW3_20190118_20190130_VV</w:t>
      </w:r>
    </w:p>
    <w:p>
      <w:r>
        <w:drawing>
          <wp:inline xmlns:a="http://schemas.openxmlformats.org/drawingml/2006/main" xmlns:pic="http://schemas.openxmlformats.org/drawingml/2006/picture">
            <wp:extent cx="5760000" cy="264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151_IW3_20190130_20190211_V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8"/>
        </w:rPr>
        <w:t>005151_IW3_20190130_20190211_VV</w:t>
      </w:r>
    </w:p>
    <w:p>
      <w:r>
        <w:drawing>
          <wp:inline xmlns:a="http://schemas.openxmlformats.org/drawingml/2006/main" xmlns:pic="http://schemas.openxmlformats.org/drawingml/2006/picture">
            <wp:extent cx="5760000" cy="2640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48_IW1_20190204_20190216_V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8"/>
        </w:rPr>
        <w:t>161948_IW1_20190204_20190216_VV</w:t>
      </w:r>
    </w:p>
    <w:p>
      <w:r>
        <w:drawing>
          <wp:inline xmlns:a="http://schemas.openxmlformats.org/drawingml/2006/main" xmlns:pic="http://schemas.openxmlformats.org/drawingml/2006/picture">
            <wp:extent cx="5760000" cy="2640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48_IW1_20190216_20190228_V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8"/>
        </w:rPr>
        <w:t>161948_IW1_20190216_20190228_VV</w:t>
      </w:r>
    </w:p>
    <w:p>
      <w:pPr>
        <w:pStyle w:val="Heading1"/>
      </w:pPr>
      <w:r>
        <w:rPr>
          <w:color w:val="18181B"/>
        </w:rPr>
        <w:t>3. 形变速率分析</w:t>
      </w:r>
    </w:p>
    <w:p>
      <w:r>
        <w:t>采用简化 SBAS(Small Baseline Subset)时序反演,将所有干涉对的 LOS 相位联合反演为每个 SAR 时相的累积形变,并由其时间序列拟合斜率得到 LOS 速率(mm/yr)。</w:t>
      </w:r>
    </w:p>
    <w:p>
      <w:pPr>
        <w:pStyle w:val="Heading2"/>
      </w:pPr>
      <w:r>
        <w:rPr>
          <w:color w:val="18181B"/>
        </w:rPr>
        <w:t>3.1 burst 365365_IW2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观测时段</w:t>
            </w:r>
          </w:p>
        </w:tc>
        <w:tc>
          <w:tcPr>
            <w:tcW w:type="dxa" w:w="4320"/>
            <w:vAlign w:val="center"/>
          </w:tcPr>
          <w:p>
            <w:r>
              <w:t>2018-11-25 → 2019-12-08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使用 pair 数</w:t>
            </w:r>
          </w:p>
        </w:tc>
        <w:tc>
          <w:tcPr>
            <w:tcW w:type="dxa" w:w="4320"/>
            <w:vAlign w:val="center"/>
          </w:tcPr>
          <w:p>
            <w:r>
              <w:t>53 对  /  54 时相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有效像素覆盖</w:t>
            </w:r>
          </w:p>
        </w:tc>
        <w:tc>
          <w:tcPr>
            <w:tcW w:type="dxa" w:w="4320"/>
            <w:vAlign w:val="center"/>
          </w:tcPr>
          <w:p>
            <w:r>
              <w:t>40.6%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速率统计 (mm/yr)</w:t>
            </w:r>
          </w:p>
        </w:tc>
        <w:tc>
          <w:tcPr>
            <w:tcW w:type="dxa" w:w="4320"/>
            <w:vAlign w:val="center"/>
          </w:tcPr>
          <w:p>
            <w:r>
              <w:t>min -218.5   max 200.5   均值 -3.83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**P5 ~ P95 区间**</w:t>
            </w:r>
          </w:p>
        </w:tc>
        <w:tc>
          <w:tcPr>
            <w:tcW w:type="dxa" w:w="4320"/>
            <w:vAlign w:val="center"/>
          </w:tcPr>
          <w:p>
            <w:r>
              <w:t>**[-30.8, 21.8] mm/yr**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b/>
              </w:rPr>
              <w:t>标准差</w:t>
            </w:r>
          </w:p>
        </w:tc>
        <w:tc>
          <w:tcPr>
            <w:tcW w:type="dxa" w:w="4320"/>
            <w:vAlign w:val="center"/>
          </w:tcPr>
          <w:p>
            <w:r>
              <w:t>17.58 mm/yr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00000" cy="2986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8"/>
        </w:rPr>
        <w:t>LOS 速率图(空间分布)</w:t>
      </w:r>
    </w:p>
    <w:p>
      <w:r>
        <w:drawing>
          <wp:inline xmlns:a="http://schemas.openxmlformats.org/drawingml/2006/main" xmlns:pic="http://schemas.openxmlformats.org/drawingml/2006/picture">
            <wp:extent cx="5760000" cy="21635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series_poi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717A"/>
          <w:sz w:val="18"/>
        </w:rPr>
        <w:t>代表点位累积形变时序曲线(P1 最大正速率 / P2 最大负速率 / P3 稳定点)</w:t>
      </w:r>
    </w:p>
    <w:p>
      <w:pPr>
        <w:pStyle w:val="Heading1"/>
      </w:pPr>
      <w:r>
        <w:rPr>
          <w:color w:val="18181B"/>
        </w:rPr>
        <w:t>4. 结论与建议</w:t>
      </w:r>
    </w:p>
    <w:p>
      <w:pPr>
        <w:pStyle w:val="Heading2"/>
      </w:pPr>
      <w:r>
        <w:rPr>
          <w:color w:val="18181B"/>
        </w:rPr>
        <w:t>4.1 核心判断</w:t>
      </w:r>
    </w:p>
    <w:p>
      <w:r>
        <w:t>**本研究区(山东招远庙山金矿4.974km2)存在沉降迹象**:5% 像素速率低于 -30.8 mm/yr,P5~P95 跨度 52.6 mm/yr 超出典型噪声水平(数据相干性高,可信度较好)。</w:t>
      </w:r>
    </w:p>
    <w:p>
      <w:pPr>
        <w:pStyle w:val="Heading2"/>
      </w:pPr>
      <w:r>
        <w:rPr>
          <w:color w:val="18181B"/>
        </w:rPr>
        <w:t>4.2 关键观察</w:t>
      </w:r>
    </w:p>
    <w:p>
      <w:pPr>
        <w:pStyle w:val="ListBullet"/>
      </w:pPr>
      <w:r>
        <w:t>LOS 形变速率 95% 区间(P5~P95): **[-30.8, +21.8] mm/yr**,跨度 52.6 mm/yr</w:t>
      </w:r>
    </w:p>
    <w:p>
      <w:pPr>
        <w:pStyle w:val="ListBullet"/>
      </w:pPr>
      <w:r>
        <w:t>速率均值 -3.83 mm/yr,标准差 17.58 mm/yr</w:t>
      </w:r>
    </w:p>
    <w:p>
      <w:pPr>
        <w:pStyle w:val="ListBullet"/>
      </w:pPr>
      <w:r>
        <w:t>极值范围 -218.5 ~ +200.5 mm/yr,显著超出 P5~P95 区间 — 判定为单像素 unwrap 错误或大气湍流 artifacts,不代表真实地质形变</w:t>
      </w:r>
    </w:p>
    <w:p>
      <w:pPr>
        <w:pStyle w:val="ListBullet"/>
      </w:pPr>
      <w:r>
        <w:t>整体平均相干性 0.90,数据质量 优秀(≥0.7)</w:t>
      </w:r>
    </w:p>
    <w:p>
      <w:pPr>
        <w:pStyle w:val="Heading2"/>
      </w:pPr>
      <w:r>
        <w:rPr>
          <w:color w:val="18181B"/>
        </w:rPr>
        <w:t>4.3 业务解读(矿区沉降监测)</w:t>
      </w:r>
    </w:p>
    <w:p>
      <w:r>
        <w:t>检测到沉降迹象,符合采动型形变(掘进掌子面/塌陷漏斗)的典型空间特征。</w:t>
        <w:br/>
        <w:br/>
        <w:t>**对矿权决策的辅助价值**:</w:t>
        <w:br/>
        <w:t xml:space="preserve">  • 若本区已知为在产/历史矿区:沉降漏斗位置可用于**验证已知采空区边界**,或**定位未报备的盗采点**(漏斗与已申报矿权范围不重合时尤其有价值)</w:t>
        <w:br/>
        <w:t xml:space="preserve">  • 若本区原本应为空白区(无报备矿权):出现采动型沉降可能指示**非法采矿活动**,建议地面核查</w:t>
        <w:br/>
        <w:t xml:space="preserve">  • 真伪判别要点:沉降的连片性 + 时序单调性。连片漏斗 + 单调累积 = 真采动信号;孤立像素或阶梯跳变 = 大气/unwrap artifacts</w:t>
        <w:br/>
        <w:br/>
        <w:t>**重要免责**:沉降信号能证明「有采矿活动或自然塌陷」,但**不能反推矿种类型或储量**。矿种识别仍需高光谱/光学/地球物理独立证据。</w:t>
      </w:r>
    </w:p>
    <w:p>
      <w:pPr>
        <w:pStyle w:val="Heading2"/>
      </w:pPr>
      <w:r>
        <w:rPr>
          <w:color w:val="18181B"/>
        </w:rPr>
        <w:t>4.4 下一步建议</w:t>
      </w:r>
    </w:p>
    <w:p>
      <w:pPr>
        <w:pStyle w:val="ListBullet"/>
      </w:pPr>
      <w:r>
        <w:t>**先看速率图空间分布**:沉降是连片区域(geologically meaningful)还是孤立像素(可能是 artifacts)?连片 → 真实信号;孤立 → 可能 unwrap 错误。</w:t>
      </w:r>
    </w:p>
    <w:p>
      <w:pPr>
        <w:pStyle w:val="ListBullet"/>
      </w:pPr>
      <w:r>
        <w:t>**做时序剖面**:在沉降疑似区域选 3-5 个点,看累积形变曲线是否单调下降。若是阶梯状或大幅震荡,大概率是 artifacts。</w:t>
      </w:r>
    </w:p>
    <w:p>
      <w:pPr>
        <w:pStyle w:val="ListBullet"/>
      </w:pPr>
      <w:r>
        <w:t>**接 GACOS 大气校正后重做**,确认信号在去除大气残差后仍然存在。</w:t>
      </w:r>
    </w:p>
    <w:p>
      <w:r>
        <w:rPr>
          <w:b/>
        </w:rPr>
        <w:t xml:space="preserve">结论置信度: </w:t>
      </w:r>
      <w:r>
        <w:t>中</w:t>
      </w:r>
    </w:p>
    <w:p/>
    <w:p>
      <w:r>
        <w:rPr>
          <w:i/>
          <w:color w:val="71717A"/>
          <w:sz w:val="17"/>
        </w:rPr>
        <w:t>—— 方法学说明: 本次基于简化 SBAS 反演,未接入大气校正,绝对速率不确定度约 ±5 mm/yr;若需毫米级精度,详见 GACOS 接入方案。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