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6BA" w:rsidRDefault="000146BA" w:rsidP="000146BA">
      <w:pPr>
        <w:pStyle w:val="Author"/>
      </w:pPr>
    </w:p>
    <w:p w:rsidR="000146BA" w:rsidRDefault="000146BA" w:rsidP="000146BA">
      <w:pPr>
        <w:pStyle w:val="Author"/>
      </w:pPr>
    </w:p>
    <w:p w:rsidR="000146BA" w:rsidRDefault="000146BA" w:rsidP="000146BA">
      <w:pPr>
        <w:pStyle w:val="BodyText"/>
        <w:jc w:val="center"/>
      </w:pPr>
    </w:p>
    <w:p w:rsidR="000146BA" w:rsidRDefault="000146BA" w:rsidP="000146BA">
      <w:pPr>
        <w:pStyle w:val="BodyText"/>
        <w:jc w:val="center"/>
      </w:pPr>
    </w:p>
    <w:p w:rsidR="000146BA" w:rsidRDefault="000146BA" w:rsidP="000146BA">
      <w:pPr>
        <w:pStyle w:val="BodyText"/>
        <w:jc w:val="center"/>
      </w:pPr>
    </w:p>
    <w:p w:rsidR="000146BA" w:rsidRPr="000146BA" w:rsidRDefault="000146BA" w:rsidP="000146BA">
      <w:pPr>
        <w:pStyle w:val="BodyText"/>
        <w:jc w:val="center"/>
        <w:rPr>
          <w:sz w:val="48"/>
          <w:szCs w:val="48"/>
        </w:rPr>
      </w:pPr>
    </w:p>
    <w:p w:rsidR="0009408C" w:rsidRDefault="0009408C" w:rsidP="000146BA">
      <w:pPr>
        <w:pStyle w:val="BodyText"/>
        <w:jc w:val="center"/>
        <w:rPr>
          <w:sz w:val="48"/>
          <w:szCs w:val="48"/>
        </w:rPr>
      </w:pPr>
      <w:r>
        <w:rPr>
          <w:sz w:val="48"/>
          <w:szCs w:val="48"/>
        </w:rPr>
        <w:t>Innovative Turbidity Meter</w:t>
      </w:r>
    </w:p>
    <w:p w:rsidR="000146BA" w:rsidRPr="000146BA" w:rsidRDefault="000146BA" w:rsidP="000146BA">
      <w:pPr>
        <w:pStyle w:val="BodyText"/>
        <w:jc w:val="center"/>
        <w:rPr>
          <w:sz w:val="48"/>
          <w:szCs w:val="48"/>
        </w:rPr>
      </w:pPr>
      <w:r w:rsidRPr="000146BA">
        <w:rPr>
          <w:sz w:val="48"/>
          <w:szCs w:val="48"/>
        </w:rPr>
        <w:t>ENGG6150 Bioinstrumentation Final Project Part II</w:t>
      </w:r>
    </w:p>
    <w:p w:rsidR="000146BA" w:rsidRDefault="000146BA" w:rsidP="000146BA">
      <w:pPr>
        <w:pStyle w:val="Author"/>
      </w:pPr>
      <w:r>
        <w:t>Instructor: Dr. Maher Bakri-Kassem</w:t>
      </w:r>
    </w:p>
    <w:p w:rsidR="000146BA" w:rsidRPr="000146BA" w:rsidRDefault="000146BA" w:rsidP="000146BA">
      <w:pPr>
        <w:pStyle w:val="BodyText"/>
        <w:jc w:val="center"/>
      </w:pPr>
      <w:r>
        <w:t>Email: jlin17@uoguelph.ca</w:t>
      </w:r>
    </w:p>
    <w:p w:rsidR="00A35341" w:rsidRDefault="000146BA" w:rsidP="000146BA">
      <w:pPr>
        <w:pStyle w:val="Author"/>
      </w:pPr>
      <w:r>
        <w:t xml:space="preserve">Student: </w:t>
      </w:r>
      <w:r w:rsidR="002F26CC">
        <w:t>Jian(Kevin) Lin</w:t>
      </w:r>
    </w:p>
    <w:p w:rsidR="00A35341" w:rsidRDefault="000146BA" w:rsidP="000146BA">
      <w:pPr>
        <w:pStyle w:val="Date"/>
      </w:pPr>
      <w:r>
        <w:t>Date: Mar</w:t>
      </w:r>
      <w:r w:rsidR="002F26CC">
        <w:t>/6/2020</w:t>
      </w:r>
    </w:p>
    <w:p w:rsidR="000146BA" w:rsidRDefault="000146BA" w:rsidP="000146BA">
      <w:pPr>
        <w:pStyle w:val="BodyText"/>
        <w:jc w:val="center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0146BA" w:rsidRDefault="000146BA" w:rsidP="000146BA">
      <w:pPr>
        <w:pStyle w:val="BodyText"/>
      </w:pPr>
    </w:p>
    <w:p w:rsidR="00921DCC" w:rsidRDefault="00921DCC">
      <w:pPr>
        <w:pStyle w:val="FirstParagraph"/>
      </w:pPr>
    </w:p>
    <w:p w:rsidR="00A35341" w:rsidRPr="000146BA" w:rsidRDefault="002F26CC">
      <w:pPr>
        <w:pStyle w:val="FirstParagraph"/>
        <w:rPr>
          <w:b/>
        </w:rPr>
      </w:pPr>
      <w:r w:rsidRPr="000146BA">
        <w:rPr>
          <w:b/>
          <w:i/>
        </w:rPr>
        <w:lastRenderedPageBreak/>
        <w:t>Market Analysis</w:t>
      </w:r>
      <w:r w:rsidR="000146BA">
        <w:rPr>
          <w:b/>
          <w:i/>
        </w:rPr>
        <w:t>:</w:t>
      </w:r>
    </w:p>
    <w:p w:rsidR="009F6C98" w:rsidRDefault="000146BA">
      <w:pPr>
        <w:pStyle w:val="SourceCode"/>
        <w:rPr>
          <w:rStyle w:val="VerbatimChar"/>
        </w:rPr>
      </w:pPr>
      <w:r>
        <w:rPr>
          <w:rStyle w:val="VerbatimChar"/>
        </w:rPr>
        <w:t xml:space="preserve">     </w:t>
      </w:r>
      <w:r w:rsidR="002F26CC">
        <w:rPr>
          <w:rStyle w:val="VerbatimChar"/>
        </w:rPr>
        <w:t>Drinking water and industrial water all require to pass stringent requirement</w:t>
      </w:r>
      <w:r>
        <w:rPr>
          <w:rStyle w:val="VerbatimChar"/>
        </w:rPr>
        <w:t>s</w:t>
      </w:r>
      <w:r w:rsidR="002F26CC">
        <w:rPr>
          <w:rStyle w:val="VerbatimChar"/>
        </w:rPr>
        <w:t xml:space="preserve"> prior to further using. There are many</w:t>
      </w:r>
      <w:r>
        <w:rPr>
          <w:rStyle w:val="VerbatimChar"/>
        </w:rPr>
        <w:t xml:space="preserve"> specifications that water nee</w:t>
      </w:r>
      <w:r w:rsidR="002F26CC">
        <w:rPr>
          <w:rStyle w:val="VerbatimChar"/>
        </w:rPr>
        <w:t>ds to pass. One of requirement is Total Dissolved Solid (TDS) and it can</w:t>
      </w:r>
      <w:r>
        <w:rPr>
          <w:rStyle w:val="VerbatimChar"/>
        </w:rPr>
        <w:t xml:space="preserve"> be</w:t>
      </w:r>
      <w:r w:rsidR="002F26CC">
        <w:rPr>
          <w:rStyle w:val="VerbatimChar"/>
        </w:rPr>
        <w:t xml:space="preserve"> measured through turbidity meter. T</w:t>
      </w:r>
      <w:r w:rsidR="002F26CC">
        <w:rPr>
          <w:rStyle w:val="VerbatimChar"/>
        </w:rPr>
        <w:t>wo types of turbidity meter are commonly used in the market including holdheld and benchtop. According to Future Market Insight</w:t>
      </w:r>
      <w:r w:rsidR="00921DCC">
        <w:rPr>
          <w:rStyle w:val="VerbatimChar"/>
        </w:rPr>
        <w:t xml:space="preserve"> </w:t>
      </w:r>
      <w:r>
        <w:rPr>
          <w:rStyle w:val="VerbatimChar"/>
        </w:rPr>
        <w:t>[1]</w:t>
      </w:r>
      <w:r w:rsidR="002F26CC">
        <w:rPr>
          <w:rStyle w:val="VerbatimChar"/>
        </w:rPr>
        <w:t>, global turbidity meter will reach one billion US dollar in 2029 end. Handhold turbidity meters will reach 400 million by 2029 e</w:t>
      </w:r>
      <w:r>
        <w:rPr>
          <w:rStyle w:val="VerbatimChar"/>
        </w:rPr>
        <w:t>nd.</w:t>
      </w:r>
      <w:r w:rsidR="009F6C98">
        <w:rPr>
          <w:rStyle w:val="VerbatimChar"/>
        </w:rPr>
        <w:t xml:space="preserve"> There are many bodies might require turbidity meters as shown in figure 1. </w:t>
      </w:r>
      <w:r w:rsidR="00921DCC">
        <w:rPr>
          <w:rStyle w:val="VerbatimChar"/>
        </w:rPr>
        <w:t>My</w:t>
      </w:r>
      <w:r w:rsidR="002F26CC">
        <w:rPr>
          <w:rStyle w:val="VerbatimChar"/>
        </w:rPr>
        <w:t xml:space="preserve"> business proposal is targeting on handhold turbidity meter</w:t>
      </w:r>
      <w:r w:rsidR="00921DCC">
        <w:rPr>
          <w:rStyle w:val="VerbatimChar"/>
        </w:rPr>
        <w:t xml:space="preserve"> only</w:t>
      </w:r>
      <w:r w:rsidR="002F26CC">
        <w:rPr>
          <w:rStyle w:val="VerbatimChar"/>
        </w:rPr>
        <w:t xml:space="preserve">. </w:t>
      </w:r>
    </w:p>
    <w:p w:rsidR="00A35341" w:rsidRDefault="009F6C98">
      <w:pPr>
        <w:pStyle w:val="SourceCode"/>
        <w:rPr>
          <w:rStyle w:val="VerbatimChar"/>
        </w:rPr>
      </w:pPr>
      <w:r w:rsidRPr="009F6C98">
        <w:rPr>
          <w:rStyle w:val="VerbatimChar"/>
          <w:noProof/>
        </w:rPr>
        <w:drawing>
          <wp:inline distT="0" distB="0" distL="0" distR="0">
            <wp:extent cx="5943600" cy="2784764"/>
            <wp:effectExtent l="0" t="0" r="0" b="0"/>
            <wp:docPr id="1" name="Picture 1" descr="C:\Users\klin\Desktop\Tur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in\Desktop\Tur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6CC">
        <w:rPr>
          <w:rStyle w:val="VerbatimChar"/>
        </w:rPr>
        <w:t xml:space="preserve"> </w:t>
      </w:r>
    </w:p>
    <w:p w:rsidR="009F6C98" w:rsidRDefault="009F6C98">
      <w:pPr>
        <w:pStyle w:val="SourceCode"/>
      </w:pPr>
      <w:r>
        <w:rPr>
          <w:rStyle w:val="VerbatimChar"/>
        </w:rPr>
        <w:t xml:space="preserve">Figure 1: </w:t>
      </w:r>
      <w:r w:rsidR="00921DCC">
        <w:rPr>
          <w:rStyle w:val="VerbatimChar"/>
        </w:rPr>
        <w:t>Turbidity meter market demand [1]</w:t>
      </w:r>
    </w:p>
    <w:p w:rsidR="00A35341" w:rsidRPr="000146BA" w:rsidRDefault="002F26CC">
      <w:pPr>
        <w:pStyle w:val="FirstParagraph"/>
        <w:rPr>
          <w:b/>
        </w:rPr>
      </w:pPr>
      <w:r w:rsidRPr="000146BA">
        <w:rPr>
          <w:b/>
          <w:i/>
        </w:rPr>
        <w:t>Current Market Competitors</w:t>
      </w:r>
      <w:r w:rsidR="000146BA">
        <w:rPr>
          <w:b/>
          <w:i/>
        </w:rPr>
        <w:t>:</w:t>
      </w:r>
    </w:p>
    <w:p w:rsidR="00921DCC" w:rsidRDefault="000146BA" w:rsidP="00921DCC">
      <w:pPr>
        <w:pStyle w:val="SourceCode"/>
        <w:rPr>
          <w:rStyle w:val="VerbatimChar"/>
        </w:rPr>
      </w:pPr>
      <w:r>
        <w:rPr>
          <w:rStyle w:val="VerbatimChar"/>
        </w:rPr>
        <w:t xml:space="preserve">     </w:t>
      </w:r>
      <w:r w:rsidR="002F26CC">
        <w:rPr>
          <w:rStyle w:val="VerbatimChar"/>
        </w:rPr>
        <w:t>There are many brand companies manufacturing this device including Thermo Scientific. Lowest price</w:t>
      </w:r>
      <w:r w:rsidR="0009408C">
        <w:rPr>
          <w:rStyle w:val="VerbatimChar"/>
        </w:rPr>
        <w:t xml:space="preserve"> of turbidity</w:t>
      </w:r>
      <w:r w:rsidR="002F26CC">
        <w:rPr>
          <w:rStyle w:val="VerbatimChar"/>
        </w:rPr>
        <w:t xml:space="preserve"> is $913.5 Canadian dollars and highest one is $2224.82 </w:t>
      </w:r>
      <w:r w:rsidR="0009408C">
        <w:rPr>
          <w:rStyle w:val="VerbatimChar"/>
        </w:rPr>
        <w:t>C</w:t>
      </w:r>
      <w:r w:rsidR="002F26CC">
        <w:rPr>
          <w:rStyle w:val="VerbatimChar"/>
        </w:rPr>
        <w:t>anadian dollars</w:t>
      </w:r>
      <w:r w:rsidR="0009408C">
        <w:rPr>
          <w:rStyle w:val="VerbatimChar"/>
        </w:rPr>
        <w:t xml:space="preserve"> base on table 1</w:t>
      </w:r>
      <w:r w:rsidR="002F26CC">
        <w:rPr>
          <w:rStyle w:val="VerbatimChar"/>
        </w:rPr>
        <w:t>.</w:t>
      </w:r>
      <w:r w:rsidR="0009408C">
        <w:rPr>
          <w:rStyle w:val="VerbatimChar"/>
        </w:rPr>
        <w:t xml:space="preserve"> </w:t>
      </w:r>
      <w:r w:rsidR="002F26CC">
        <w:rPr>
          <w:rStyle w:val="VerbatimChar"/>
        </w:rPr>
        <w:t>Since this is new product, I will</w:t>
      </w:r>
      <w:r w:rsidR="0009408C">
        <w:rPr>
          <w:rStyle w:val="VerbatimChar"/>
        </w:rPr>
        <w:t xml:space="preserve"> make my product lowest on the </w:t>
      </w:r>
      <w:r w:rsidR="002F26CC">
        <w:rPr>
          <w:rStyle w:val="VerbatimChar"/>
        </w:rPr>
        <w:t>market in order to sell</w:t>
      </w:r>
      <w:r w:rsidR="0009408C">
        <w:rPr>
          <w:rStyle w:val="VerbatimChar"/>
        </w:rPr>
        <w:t xml:space="preserve"> quickly. I will set my price approximately around</w:t>
      </w:r>
      <w:r w:rsidR="002F26CC">
        <w:rPr>
          <w:rStyle w:val="VerbatimChar"/>
        </w:rPr>
        <w:t xml:space="preserve"> $500 Canadian dollars. After generating quick cash and will </w:t>
      </w:r>
      <w:r w:rsidR="0009408C">
        <w:rPr>
          <w:rStyle w:val="VerbatimChar"/>
        </w:rPr>
        <w:t xml:space="preserve">use </w:t>
      </w:r>
      <w:r w:rsidR="002F26CC">
        <w:rPr>
          <w:rStyle w:val="VerbatimChar"/>
        </w:rPr>
        <w:t xml:space="preserve">the profit to manufacture more products. </w:t>
      </w:r>
    </w:p>
    <w:p w:rsidR="00A35341" w:rsidRDefault="0009408C" w:rsidP="00921DCC">
      <w:pPr>
        <w:pStyle w:val="SourceCode"/>
      </w:pPr>
      <w:r>
        <w:t xml:space="preserve">Table 1: </w:t>
      </w:r>
      <w:r w:rsidR="002F26CC">
        <w:t>Major vendors of Handheld Turbidity Meter</w:t>
      </w:r>
      <w:r>
        <w:t xml:space="preserve"> in Canadian dollars $ </w:t>
      </w:r>
      <w:r w:rsidRPr="0009408C">
        <w:rPr>
          <w:i/>
        </w:rPr>
        <w:t>[2]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Major vendors of Handheld Turbidity Meter"/>
      </w:tblPr>
      <w:tblGrid>
        <w:gridCol w:w="1873"/>
        <w:gridCol w:w="1400"/>
        <w:gridCol w:w="1466"/>
      </w:tblGrid>
      <w:tr w:rsidR="00A353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35341" w:rsidRPr="00921DCC" w:rsidRDefault="002F26CC">
            <w:pPr>
              <w:pStyle w:val="Compac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b</w:t>
            </w:r>
            <w:r w:rsidRPr="00921DCC">
              <w:rPr>
                <w:sz w:val="22"/>
                <w:szCs w:val="22"/>
              </w:rPr>
              <w:t>rand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lowest_price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highest_price</w:t>
            </w:r>
          </w:p>
        </w:tc>
      </w:tr>
      <w:tr w:rsidR="00A35341">
        <w:tc>
          <w:tcPr>
            <w:tcW w:w="0" w:type="auto"/>
          </w:tcPr>
          <w:p w:rsidR="00A35341" w:rsidRPr="00921DCC" w:rsidRDefault="002F26CC">
            <w:pPr>
              <w:pStyle w:val="Compac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Oakton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1259.01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1617.05</w:t>
            </w:r>
          </w:p>
        </w:tc>
      </w:tr>
      <w:tr w:rsidR="00A35341">
        <w:tc>
          <w:tcPr>
            <w:tcW w:w="0" w:type="auto"/>
          </w:tcPr>
          <w:p w:rsidR="00A35341" w:rsidRPr="00921DCC" w:rsidRDefault="002F26CC">
            <w:pPr>
              <w:pStyle w:val="Compac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Hach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1969.92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1969.92</w:t>
            </w:r>
          </w:p>
        </w:tc>
      </w:tr>
      <w:tr w:rsidR="00A35341">
        <w:tc>
          <w:tcPr>
            <w:tcW w:w="0" w:type="auto"/>
          </w:tcPr>
          <w:p w:rsidR="00A35341" w:rsidRPr="00921DCC" w:rsidRDefault="002F26CC">
            <w:pPr>
              <w:pStyle w:val="Compac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Extech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913.50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913.50</w:t>
            </w:r>
          </w:p>
        </w:tc>
      </w:tr>
      <w:tr w:rsidR="00A35341">
        <w:tc>
          <w:tcPr>
            <w:tcW w:w="0" w:type="auto"/>
          </w:tcPr>
          <w:p w:rsidR="00A35341" w:rsidRPr="00921DCC" w:rsidRDefault="002F26CC">
            <w:pPr>
              <w:pStyle w:val="Compac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Thermo Scientific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1804.90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2224.82</w:t>
            </w:r>
          </w:p>
        </w:tc>
      </w:tr>
      <w:tr w:rsidR="00A35341">
        <w:tc>
          <w:tcPr>
            <w:tcW w:w="0" w:type="auto"/>
          </w:tcPr>
          <w:p w:rsidR="00A35341" w:rsidRPr="00921DCC" w:rsidRDefault="002F26CC">
            <w:pPr>
              <w:pStyle w:val="Compac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HF Scientific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1565.48</w:t>
            </w:r>
          </w:p>
        </w:tc>
        <w:tc>
          <w:tcPr>
            <w:tcW w:w="0" w:type="auto"/>
          </w:tcPr>
          <w:p w:rsidR="00A35341" w:rsidRPr="00921DCC" w:rsidRDefault="002F26CC">
            <w:pPr>
              <w:pStyle w:val="Compact"/>
              <w:jc w:val="right"/>
              <w:rPr>
                <w:sz w:val="22"/>
                <w:szCs w:val="22"/>
              </w:rPr>
            </w:pPr>
            <w:r w:rsidRPr="00921DCC">
              <w:rPr>
                <w:sz w:val="22"/>
                <w:szCs w:val="22"/>
              </w:rPr>
              <w:t>1565.48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lastRenderedPageBreak/>
              <w:t>Lovibond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  <w:jc w:val="right"/>
            </w:pPr>
            <w:r>
              <w:t>1613.36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  <w:jc w:val="right"/>
            </w:pPr>
            <w:r>
              <w:t>1613.36</w:t>
            </w:r>
          </w:p>
        </w:tc>
      </w:tr>
    </w:tbl>
    <w:p w:rsidR="00A35341" w:rsidRPr="0009408C" w:rsidRDefault="0009408C">
      <w:pPr>
        <w:pStyle w:val="BodyText"/>
        <w:rPr>
          <w:b/>
        </w:rPr>
      </w:pPr>
      <w:r>
        <w:rPr>
          <w:b/>
          <w:i/>
        </w:rPr>
        <w:t xml:space="preserve">Detailed </w:t>
      </w:r>
      <w:r w:rsidRPr="0009408C">
        <w:rPr>
          <w:b/>
          <w:i/>
        </w:rPr>
        <w:t>Bus</w:t>
      </w:r>
      <w:r>
        <w:rPr>
          <w:b/>
          <w:i/>
        </w:rPr>
        <w:t>i</w:t>
      </w:r>
      <w:r w:rsidRPr="0009408C">
        <w:rPr>
          <w:b/>
          <w:i/>
        </w:rPr>
        <w:t>ness</w:t>
      </w:r>
      <w:r w:rsidR="002F26CC" w:rsidRPr="0009408C">
        <w:rPr>
          <w:b/>
          <w:i/>
        </w:rPr>
        <w:t xml:space="preserve"> Plan</w:t>
      </w:r>
      <w:r>
        <w:rPr>
          <w:b/>
          <w:i/>
        </w:rPr>
        <w:t>:</w:t>
      </w:r>
    </w:p>
    <w:p w:rsidR="00A35341" w:rsidRDefault="0009408C" w:rsidP="0009408C">
      <w:pPr>
        <w:pStyle w:val="SourceCode"/>
      </w:pPr>
      <w:r>
        <w:rPr>
          <w:rStyle w:val="VerbatimChar"/>
        </w:rPr>
        <w:t xml:space="preserve">    In the first stage, </w:t>
      </w:r>
      <w:r w:rsidR="002F26CC">
        <w:rPr>
          <w:rStyle w:val="VerbatimChar"/>
        </w:rPr>
        <w:t xml:space="preserve">funding is required. Potential funding partner includes school </w:t>
      </w:r>
      <w:r>
        <w:rPr>
          <w:rStyle w:val="VerbatimChar"/>
        </w:rPr>
        <w:t>entrepreneurship</w:t>
      </w:r>
      <w:r w:rsidR="009F6C98">
        <w:rPr>
          <w:rStyle w:val="VerbatimChar"/>
        </w:rPr>
        <w:t xml:space="preserve"> plan and</w:t>
      </w:r>
      <w:r w:rsidR="009F6C98">
        <w:t xml:space="preserve"> Federal and Provincial level</w:t>
      </w:r>
      <w:r w:rsidR="002F26CC">
        <w:t xml:space="preserve"> </w:t>
      </w:r>
      <w:r w:rsidR="009F6C98">
        <w:t xml:space="preserve">government </w:t>
      </w:r>
      <w:r w:rsidR="002F26CC">
        <w:t>funding</w:t>
      </w:r>
      <w:r w:rsidR="009F6C98">
        <w:t xml:space="preserve"> organization for startup</w:t>
      </w:r>
      <w:r w:rsidR="002F26CC">
        <w:t xml:space="preserve"> for </w:t>
      </w:r>
      <w:r>
        <w:rPr>
          <w:rStyle w:val="VerbatimChar"/>
        </w:rPr>
        <w:t>entrepreneurship</w:t>
      </w:r>
      <w:r>
        <w:t xml:space="preserve"> as well</w:t>
      </w:r>
      <w:r w:rsidR="009F6C98">
        <w:t xml:space="preserve">.  T able 2 has listed major government bodies that provides funding. </w:t>
      </w:r>
    </w:p>
    <w:p w:rsidR="00A35341" w:rsidRDefault="0009408C">
      <w:pPr>
        <w:pStyle w:val="TableCaption"/>
      </w:pPr>
      <w:r>
        <w:t xml:space="preserve">Table 2: </w:t>
      </w:r>
      <w:r w:rsidR="002F26CC">
        <w:t>Potential Funding bodies for Turbidity Meter Startup</w:t>
      </w:r>
      <w:r w:rsidR="009F6C98">
        <w:t xml:space="preserve"> [4]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Potential Funding bodies for Turbidity Meter Startup"/>
      </w:tblPr>
      <w:tblGrid>
        <w:gridCol w:w="4730"/>
        <w:gridCol w:w="1563"/>
      </w:tblGrid>
      <w:tr w:rsidR="00A353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35341" w:rsidRDefault="002F26CC">
            <w:pPr>
              <w:pStyle w:val="Compact"/>
            </w:pPr>
            <w:r>
              <w:t>Organization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35341" w:rsidRDefault="002F26CC">
            <w:pPr>
              <w:pStyle w:val="Compact"/>
            </w:pPr>
            <w:r>
              <w:t>Govern_body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BDC Small Business Loan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Federal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BDC Newcomer Entrepreneur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Federal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Canada Small Business Financicing Program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Federal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MaRS Investment Accelerator Fund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Ontario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OCE Market Readiness Program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Ontario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OCE Voucher Programs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Ontario</w:t>
            </w:r>
          </w:p>
        </w:tc>
      </w:tr>
    </w:tbl>
    <w:p w:rsidR="0009408C" w:rsidRDefault="002F26CC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</w:p>
    <w:p w:rsidR="00A35341" w:rsidRPr="009F6C98" w:rsidRDefault="0009408C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     </w:t>
      </w:r>
      <w:r w:rsidR="002F26CC">
        <w:rPr>
          <w:rStyle w:val="VerbatimChar"/>
        </w:rPr>
        <w:t xml:space="preserve">Second stage is </w:t>
      </w:r>
      <w:r>
        <w:rPr>
          <w:rStyle w:val="VerbatimChar"/>
        </w:rPr>
        <w:t>manufacturing</w:t>
      </w:r>
      <w:r w:rsidR="002F26CC">
        <w:rPr>
          <w:rStyle w:val="VerbatimChar"/>
        </w:rPr>
        <w:t xml:space="preserve"> sample step, we will manufacture just a few samples by myself for demostration only. I ca</w:t>
      </w:r>
      <w:r w:rsidR="009F6C98">
        <w:rPr>
          <w:rStyle w:val="VerbatimChar"/>
        </w:rPr>
        <w:t>n just use my garage to assemble</w:t>
      </w:r>
      <w:r w:rsidR="002F26CC">
        <w:rPr>
          <w:rStyle w:val="VerbatimChar"/>
        </w:rPr>
        <w:t xml:space="preserve"> turbidity mete</w:t>
      </w:r>
      <w:r w:rsidR="002F26CC">
        <w:rPr>
          <w:rStyle w:val="VerbatimChar"/>
        </w:rPr>
        <w:t>r</w:t>
      </w:r>
      <w:r w:rsidR="009F6C98">
        <w:rPr>
          <w:rStyle w:val="VerbatimChar"/>
        </w:rPr>
        <w:t xml:space="preserve"> in order to save cost in beginning</w:t>
      </w:r>
      <w:r w:rsidR="002F26CC">
        <w:rPr>
          <w:rStyle w:val="VerbatimChar"/>
        </w:rPr>
        <w:t xml:space="preserve">.  </w:t>
      </w:r>
      <w:r w:rsidR="002F26CC">
        <w:br/>
      </w:r>
      <w:r w:rsidR="002F26CC">
        <w:br/>
      </w:r>
      <w:r w:rsidR="002F26CC">
        <w:rPr>
          <w:rStyle w:val="VerbatimChar"/>
        </w:rPr>
        <w:t xml:space="preserve"> </w:t>
      </w:r>
      <w:r w:rsidR="009F6C98">
        <w:rPr>
          <w:rStyle w:val="VerbatimChar"/>
        </w:rPr>
        <w:t xml:space="preserve"> </w:t>
      </w:r>
      <w:r w:rsidR="00921DCC">
        <w:rPr>
          <w:rStyle w:val="VerbatimChar"/>
        </w:rPr>
        <w:t xml:space="preserve">  </w:t>
      </w:r>
      <w:bookmarkStart w:id="0" w:name="_GoBack"/>
      <w:bookmarkEnd w:id="0"/>
      <w:r w:rsidR="009F6C98">
        <w:rPr>
          <w:rStyle w:val="VerbatimChar"/>
        </w:rPr>
        <w:t xml:space="preserve"> </w:t>
      </w:r>
      <w:r w:rsidR="002F26CC">
        <w:rPr>
          <w:rStyle w:val="VerbatimChar"/>
        </w:rPr>
        <w:t>Third stage is marketing step,</w:t>
      </w:r>
      <w:r w:rsidR="009F6C98">
        <w:rPr>
          <w:rStyle w:val="VerbatimChar"/>
        </w:rPr>
        <w:t xml:space="preserve"> </w:t>
      </w:r>
      <w:r w:rsidR="002F26CC">
        <w:rPr>
          <w:rStyle w:val="VerbatimChar"/>
        </w:rPr>
        <w:t xml:space="preserve">I will call all of </w:t>
      </w:r>
      <w:r w:rsidR="009F6C98">
        <w:rPr>
          <w:rStyle w:val="VerbatimChar"/>
        </w:rPr>
        <w:t>water treatment related companies</w:t>
      </w:r>
      <w:r w:rsidR="002F26CC">
        <w:rPr>
          <w:rStyle w:val="VerbatimChar"/>
        </w:rPr>
        <w:t xml:space="preserve"> to see</w:t>
      </w:r>
      <w:r w:rsidR="009F6C98">
        <w:rPr>
          <w:rStyle w:val="VerbatimChar"/>
        </w:rPr>
        <w:t xml:space="preserve">k for potential customers. Table 3 lists biotechnologies companies and university research labs that might potentially require turbidity meter. </w:t>
      </w:r>
      <w:r w:rsidR="002F26CC">
        <w:rPr>
          <w:rStyle w:val="VerbatimChar"/>
        </w:rPr>
        <w:t>In the early stage, I will send out emails to them or call them to promote this product.</w:t>
      </w:r>
      <w:r w:rsidR="002F26CC">
        <w:rPr>
          <w:rStyle w:val="VerbatimChar"/>
        </w:rPr>
        <w:t xml:space="preserve">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441"/>
        <w:gridCol w:w="2886"/>
        <w:gridCol w:w="2994"/>
      </w:tblGrid>
      <w:tr w:rsidR="00A353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6C98" w:rsidRDefault="009F6C98">
            <w:pPr>
              <w:pStyle w:val="Compact"/>
            </w:pPr>
            <w:r>
              <w:t>Table 3: Potential customers[3]</w:t>
            </w:r>
          </w:p>
          <w:p w:rsidR="00A35341" w:rsidRDefault="002F26CC">
            <w:pPr>
              <w:pStyle w:val="Compact"/>
            </w:pPr>
            <w:r>
              <w:t>Company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35341" w:rsidRDefault="002F26CC">
            <w:pPr>
              <w:pStyle w:val="Compact"/>
            </w:pPr>
            <w:r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35341" w:rsidRDefault="002F26CC">
            <w:pPr>
              <w:pStyle w:val="Compact"/>
            </w:pPr>
            <w:r>
              <w:t>Category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Protected Elsius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Alberta:Calgary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Industry Service &amp; Support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Genome Alberta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Alberta:Calgary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Early stage biotechnology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Xenon Pharmaceuticals Inc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British Columbia:Burnaby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Early stage biotechnology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Takeda Canada Inc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Ontarion:Oakville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Commercial biotechnolgoy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BIOTECanada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Ontario:Ottawa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Industry Organization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MaRS Discovery District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Ontario:Toronto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Incubator &amp; Accelerator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University of Waterloo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Ontario :Waterloo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Research and Academia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Merck Canada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Quebec:Kirkland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Commercial biotechnology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Pfizer Canada Inc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Quebec:Kirkland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Commercial biotechnology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Valeant Canada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Quebec:Montreal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Industry Service &amp; Support</w:t>
            </w:r>
          </w:p>
        </w:tc>
      </w:tr>
      <w:tr w:rsidR="00A35341"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BioAuxilium Research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Quebec:St Laurent</w:t>
            </w:r>
          </w:p>
        </w:tc>
        <w:tc>
          <w:tcPr>
            <w:tcW w:w="0" w:type="auto"/>
          </w:tcPr>
          <w:p w:rsidR="00A35341" w:rsidRDefault="002F26CC">
            <w:pPr>
              <w:pStyle w:val="Compact"/>
            </w:pPr>
            <w:r>
              <w:t>Commercial biotechnology</w:t>
            </w:r>
          </w:p>
        </w:tc>
      </w:tr>
    </w:tbl>
    <w:p w:rsidR="009F6C98" w:rsidRDefault="009F6C98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  </w:t>
      </w:r>
    </w:p>
    <w:p w:rsidR="00A35341" w:rsidRDefault="009F6C98">
      <w:pPr>
        <w:pStyle w:val="SourceCode"/>
      </w:pPr>
      <w:r>
        <w:rPr>
          <w:rStyle w:val="VerbatimChar"/>
        </w:rPr>
        <w:t xml:space="preserve">    </w:t>
      </w:r>
      <w:r w:rsidR="002F26CC">
        <w:rPr>
          <w:rStyle w:val="VerbatimChar"/>
        </w:rPr>
        <w:t xml:space="preserve">Forth stage is to proceed massive manufacture stage. A lab or manufacturing site will be used to manufacture these equipements. </w:t>
      </w:r>
    </w:p>
    <w:p w:rsidR="00A35341" w:rsidRDefault="002F26CC">
      <w:r>
        <w:br w:type="page"/>
      </w:r>
    </w:p>
    <w:p w:rsidR="00A35341" w:rsidRPr="009F6C98" w:rsidRDefault="002F26CC">
      <w:pPr>
        <w:pStyle w:val="FirstParagraph"/>
        <w:rPr>
          <w:b/>
        </w:rPr>
      </w:pPr>
      <w:r w:rsidRPr="009F6C98">
        <w:rPr>
          <w:b/>
        </w:rPr>
        <w:lastRenderedPageBreak/>
        <w:t>Reference</w:t>
      </w:r>
      <w:r w:rsidR="009F6C98" w:rsidRPr="009F6C98">
        <w:rPr>
          <w:b/>
        </w:rPr>
        <w:t>:</w:t>
      </w:r>
    </w:p>
    <w:p w:rsidR="00A35341" w:rsidRDefault="002F26CC">
      <w:pPr>
        <w:pStyle w:val="BodyText"/>
      </w:pPr>
      <w:r>
        <w:t xml:space="preserve">[1] </w:t>
      </w:r>
      <w:hyperlink r:id="rId8">
        <w:r>
          <w:rPr>
            <w:rStyle w:val="Hyperlink"/>
          </w:rPr>
          <w:t>https://www.futuremarke</w:t>
        </w:r>
        <w:r>
          <w:rPr>
            <w:rStyle w:val="Hyperlink"/>
          </w:rPr>
          <w:t>tinsights.com/reports/turbidimeter-market</w:t>
        </w:r>
      </w:hyperlink>
      <w:r>
        <w:t>. 03/05/2020</w:t>
      </w:r>
    </w:p>
    <w:p w:rsidR="00A35341" w:rsidRDefault="002F26CC">
      <w:pPr>
        <w:pStyle w:val="BodyText"/>
      </w:pPr>
      <w:r>
        <w:t xml:space="preserve">[2] </w:t>
      </w:r>
      <w:hyperlink r:id="rId9">
        <w:r>
          <w:rPr>
            <w:rStyle w:val="Hyperlink"/>
          </w:rPr>
          <w:t>https://www.coleparmer.ca/c/turbidity-meters</w:t>
        </w:r>
      </w:hyperlink>
      <w:r>
        <w:t>. 03/05/2020.</w:t>
      </w:r>
    </w:p>
    <w:p w:rsidR="00A35341" w:rsidRDefault="002F26CC">
      <w:pPr>
        <w:pStyle w:val="BodyText"/>
      </w:pPr>
      <w:r>
        <w:t xml:space="preserve">[3] </w:t>
      </w:r>
      <w:hyperlink r:id="rId10">
        <w:r>
          <w:rPr>
            <w:rStyle w:val="Hyperlink"/>
          </w:rPr>
          <w:t>http://www.biotech.ca/</w:t>
        </w:r>
        <w:r>
          <w:rPr>
            <w:rStyle w:val="Hyperlink"/>
          </w:rPr>
          <w:t>biolist/</w:t>
        </w:r>
      </w:hyperlink>
      <w:r>
        <w:t>. 03/05/2020.</w:t>
      </w:r>
    </w:p>
    <w:p w:rsidR="00A35341" w:rsidRDefault="002F26CC">
      <w:pPr>
        <w:pStyle w:val="BodyText"/>
      </w:pPr>
      <w:r>
        <w:t xml:space="preserve">[4] </w:t>
      </w:r>
      <w:hyperlink r:id="rId11" w:history="1">
        <w:r w:rsidR="009F6C98" w:rsidRPr="00412E68">
          <w:rPr>
            <w:rStyle w:val="Hyperlink"/>
          </w:rPr>
          <w:t>https://innovation.ised-isde.canada.ca/s/group-groupe?language=en_CA&amp;token=a0B5W000000ArMcUAK. 03/05/2020</w:t>
        </w:r>
      </w:hyperlink>
    </w:p>
    <w:p w:rsidR="00A35341" w:rsidRDefault="002F26CC">
      <w:pPr>
        <w:pStyle w:val="BodyText"/>
      </w:pPr>
      <w:r>
        <w:t xml:space="preserve">[5] </w:t>
      </w:r>
      <w:hyperlink r:id="rId12">
        <w:r>
          <w:rPr>
            <w:rStyle w:val="Hyperlink"/>
          </w:rPr>
          <w:t>https://www.mentorworks.ca/what-we-offer/government-funding/funding-regions/ontario/</w:t>
        </w:r>
      </w:hyperlink>
      <w:r>
        <w:t xml:space="preserve"> . 03/05/2020</w:t>
      </w:r>
    </w:p>
    <w:sectPr w:rsidR="00A353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6CC" w:rsidRDefault="002F26CC">
      <w:pPr>
        <w:spacing w:after="0"/>
      </w:pPr>
      <w:r>
        <w:separator/>
      </w:r>
    </w:p>
  </w:endnote>
  <w:endnote w:type="continuationSeparator" w:id="0">
    <w:p w:rsidR="002F26CC" w:rsidRDefault="002F26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6CC" w:rsidRDefault="002F26CC">
      <w:r>
        <w:separator/>
      </w:r>
    </w:p>
  </w:footnote>
  <w:footnote w:type="continuationSeparator" w:id="0">
    <w:p w:rsidR="002F26CC" w:rsidRDefault="002F2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034E33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46BA"/>
    <w:rsid w:val="0009408C"/>
    <w:rsid w:val="002F26CC"/>
    <w:rsid w:val="004E29B3"/>
    <w:rsid w:val="00590D07"/>
    <w:rsid w:val="00784D58"/>
    <w:rsid w:val="008D6863"/>
    <w:rsid w:val="008E14F2"/>
    <w:rsid w:val="00921DCC"/>
    <w:rsid w:val="009F6C98"/>
    <w:rsid w:val="00A3534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BE5D"/>
  <w15:docId w15:val="{6DB1B854-585E-4114-958E-8D5A69B3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emarketinsights.com/reports/turbidimeter-mark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mentorworks.ca/what-we-offer/government-funding/funding-regions/ontar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novation.ised-isde.canada.ca/s/group-groupe?language=en_CA&amp;token=a0B5W000000ArMcUAK.%2003/05/20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iotech.ca/bio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leparmer.ca/c/turbidity-me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Jian(Kevin) Lin</dc:creator>
  <cp:keywords/>
  <cp:lastModifiedBy>Kevin Lin</cp:lastModifiedBy>
  <cp:revision>3</cp:revision>
  <dcterms:created xsi:type="dcterms:W3CDTF">2020-03-06T17:16:00Z</dcterms:created>
  <dcterms:modified xsi:type="dcterms:W3CDTF">2020-03-06T20:28:00Z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inst">
    <vt:lpwstr>Kevin</vt:lpwstr>
  </property>
  <property fmtid="{D5CDD505-2E9C-101B-9397-08002B2CF9AE}" pid="4" name="output">
    <vt:lpwstr>word_document</vt:lpwstr>
  </property>
  <property fmtid="{D5CDD505-2E9C-101B-9397-08002B2CF9AE}" pid="5" name="tiitle">
    <vt:lpwstr>ENGG 6150 term Project Proposal</vt:lpwstr>
  </property>
</Properties>
</file>