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rPr>
          <w:b/>
          <w:bCs/>
        </w:rPr>
        <w:br/>
        <w:t xml:space="preserve">DETERMINACIÓN DE AREAS Y PUESTOS DE TRABAJO Y CARGA METABOLICA
</w:t>
      </w:r>
    </w:p>
    <w:p>
      <w: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sectPr>
      <w:headerReference w:type="default" r:id="rId6"/>
      <w:footerReference w:type="default" r:id="rId7"/>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rbrjxcyvo7axpjr9uvr4.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2024-01-15T02:24:09.859Z</dcterms:created>
  <dcterms:modified xsi:type="dcterms:W3CDTF">2024-01-15T02:24:09.860Z</dcterms:modified>
</cp:coreProperties>
</file>

<file path=docProps/custom.xml><?xml version="1.0" encoding="utf-8"?>
<Properties xmlns="http://schemas.openxmlformats.org/officeDocument/2006/custom-properties" xmlns:vt="http://schemas.openxmlformats.org/officeDocument/2006/docPropsVTypes"/>
</file>