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INTRODUCCIÓN</w:t>
      </w:r>
    </w:p>
    <w:p>
      <w:r>
        <w:br/>
        <w:br/>
        <w:t xml:space="preserve">Dada la importancia fundamental y la necesidad de mantener un ambiente de trabajo que permita condiciones de trabajo que garanticen la salud de los trabajadores, se planificó de manera previa la ejecución de un análisis cualicuantitativo  de las condiciones del ambiente de trabajo donde se desarrollan actividades productivas que, de manera general tienen una interacción permanente entre hombre – máquina y el trabajo conjugación fundamental y necesaria  para la obtención de bienes y servicios con  diversidad de procesos donde la importancia del trabajador se hace indispensable para alcanzar la competitividad.</w:t>
      </w:r>
      <w:r>
        <w:br/>
        <w:br/>
        <w:t xml:space="preserve">Es importante reconocer que el hombre en los puestos de trabajo es el elemento fundamental para el desarrollo productivo de toda una organización o empresa, por tal razón deben cuantificar la presencia de contaminantes presentes en los ambientes de trabajo, valorando y evaluando la presencia de condiciones del ambiente laboral donde están inmersos diversidad de personas con diversidad de actitudes y de vulnerabilidad muy variada. 
</w:t>
      </w:r>
      <w:r>
        <w:br/>
        <w:br/>
        <w:t xml:space="preserve">Esta evaluación inicial de riesgos, la que se llevó a cabo en las instalaciones de la empresa Tropigas de Nicaragua S.A., Plantel León, ubicada en el kilómetro 91 ½ Carretera León-Chinandega, el día 27 de diciembre de 2023.
</w:t>
      </w:r>
      <w:r>
        <w:br/>
        <w:br/>
        <w:t xml:space="preserve">Obteniendo un instrumento de diagnóstico Evaluativo que le permita a la empresa la toma de decisiones y de proyecciones estratégicas para establecer las estimaciones que se requieren para el desarrollo de planes de intervención e implementar la mejora continua de las condiciones de trabajo y darle cumplimiento a lo establecido en la legislación laboral vigente del país.</w:t>
      </w:r>
    </w:p>
    <w:p>
      <w:pPr>
        <w:pStyle w:val="Heading2"/>
        <w:pageBreakBefore/>
      </w:pPr>
      <w:r>
        <w:t xml:space="preserve">Objetivos Generales</w:t>
      </w:r>
    </w:p>
    <w:p>
      <w:r>
        <w:t xml:space="preserve">Desarrollar estudio en materia de prevención de riesgos laborales de las instalaciones de la empresa Tropigas de Nicaragua S.A., Plantel León, que permitan la implementación de herramientas que mejoren el rendimiento de los trabajadores, de acuerdo a lo establecido en el artículo 18, numeral 4 y 5, artículo 114 de la Ley general de Higiene y Seguridad del Trabajo.</w:t>
      </w:r>
    </w:p>
    <w:p>
      <w:pPr>
        <w:pStyle w:val="Heading2"/>
      </w:pPr>
      <w:r>
        <w:t xml:space="preserve">Objetivos Específicos</w:t>
      </w:r>
    </w:p>
    <w:p>
      <w:pPr>
        <w:pStyle w:val="ListParagraph"/>
        <w:numPr>
          <w:ilvl w:val="0"/>
          <w:numId w:val="2"/>
        </w:numPr>
      </w:pPr>
      <w:r>
        <w:t xml:space="preserve">Lograr un diagnóstico real y actual de las condiciones de seguridad y salud ocupacional y mapa de riesgo del plantel.</w:t>
      </w:r>
    </w:p>
    <w:p>
      <w:pPr>
        <w:pStyle w:val="ListParagraph"/>
        <w:numPr>
          <w:ilvl w:val="0"/>
          <w:numId w:val="2"/>
        </w:numPr>
      </w:pPr>
      <w:r>
        <w:t xml:space="preserve">Obtener recomendaciones que permita corregir y reducirlos riesgos en materia de Higiene, seguridad y Salud Ocupacional.</w:t>
      </w:r>
    </w:p>
    <w:p>
      <w:pPr>
        <w:pStyle w:val="Heading1"/>
        <w:pageBreakBefore/>
      </w:pPr>
      <w:r>
        <w:t xml:space="preserve">DESCRIPCIÓN DE LA EMPRESA</w:t>
      </w:r>
    </w:p>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p>
      <w:pPr>
        <w:sectPr>
          <w:headerReference w:type="default" r:id="rId6"/>
          <w:footerReference w:type="default" r:id="rId7"/>
          <w:type w:val="continuous"/>
          <w:pgSz w:w="11906" w:h="16838" w:orient="portrait"/>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OFICINAS ADMINISTRATIVAS</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ADMINISTRADOR</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Oscilaciones  en maquinas y equipos</w:t>
            </w:r>
          </w:p>
        </w:tc>
        <w:tc>
          <w:p>
            <w:r>
              <w:t xml:space="preserve">Entorno Físico</w:t>
            </w:r>
          </w:p>
        </w:tc>
        <w:tc>
          <w:p>
            <w:r>
              <w:t xml:space="preserve">Vibraciones</w:t>
            </w:r>
          </w:p>
        </w:tc>
        <w:tc>
          <w:p>
            <w:r>
              <w:t xml:space="preserve">2-20 Hz</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1</w:t>
            </w:r>
          </w:p>
        </w:tc>
        <w:tc>
          <w:p>
            <w:r>
              <w:t xml:space="preserve">50</w:t>
            </w:r>
          </w:p>
        </w:tc>
        <w:tc>
          <w:p>
            <w:r>
              <w:t xml:space="preserve">MEDIA</w:t>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r>
      <w:tr>
        <w:tc>
          <w:p>
            <w:r>
              <w:t xml:space="preserve">Material Particulado en suspensión</w:t>
            </w:r>
          </w:p>
        </w:tc>
        <w:tc>
          <w:p>
            <w:r>
              <w:t xml:space="preserve">Contaminantes</w:t>
            </w:r>
          </w:p>
        </w:tc>
        <w:tc>
          <w:p>
            <w:r>
              <w:t xml:space="preserve">Contaminantes Químicos (Polvo)</w:t>
            </w:r>
          </w:p>
        </w:tc>
        <w:tc>
          <w:p>
            <w:r>
              <w:t xml:space="preserve">T.L.V. (A.C.G.I.H.)</w:t>
            </w:r>
          </w:p>
        </w:tc>
        <w:tc>
          <w:p>
            <w:r>
              <w:t xml:space="preserve">0</w:t>
            </w:r>
          </w:p>
        </w:tc>
        <w:tc>
          <w:p>
            <w:r>
              <w:t xml:space="preserve">1</w:t>
            </w:r>
          </w:p>
        </w:tc>
        <w:tc>
          <w:p>
            <w:r>
              <w:t xml:space="preserve">0</w:t>
            </w:r>
          </w:p>
        </w:tc>
        <w:tc>
          <w:p>
            <w:r>
              <w:t xml:space="preserve">1</w:t>
            </w:r>
          </w:p>
        </w:tc>
        <w:tc>
          <w:p>
            <w:r>
              <w:t xml:space="preserve">1</w:t>
            </w:r>
          </w:p>
        </w:tc>
        <w:tc>
          <w:p>
            <w:r>
              <w:t xml:space="preserve">0</w:t>
            </w:r>
          </w:p>
        </w:tc>
        <w:tc>
          <w:p>
            <w:r>
              <w:t xml:space="preserve">0</w:t>
            </w:r>
          </w:p>
        </w:tc>
        <w:tc>
          <w:p>
            <w:r>
              <w:t xml:space="preserve">0</w:t>
            </w:r>
          </w:p>
        </w:tc>
        <w:tc>
          <w:p>
            <w:r>
              <w:t xml:space="preserve">1</w:t>
            </w:r>
          </w:p>
        </w:tc>
        <w:tc>
          <w:p>
            <w:r>
              <w:t xml:space="preserve">1</w:t>
            </w:r>
          </w:p>
        </w:tc>
        <w:tc>
          <w:p>
            <w:r>
              <w:t xml:space="preserve">30</w:t>
            </w:r>
          </w:p>
        </w:tc>
        <w:tc>
          <w:p>
            <w:r>
              <w:t xml:space="preserve">MEDIA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r>
      <w:tr>
        <w:tc>
          <w:p>
            <w:r>
              <w:t xml:space="preserve">Quimicos vaporizados o en aerosol</w:t>
            </w:r>
          </w:p>
        </w:tc>
        <w:tc>
          <w:p>
            <w:r>
              <w:t xml:space="preserve">Contaminantes</w:t>
            </w:r>
          </w:p>
        </w:tc>
        <w:tc>
          <w:p>
            <w:r>
              <w:t xml:space="preserve">Contaminantes Químicos (Neblina)</w:t>
            </w:r>
          </w:p>
        </w:tc>
        <w:tc>
          <w:p>
            <w:r>
              <w:t xml:space="preserve">T.L.V. (A.C.G.I.H.)</w:t>
            </w:r>
          </w:p>
        </w:tc>
        <w:tc>
          <w:p>
            <w:r>
              <w:t xml:space="preserve">0</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70</w:t>
            </w:r>
          </w:p>
        </w:tc>
        <w:tc>
          <w:p>
            <w:r>
              <w:t xml:space="preserve">ALTA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c>
          <w:p>
            <w:r>
              <w:t xml:space="preserve">X</w:t>
            </w:r>
          </w:p>
        </w:tc>
      </w:tr>
      <w:tr>
        <w:tc>
          <w:p>
            <w:r>
              <w:t xml:space="preserve">Material Particulado en proyección</w:t>
            </w:r>
          </w:p>
        </w:tc>
        <w:tc>
          <w:p>
            <w:r>
              <w:t xml:space="preserve">Condiciones de Seguridad</w:t>
            </w:r>
          </w:p>
        </w:tc>
        <w:tc>
          <w:p>
            <w:r>
              <w:t xml:space="preserve">Proyección de Partículas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Superficies Calientes</w:t>
            </w:r>
          </w:p>
        </w:tc>
        <w:tc>
          <w:p>
            <w:r>
              <w:t xml:space="preserve">Condiciones de Seguridad</w:t>
            </w:r>
          </w:p>
        </w:tc>
        <w:tc>
          <w:p>
            <w:r>
              <w:t xml:space="preserve">Contacto con superficies Calientes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8"/>
          <w:footerReference w:type="default" r:id="rId9"/>
          <w:pgSz w:w="16838" w:h="11906" w:orient="landscape"/>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BOMBA DE INCENDIO</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BOMBA DE INCENDIO</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1</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0</w:t>
            </w:r>
          </w:p>
        </w:tc>
        <w:tc>
          <w:p>
            <w:r>
              <w:t xml:space="preserve">1</w:t>
            </w:r>
          </w:p>
        </w:tc>
        <w:tc>
          <w:p>
            <w:r>
              <w:t xml:space="preserve">20</w:t>
            </w:r>
          </w:p>
        </w:tc>
        <w:tc>
          <w:p>
            <w:r>
              <w:t xml:space="preserve">BAJA</w:t>
            </w:r>
          </w:p>
        </w:tc>
        <w:tc>
          <w:p>
            <w:r>
              <w:t xml:space="preserve"/>
            </w:r>
          </w:p>
        </w:tc>
        <w:tc>
          <w:p>
            <w:r>
              <w:t xml:space="preserve"/>
            </w:r>
          </w:p>
        </w:tc>
        <w:tc>
          <w:p>
            <w:r>
              <w:t xml:space="preserve">X</w:t>
            </w:r>
          </w:p>
        </w:tc>
        <w:tc>
          <w:p>
            <w:r>
              <w:t xml:space="preserve"/>
            </w:r>
          </w:p>
        </w:tc>
        <w:tc>
          <w:p>
            <w:r>
              <w:t xml:space="preserve"/>
            </w:r>
          </w:p>
        </w:tc>
        <w:tc>
          <w:p>
            <w:r>
              <w:t xml:space="preserve">X</w:t>
            </w:r>
          </w:p>
        </w:tc>
        <w:tc>
          <w:p>
            <w:r>
              <w:t xml:space="preserve"/>
            </w:r>
          </w:p>
        </w:tc>
        <w:tc>
          <w:p>
            <w:r>
              <w:t xml:space="preserve"/>
            </w:r>
          </w:p>
        </w:tc>
      </w:tr>
      <w:tr>
        <w:tc>
          <w:p>
            <w:r>
              <w:t xml:space="preserve">Vehiculos, Camiones, Acoplados</w:t>
            </w:r>
          </w:p>
        </w:tc>
        <w:tc>
          <w:p>
            <w:r>
              <w:t xml:space="preserve">Condiciones de Seguridad</w:t>
            </w:r>
          </w:p>
        </w:tc>
        <w:tc>
          <w:p>
            <w:r>
              <w:t xml:space="preserve">Accidente vehicular</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0</w:t>
            </w:r>
          </w:p>
        </w:tc>
        <w:tc>
          <w:p>
            <w:r>
              <w:t xml:space="preserve">1</w:t>
            </w:r>
          </w:p>
        </w:tc>
        <w:tc>
          <w:p>
            <w:r>
              <w:t xml:space="preserve">0</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sectPr>
      <w:headerReference w:type="default" r:id="rId10"/>
      <w:footerReference w:type="default" r:id="rId11"/>
      <w:pgSz w:w="16838" w:h="11906" w:orient="landscape"/>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uu2bgytzguevfy4jqtkaa.png"/></Relationships>
</file>

<file path=word/_rels/header2.xml.rels><?xml version="1.0" encoding="UTF-8"?><Relationships xmlns="http://schemas.openxmlformats.org/package/2006/relationships"><Relationship Id="rId0" Type="http://schemas.openxmlformats.org/officeDocument/2006/relationships/image" Target="media/ujycgcs0lm3jwh1bm8aw-.png"/></Relationships>
</file>

<file path=word/_rels/header3.xml.rels><?xml version="1.0" encoding="UTF-8"?><Relationships xmlns="http://schemas.openxmlformats.org/package/2006/relationships"><Relationship Id="rId0" Type="http://schemas.openxmlformats.org/officeDocument/2006/relationships/image" Target="media/sppndl99nn0izamneccut.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2024-01-18T03:46:47.000Z</dcterms:created>
  <dcterms:modified xsi:type="dcterms:W3CDTF">2024-01-18T03:46:47.000Z</dcterms:modified>
</cp:coreProperties>
</file>

<file path=docProps/custom.xml><?xml version="1.0" encoding="utf-8"?>
<Properties xmlns="http://schemas.openxmlformats.org/officeDocument/2006/custom-properties" xmlns:vt="http://schemas.openxmlformats.org/officeDocument/2006/docPropsVTypes"/>
</file>