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irsig-batch-driver-development-plan"/>
    <w:p>
      <w:pPr>
        <w:pStyle w:val="Heading1"/>
      </w:pPr>
      <w:r>
        <w:t xml:space="preserve">DIRSIG Batch Driver — Development Plan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This project operates in the Space Domain Awareness (SDA) domain — the detection, tracking, and characterization of Resident Space Objects (RSOs) using space-based and ground-based EO sensors. The simulation chain being built generates synthetic imagery of RSOs against an Earth background, providing physics-grounded training data for AI/ML detection and characterization algorithms.</w:t>
      </w:r>
    </w:p>
    <w:p>
      <w:pPr>
        <w:pStyle w:val="BodyText"/>
      </w:pPr>
      <w:r>
        <w:t xml:space="preserve">The goal is a Python-based batch simulation driver that programmatically generates DIRSIG5 input files and invokes</w:t>
      </w:r>
      <w:r>
        <w:t xml:space="preserve"> </w:t>
      </w:r>
      <w:r>
        <w:rPr>
          <w:rStyle w:val="VerbatimChar"/>
        </w:rPr>
        <w:t xml:space="preserve">dirsig5</w:t>
      </w:r>
      <w:r>
        <w:t xml:space="preserve"> </w:t>
      </w:r>
      <w:r>
        <w:t xml:space="preserve">to produce synthetic EO imagery. The primary near-term output is an Earth background canvas in SWIR for use in a synthetic RSO dataset generator. Longer term, the driver will support full parametric sweeps over RSO orbit, attitude, sensor configuration, and atmospheric conditions.</w:t>
      </w:r>
    </w:p>
    <w:p>
      <w:pPr>
        <w:pStyle w:val="BodyText"/>
      </w:pPr>
      <w:r>
        <w:t xml:space="preserve">The driver is built on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, a Python library developed by Rendered.ai in collaboration with RIT’s DIRS Lab that generates DIRSIG input files programmatically. Where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 </w:t>
      </w:r>
      <w:r>
        <w:t xml:space="preserve">does not cover SSA-specific requirements, supplementary modules fill the gap. The Jupyter notebook is the presentation and execution layer — it is both a development artifact and a handoff document.</w:t>
      </w:r>
    </w:p>
    <w:p>
      <w:pPr>
        <w:pStyle w:val="BodyText"/>
      </w:pPr>
      <w:r>
        <w:t xml:space="preserve">You are not writing a GUI replacement. You are writing an orchestration layer that sits above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 </w:t>
      </w:r>
      <w:r>
        <w:t xml:space="preserve">and below</w:t>
      </w:r>
      <w:r>
        <w:t xml:space="preserve"> </w:t>
      </w:r>
      <w:r>
        <w:rPr>
          <w:rStyle w:val="VerbatimChar"/>
        </w:rPr>
        <w:t xml:space="preserve">dirsig5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053e87914806bf7c4be4cfc4ff721e506992219"/>
    <w:p>
      <w:pPr>
        <w:pStyle w:val="Heading2"/>
      </w:pPr>
      <w:r>
        <w:t xml:space="preserve">Phase 0 — Environment Setup and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 </w:t>
      </w:r>
      <w:r>
        <w:t xml:space="preserve">Baseline</w:t>
      </w:r>
    </w:p>
    <w:p>
      <w:pPr>
        <w:pStyle w:val="FirstParagraph"/>
      </w:pPr>
      <w:r>
        <w:t xml:space="preserve">Clone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 </w:t>
      </w:r>
      <w:r>
        <w:t xml:space="preserve">from RIT’s GitLab and</w:t>
      </w:r>
      <w:r>
        <w:t xml:space="preserve"> </w:t>
      </w:r>
      <w:r>
        <w:rPr>
          <w:rStyle w:val="VerbatimChar"/>
        </w:rPr>
        <w:t xml:space="preserve">dirsig-channel</w:t>
      </w:r>
      <w:r>
        <w:t xml:space="preserve"> </w:t>
      </w:r>
      <w:r>
        <w:t xml:space="preserve">from Rendered.ai’s GitHub. Install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 </w:t>
      </w:r>
      <w:r>
        <w:t xml:space="preserve">into the project conda environment. The objective of this phase is to get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 </w:t>
      </w:r>
      <w:r>
        <w:t xml:space="preserve">running against existing, relevant RIT demo scenarios — confirming the library works in your environment and that you understand how it generates the DIRSIG input file set before writing any new code.</w:t>
      </w:r>
    </w:p>
    <w:p>
      <w:pPr>
        <w:pStyle w:val="BodyText"/>
      </w:pPr>
      <w:r>
        <w:t xml:space="preserve">Work through the following demos in order, using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 </w:t>
      </w:r>
      <w:r>
        <w:t xml:space="preserve">to reproduce each programmatically and running the result through</w:t>
      </w:r>
      <w:r>
        <w:t xml:space="preserve"> </w:t>
      </w:r>
      <w:r>
        <w:rPr>
          <w:rStyle w:val="VerbatimChar"/>
        </w:rPr>
        <w:t xml:space="preserve">dirsig5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Ssa2</w:t>
      </w:r>
      <w:r>
        <w:t xml:space="preserve"> </w:t>
      </w:r>
      <w:r>
        <w:t xml:space="preserve">— static orbital scene; introduction to the file structure and radiometry pipeline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FlexibleMotion1</w:t>
      </w:r>
      <w:r>
        <w:t xml:space="preserve"> </w:t>
      </w:r>
      <w:r>
        <w:t xml:space="preserve">— FlexMotion model fundamentals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Ssa1</w:t>
      </w:r>
      <w:r>
        <w:t xml:space="preserve"> </w:t>
      </w:r>
      <w:r>
        <w:t xml:space="preserve">— SGP4-driven RSO, ground-to-space; the primary reference scenario for this project</w:t>
      </w:r>
    </w:p>
    <w:p>
      <w:pPr>
        <w:pStyle w:val="FirstParagraph"/>
      </w:pPr>
      <w:r>
        <w:t xml:space="preserve">The remaining demos (</w:t>
      </w:r>
      <w:r>
        <w:rPr>
          <w:rStyle w:val="VerbatimChar"/>
        </w:rPr>
        <w:t xml:space="preserve">Ssa3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LightCurve1</w:t>
      </w:r>
      <w:r>
        <w:t xml:space="preserve">,</w:t>
      </w:r>
      <w:r>
        <w:t xml:space="preserve"> </w:t>
      </w:r>
      <w:r>
        <w:rPr>
          <w:rStyle w:val="VerbatimChar"/>
        </w:rPr>
        <w:t xml:space="preserve">EarthClouds1</w:t>
      </w:r>
      <w:r>
        <w:t xml:space="preserve">) are deferred to a later phase when the core driver is established. For each demo completed, read every input file and understand which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 </w:t>
      </w:r>
      <w:r>
        <w:t xml:space="preserve">API call produced it. The</w:t>
      </w:r>
      <w:r>
        <w:t xml:space="preserve"> </w:t>
      </w:r>
      <w:r>
        <w:rPr>
          <w:rStyle w:val="VerbatimChar"/>
        </w:rPr>
        <w:t xml:space="preserve">dirsig-channel</w:t>
      </w:r>
      <w:r>
        <w:t xml:space="preserve"> </w:t>
      </w:r>
      <w:r>
        <w:t xml:space="preserve">graph examples are the reference for how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 </w:t>
      </w:r>
      <w:r>
        <w:t xml:space="preserve">is intended to be used — cross-reference them against the RIT demo file sets.</w:t>
      </w:r>
    </w:p>
    <w:p>
      <w:r>
        <w:pict>
          <v:rect style="width:0;height:1.5pt" o:hralign="center" o:hrstd="t" o:hr="t"/>
        </w:pict>
      </w:r>
    </w:p>
    <w:bookmarkEnd w:id="21"/>
    <w:bookmarkStart w:id="22" w:name="phase-0a-baseline-notebook"/>
    <w:p>
      <w:pPr>
        <w:pStyle w:val="Heading2"/>
      </w:pPr>
      <w:r>
        <w:t xml:space="preserve">Phase 0a — Baseline Notebook</w:t>
      </w:r>
    </w:p>
    <w:p>
      <w:pPr>
        <w:pStyle w:val="FirstParagraph"/>
      </w:pPr>
      <w:r>
        <w:t xml:space="preserve">Produce a Jupyter notebook that documents and exercises the Phase 0 work. The notebook serves two purposes: it is a living record of what was learned about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 </w:t>
      </w:r>
      <w:r>
        <w:t xml:space="preserve">during the baseline phase, and it is the foundation that later phases will extend rather than replace.</w:t>
      </w:r>
    </w:p>
    <w:p>
      <w:pPr>
        <w:pStyle w:val="BodyText"/>
      </w:pPr>
      <w:r>
        <w:t xml:space="preserve">Organize it as three sections corresponding to the three demos — one section per scenario. Each section should programmatically invoke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 </w:t>
      </w:r>
      <w:r>
        <w:t xml:space="preserve">to generate the input file set, run</w:t>
      </w:r>
      <w:r>
        <w:t xml:space="preserve"> </w:t>
      </w:r>
      <w:r>
        <w:rPr>
          <w:rStyle w:val="VerbatimChar"/>
        </w:rPr>
        <w:t xml:space="preserve">dirsig5</w:t>
      </w:r>
      <w:r>
        <w:t xml:space="preserve">, and display a representative output frame using</w:t>
      </w:r>
      <w:r>
        <w:t xml:space="preserve"> </w:t>
      </w:r>
      <w:r>
        <w:rPr>
          <w:rStyle w:val="VerbatimChar"/>
        </w:rPr>
        <w:t xml:space="preserve">spectral</w:t>
      </w:r>
      <w:r>
        <w:t xml:space="preserve"> </w:t>
      </w:r>
      <w:r>
        <w:t xml:space="preserve">(SPy) for ENVI raster ingestion. Include brief narrative in markdown cells explaining what each demo demonstrates and which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 </w:t>
      </w:r>
      <w:r>
        <w:t xml:space="preserve">API calls are doing the work.</w:t>
      </w:r>
    </w:p>
    <w:p>
      <w:pPr>
        <w:pStyle w:val="BodyText"/>
      </w:pPr>
      <w:r>
        <w:t xml:space="preserve">The notebook should be runnable end-to-end in a single kernel session without manual intervention.</w:t>
      </w:r>
    </w:p>
    <w:p>
      <w:r>
        <w:pict>
          <v:rect style="width:0;height:1.5pt" o:hralign="center" o:hrstd="t" o:hr="t"/>
        </w:pict>
      </w:r>
    </w:p>
    <w:bookmarkEnd w:id="22"/>
    <w:bookmarkStart w:id="23" w:name="phase-1-dirfm-capability-assessment"/>
    <w:p>
      <w:pPr>
        <w:pStyle w:val="Heading2"/>
      </w:pPr>
      <w:r>
        <w:t xml:space="preserve">Phase 1 —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 </w:t>
      </w:r>
      <w:r>
        <w:t xml:space="preserve">Capability Assessment</w:t>
      </w:r>
    </w:p>
    <w:p>
      <w:pPr>
        <w:pStyle w:val="FirstParagraph"/>
      </w:pPr>
      <w:r>
        <w:rPr>
          <w:rStyle w:val="VerbatimChar"/>
        </w:rPr>
        <w:t xml:space="preserve">dirfm</w:t>
      </w:r>
      <w:r>
        <w:t xml:space="preserve"> </w:t>
      </w:r>
      <w:r>
        <w:t xml:space="preserve">was developed in the context of Rendered.ai’s platform — airborne sensors, visible and VNIR bands, urban and agricultural scenes. Its coverage of SSA-specific capabilities cannot be assumed. This phase answers two questions that gate the rest of the architecture.</w:t>
      </w:r>
    </w:p>
    <w:p>
      <w:pPr>
        <w:pStyle w:val="BodyText"/>
      </w:pPr>
      <w:r>
        <w:rPr>
          <w:bCs/>
          <w:b/>
        </w:rPr>
        <w:t xml:space="preserve">Question 1: FlexMotion coverage.</w:t>
      </w:r>
      <w:r>
        <w:t xml:space="preserve"> </w:t>
      </w:r>
      <w:r>
        <w:t xml:space="preserve">The SSA motion model requires SGP4 propagation from TLE inputs, ECEF coordinate positioning, and quaternion attitude time-series. These are non-negotiable for RSO simulation. To answer this, read the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 </w:t>
      </w:r>
      <w:r>
        <w:t xml:space="preserve">source modules responsible for motion file generation and attempt to configure an</w:t>
      </w:r>
      <w:r>
        <w:t xml:space="preserve"> </w:t>
      </w:r>
      <w:r>
        <w:rPr>
          <w:rStyle w:val="VerbatimChar"/>
        </w:rPr>
        <w:t xml:space="preserve">Ssa1</w:t>
      </w:r>
      <w:r>
        <w:t xml:space="preserve">-equivalent motion description using only the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 </w:t>
      </w:r>
      <w:r>
        <w:t xml:space="preserve">API. If the API exposes the required engines, the gap is closed. If it does not, the gap is characterized precisely enough to scope the supplementary motion module in Phase 2.</w:t>
      </w:r>
    </w:p>
    <w:p>
      <w:pPr>
        <w:pStyle w:val="BodyText"/>
      </w:pPr>
      <w:r>
        <w:rPr>
          <w:bCs/>
          <w:b/>
        </w:rPr>
        <w:t xml:space="preserve">Question 2: SWIR band support.</w:t>
      </w:r>
      <w:r>
        <w:t xml:space="preserve"> </w:t>
      </w:r>
      <w:r>
        <w:t xml:space="preserve">Attempt to configure a SWIR bandpass sensor and atmosphere profile using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’s sensor and atmosphere APIs. The question is whether the library’s abstractions accommodate arbitrary spectral bandpass or are implicitly constrained to visible/VNIR. A successful DIRSIG run producing physically plausible SWIR output closes this question.</w:t>
      </w:r>
    </w:p>
    <w:p>
      <w:pPr>
        <w:pStyle w:val="BodyText"/>
      </w:pPr>
      <w:r>
        <w:t xml:space="preserve">The output of this phase is a written gap report — what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 </w:t>
      </w:r>
      <w:r>
        <w:t xml:space="preserve">covers, what it does not, and what needs to be built. This report drives the scope of Phases 2 and 3.</w:t>
      </w:r>
    </w:p>
    <w:p>
      <w:r>
        <w:pict>
          <v:rect style="width:0;height:1.5pt" o:hralign="center" o:hrstd="t" o:hr="t"/>
        </w:pict>
      </w:r>
    </w:p>
    <w:bookmarkEnd w:id="23"/>
    <w:bookmarkStart w:id="24" w:name="phase-2-motion-module"/>
    <w:p>
      <w:pPr>
        <w:pStyle w:val="Heading2"/>
      </w:pPr>
      <w:r>
        <w:t xml:space="preserve">Phase 2 — Motion Module</w:t>
      </w:r>
    </w:p>
    <w:p>
      <w:pPr>
        <w:pStyle w:val="FirstParagraph"/>
      </w:pPr>
      <w:r>
        <w:t xml:space="preserve">If Phase 1 confirms a gap in FlexMotion coverage, implement a</w:t>
      </w:r>
      <w:r>
        <w:t xml:space="preserve"> </w:t>
      </w:r>
      <w:r>
        <w:rPr>
          <w:rStyle w:val="VerbatimChar"/>
        </w:rPr>
        <w:t xml:space="preserve">FlexMotionWriter</w:t>
      </w:r>
      <w:r>
        <w:t xml:space="preserve"> </w:t>
      </w:r>
      <w:r>
        <w:t xml:space="preserve">module that serializes the SSA-relevant motion model combinations to</w:t>
      </w:r>
      <w:r>
        <w:t xml:space="preserve"> </w:t>
      </w:r>
      <w:r>
        <w:rPr>
          <w:rStyle w:val="VerbatimChar"/>
        </w:rPr>
        <w:t xml:space="preserve">.motion</w:t>
      </w:r>
      <w:r>
        <w:t xml:space="preserve"> </w:t>
      </w:r>
      <w:r>
        <w:t xml:space="preserve">XML. The minimum required engines are SGP4 (TLE input), ECEF waypoints, and quaternion attitude time-series. Validate output XML against the</w:t>
      </w:r>
      <w:r>
        <w:t xml:space="preserve"> </w:t>
      </w:r>
      <w:r>
        <w:rPr>
          <w:rStyle w:val="VerbatimChar"/>
        </w:rPr>
        <w:t xml:space="preserve">Ssa1</w:t>
      </w:r>
      <w:r>
        <w:t xml:space="preserve"> </w:t>
      </w:r>
      <w:r>
        <w:t xml:space="preserve">demo</w:t>
      </w:r>
      <w:r>
        <w:t xml:space="preserve"> </w:t>
      </w:r>
      <w:r>
        <w:rPr>
          <w:rStyle w:val="VerbatimChar"/>
        </w:rPr>
        <w:t xml:space="preserve">.motion</w:t>
      </w:r>
      <w:r>
        <w:t xml:space="preserve"> </w:t>
      </w:r>
      <w:r>
        <w:t xml:space="preserve">file as ground truth — structurally identical output for equivalent inputs is the acceptance criterion.</w:t>
      </w:r>
    </w:p>
    <w:p>
      <w:pPr>
        <w:pStyle w:val="BodyText"/>
      </w:pPr>
      <w:r>
        <w:t xml:space="preserve">This module is intentionally narrow. It generates</w:t>
      </w:r>
      <w:r>
        <w:t xml:space="preserve"> </w:t>
      </w:r>
      <w:r>
        <w:rPr>
          <w:rStyle w:val="VerbatimChar"/>
        </w:rPr>
        <w:t xml:space="preserve">.motion</w:t>
      </w:r>
      <w:r>
        <w:t xml:space="preserve"> </w:t>
      </w:r>
      <w:r>
        <w:t xml:space="preserve">files and nothing else. No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 </w:t>
      </w:r>
      <w:r>
        <w:t xml:space="preserve">functionality is duplicated.</w:t>
      </w:r>
    </w:p>
    <w:p>
      <w:r>
        <w:pict>
          <v:rect style="width:0;height:1.5pt" o:hralign="center" o:hrstd="t" o:hr="t"/>
        </w:pict>
      </w:r>
    </w:p>
    <w:bookmarkEnd w:id="24"/>
    <w:bookmarkStart w:id="25" w:name="phase-3-orchestration-layer"/>
    <w:p>
      <w:pPr>
        <w:pStyle w:val="Heading2"/>
      </w:pPr>
      <w:r>
        <w:t xml:space="preserve">Phase 3 — Orchestration Layer</w:t>
      </w:r>
    </w:p>
    <w:p>
      <w:pPr>
        <w:pStyle w:val="FirstParagraph"/>
      </w:pPr>
      <w:r>
        <w:t xml:space="preserve">Design a</w:t>
      </w:r>
      <w:r>
        <w:t xml:space="preserve"> </w:t>
      </w:r>
      <w:r>
        <w:rPr>
          <w:rStyle w:val="VerbatimChar"/>
        </w:rPr>
        <w:t xml:space="preserve">DirsigScenario</w:t>
      </w:r>
      <w:r>
        <w:t xml:space="preserve"> </w:t>
      </w:r>
      <w:r>
        <w:t xml:space="preserve">dataclass that holds the complete parameter set for a single simulation run — RSO orbit, attitude, sensor configuration, atmosphere profile, collection time window, and output path. Implement two methods: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 </w:t>
      </w:r>
      <w:r>
        <w:t xml:space="preserve">APIs and the Phase 2 motion module to populate a run directory with the complete input file set; and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, which invokes</w:t>
      </w:r>
      <w:r>
        <w:t xml:space="preserve"> </w:t>
      </w:r>
      <w:r>
        <w:rPr>
          <w:rStyle w:val="VerbatimChar"/>
        </w:rPr>
        <w:t xml:space="preserve">dirsig5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with the run directory as the working directory.</w:t>
      </w:r>
    </w:p>
    <w:p>
      <w:pPr>
        <w:pStyle w:val="BodyText"/>
      </w:pPr>
      <w:r>
        <w:t xml:space="preserve">The scope of this layer is orchestration only — no physics logic, no file format knowledge beyond what</w:t>
      </w:r>
      <w:r>
        <w:t xml:space="preserve"> </w:t>
      </w:r>
      <w:r>
        <w:rPr>
          <w:rStyle w:val="VerbatimChar"/>
        </w:rPr>
        <w:t xml:space="preserve">dirfm</w:t>
      </w:r>
      <w:r>
        <w:t xml:space="preserve"> </w:t>
      </w:r>
      <w:r>
        <w:t xml:space="preserve">and the motion module already encapsulate. The</w:t>
      </w:r>
      <w:r>
        <w:t xml:space="preserve"> </w:t>
      </w:r>
      <w:r>
        <w:rPr>
          <w:rStyle w:val="VerbatimChar"/>
        </w:rPr>
        <w:t xml:space="preserve">DirsigScenario</w:t>
      </w:r>
      <w:r>
        <w:t xml:space="preserve"> </w:t>
      </w:r>
      <w:r>
        <w:t xml:space="preserve">is the single object a notebook cell instantiates and executes.</w:t>
      </w:r>
    </w:p>
    <w:p>
      <w:r>
        <w:pict>
          <v:rect style="width:0;height:1.5pt" o:hralign="center" o:hrstd="t" o:hr="t"/>
        </w:pict>
      </w:r>
    </w:p>
    <w:bookmarkEnd w:id="25"/>
    <w:bookmarkStart w:id="26" w:name="phase-4-notebook"/>
    <w:p>
      <w:pPr>
        <w:pStyle w:val="Heading2"/>
      </w:pPr>
      <w:r>
        <w:t xml:space="preserve">Phase 4 — Notebook</w:t>
      </w:r>
    </w:p>
    <w:p>
      <w:pPr>
        <w:pStyle w:val="FirstParagraph"/>
      </w:pPr>
      <w:r>
        <w:t xml:space="preserve">Assemble the complete workflow into a Jupyter notebook organized as independently re-runnable sections: environment validation, a single reference run reproducing</w:t>
      </w:r>
      <w:r>
        <w:t xml:space="preserve"> </w:t>
      </w:r>
      <w:r>
        <w:rPr>
          <w:rStyle w:val="VerbatimChar"/>
        </w:rPr>
        <w:t xml:space="preserve">Ssa1</w:t>
      </w:r>
      <w:r>
        <w:t xml:space="preserve"> </w:t>
      </w:r>
      <w:r>
        <w:t xml:space="preserve">programmatically via</w:t>
      </w:r>
      <w:r>
        <w:t xml:space="preserve"> </w:t>
      </w:r>
      <w:r>
        <w:rPr>
          <w:rStyle w:val="VerbatimChar"/>
        </w:rPr>
        <w:t xml:space="preserve">DirsigScenario</w:t>
      </w:r>
      <w:r>
        <w:t xml:space="preserve">, a small parameter sweep (3 orbits × 2 atmospheres), and output inspection using</w:t>
      </w:r>
      <w:r>
        <w:t xml:space="preserve"> </w:t>
      </w:r>
      <w:r>
        <w:rPr>
          <w:rStyle w:val="VerbatimChar"/>
        </w:rPr>
        <w:t xml:space="preserve">spectral</w:t>
      </w:r>
      <w:r>
        <w:t xml:space="preserve"> </w:t>
      </w:r>
      <w:r>
        <w:t xml:space="preserve">(SPy) for ENVI raster ingestion and display.</w:t>
      </w:r>
    </w:p>
    <w:p>
      <w:pPr>
        <w:pStyle w:val="BodyText"/>
      </w:pPr>
      <w:r>
        <w:t xml:space="preserve">The notebook is the primary handoff artifact. Write it so that a new team member with DIRSIG familiarity can follow the chain from parameters to pixels without additional documentation.</w:t>
      </w:r>
    </w:p>
    <w:bookmarkEnd w:id="26"/>
    <w:bookmarkEnd w:id="27"/>
    <w:sectPr w:rsidR="005F22FF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1771470483" w:numId="1">
    <w:abstractNumId w:val="0"/>
  </w:num>
  <w:num w16cid:durableId="2098013268" w:numId="2">
    <w:abstractNumId w:val="0"/>
  </w:num>
  <w:num w16cid:durableId="141890330" w:numId="3">
    <w:abstractNumId w:val="0"/>
  </w:num>
  <w:num w16cid:durableId="1207837964" w:numId="4">
    <w:abstractNumId w:val="0"/>
  </w:num>
  <w:num w16cid:durableId="1254971926" w:numId="5">
    <w:abstractNumId w:val="0"/>
  </w:num>
  <w:num w16cid:durableId="1850022082" w:numId="6">
    <w:abstractNumId w:val="0"/>
  </w:num>
  <w:num w16cid:durableId="1304626635" w:numId="7">
    <w:abstractNumId w:val="0"/>
  </w:num>
  <w:num w16cid:durableId="876283935" w:numId="8">
    <w:abstractNumId w:val="0"/>
  </w:num>
  <w:num w16cid:durableId="1131484896" w:numId="9">
    <w:abstractNumId w:val="0"/>
  </w:num>
  <w:num w16cid:durableId="1964532221" w:numId="10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5F22FF"/>
  </w:style>
  <w:style w:styleId="Heading1" w:type="paragraph">
    <w:name w:val="heading 1"/>
    <w:basedOn w:val="Normal"/>
    <w:next w:val="Normal"/>
    <w:link w:val="Heading1Char"/>
    <w:uiPriority w:val="9"/>
    <w:qFormat/>
    <w:rsid w:val="005F22FF"/>
    <w:pPr>
      <w:keepNext/>
      <w:keepLines/>
      <w:numPr>
        <w:numId w:val="10"/>
      </w:numPr>
      <w:pBdr>
        <w:bottom w:color="595959" w:space="1" w:sz="4" w:themeColor="text1" w:themeTint="A6" w:val="single"/>
      </w:pBdr>
      <w:spacing w:before="360"/>
      <w:outlineLvl w:val="0"/>
    </w:pPr>
    <w:rPr>
      <w:rFonts w:asciiTheme="majorHAnsi" w:cstheme="majorBidi" w:eastAsiaTheme="majorEastAsia" w:hAnsiTheme="majorHAnsi"/>
      <w:b/>
      <w:bCs/>
      <w:smallCaps/>
      <w:color w:themeColor="text1" w:val="000000"/>
      <w:sz w:val="36"/>
      <w:szCs w:val="36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5F22FF"/>
    <w:pPr>
      <w:keepNext/>
      <w:keepLines/>
      <w:numPr>
        <w:ilvl w:val="1"/>
        <w:numId w:val="10"/>
      </w:numPr>
      <w:spacing w:after="0" w:before="360"/>
      <w:outlineLvl w:val="1"/>
    </w:pPr>
    <w:rPr>
      <w:rFonts w:asciiTheme="majorHAnsi" w:cstheme="majorBidi" w:eastAsiaTheme="majorEastAsia" w:hAnsiTheme="majorHAnsi"/>
      <w:b/>
      <w:bCs/>
      <w:smallCaps/>
      <w:color w:themeColor="text1" w:val="000000"/>
      <w:sz w:val="28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F22FF"/>
    <w:pPr>
      <w:keepNext/>
      <w:keepLines/>
      <w:numPr>
        <w:ilvl w:val="2"/>
        <w:numId w:val="10"/>
      </w:numPr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text1"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5F22FF"/>
    <w:pPr>
      <w:keepNext/>
      <w:keepLines/>
      <w:numPr>
        <w:ilvl w:val="3"/>
        <w:numId w:val="10"/>
      </w:numPr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5F22FF"/>
    <w:pPr>
      <w:keepNext/>
      <w:keepLines/>
      <w:numPr>
        <w:ilvl w:val="4"/>
        <w:numId w:val="10"/>
      </w:numPr>
      <w:spacing w:after="0" w:before="200"/>
      <w:outlineLvl w:val="4"/>
    </w:pPr>
    <w:rPr>
      <w:rFonts w:asciiTheme="majorHAnsi" w:cstheme="majorBidi" w:eastAsiaTheme="majorEastAsia" w:hAnsiTheme="majorHAnsi"/>
      <w:color w:themeColor="text2" w:themeShade="BF" w:val="0A1D3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5F22FF"/>
    <w:pPr>
      <w:keepNext/>
      <w:keepLines/>
      <w:numPr>
        <w:ilvl w:val="5"/>
        <w:numId w:val="10"/>
      </w:numPr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text2" w:themeShade="BF" w:val="0A1D3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5F22FF"/>
    <w:pPr>
      <w:keepNext/>
      <w:keepLines/>
      <w:numPr>
        <w:ilvl w:val="6"/>
        <w:numId w:val="10"/>
      </w:numPr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5F22FF"/>
    <w:pPr>
      <w:keepNext/>
      <w:keepLines/>
      <w:numPr>
        <w:ilvl w:val="7"/>
        <w:numId w:val="10"/>
      </w:numPr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5F22FF"/>
    <w:pPr>
      <w:keepNext/>
      <w:keepLines/>
      <w:numPr>
        <w:ilvl w:val="8"/>
        <w:numId w:val="10"/>
      </w:numPr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5F22FF"/>
    <w:rPr>
      <w:rFonts w:asciiTheme="majorHAnsi" w:cstheme="majorBidi" w:eastAsiaTheme="majorEastAsia" w:hAnsiTheme="majorHAnsi"/>
      <w:b/>
      <w:bCs/>
      <w:smallCaps/>
      <w:color w:themeColor="text1" w:val="000000"/>
      <w:sz w:val="36"/>
      <w:szCs w:val="36"/>
    </w:rPr>
  </w:style>
  <w:style w:customStyle="1" w:styleId="Heading2Char" w:type="character">
    <w:name w:val="Heading 2 Char"/>
    <w:basedOn w:val="DefaultParagraphFont"/>
    <w:link w:val="Heading2"/>
    <w:uiPriority w:val="9"/>
    <w:rsid w:val="005F22FF"/>
    <w:rPr>
      <w:rFonts w:asciiTheme="majorHAnsi" w:cstheme="majorBidi" w:eastAsiaTheme="majorEastAsia" w:hAnsiTheme="majorHAnsi"/>
      <w:b/>
      <w:bCs/>
      <w:smallCaps/>
      <w:color w:themeColor="text1" w:val="000000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5F22FF"/>
    <w:rPr>
      <w:rFonts w:asciiTheme="majorHAnsi" w:cstheme="majorBidi" w:eastAsiaTheme="majorEastAsia" w:hAnsiTheme="majorHAnsi"/>
      <w:b/>
      <w:b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F22FF"/>
    <w:rPr>
      <w:rFonts w:asciiTheme="majorHAnsi" w:cstheme="majorBidi" w:eastAsiaTheme="majorEastAsia" w:hAnsiTheme="majorHAnsi"/>
      <w:b/>
      <w:bCs/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5F22FF"/>
    <w:rPr>
      <w:rFonts w:asciiTheme="majorHAnsi" w:cstheme="majorBidi" w:eastAsiaTheme="majorEastAsia" w:hAnsiTheme="majorHAnsi"/>
      <w:color w:themeColor="text2" w:themeShade="BF" w:val="0A1D3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5F22FF"/>
    <w:rPr>
      <w:rFonts w:asciiTheme="majorHAnsi" w:cstheme="majorBidi" w:eastAsiaTheme="majorEastAsia" w:hAnsiTheme="majorHAnsi"/>
      <w:i/>
      <w:iCs/>
      <w:color w:themeColor="text2" w:themeShade="BF" w:val="0A1D3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5F22F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5F22FF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5F22F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Title" w:type="paragraph">
    <w:name w:val="Title"/>
    <w:basedOn w:val="Normal"/>
    <w:next w:val="Normal"/>
    <w:link w:val="TitleChar"/>
    <w:uiPriority w:val="10"/>
    <w:qFormat/>
    <w:rsid w:val="005F22FF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text1"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5F22FF"/>
    <w:rPr>
      <w:rFonts w:asciiTheme="majorHAnsi" w:cstheme="majorBidi" w:eastAsiaTheme="majorEastAsia" w:hAnsiTheme="majorHAnsi"/>
      <w:color w:themeColor="text1" w:val="000000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5F22FF"/>
    <w:pPr>
      <w:numPr>
        <w:ilvl w:val="1"/>
      </w:numPr>
    </w:pPr>
    <w:rPr>
      <w:color w:themeColor="text1" w:themeTint="A5" w:val="5A5A5A"/>
      <w:spacing w:val="10"/>
    </w:rPr>
  </w:style>
  <w:style w:customStyle="1" w:styleId="SubtitleChar" w:type="character">
    <w:name w:val="Subtitle Char"/>
    <w:basedOn w:val="DefaultParagraphFont"/>
    <w:link w:val="Subtitle"/>
    <w:uiPriority w:val="11"/>
    <w:rsid w:val="005F22FF"/>
    <w:rPr>
      <w:color w:themeColor="text1" w:themeTint="A5" w:val="5A5A5A"/>
      <w:spacing w:val="10"/>
    </w:rPr>
  </w:style>
  <w:style w:styleId="Quote" w:type="paragraph">
    <w:name w:val="Quote"/>
    <w:basedOn w:val="Normal"/>
    <w:next w:val="Normal"/>
    <w:link w:val="QuoteChar"/>
    <w:uiPriority w:val="29"/>
    <w:qFormat/>
    <w:rsid w:val="005F22FF"/>
    <w:pPr>
      <w:spacing w:before="160"/>
      <w:ind w:left="720" w:right="720"/>
    </w:pPr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5F22FF"/>
    <w:rPr>
      <w:i/>
      <w:iCs/>
      <w:color w:themeColor="text1" w:val="000000"/>
    </w:rPr>
  </w:style>
  <w:style w:styleId="ListParagraph" w:type="paragraph">
    <w:name w:val="List Paragraph"/>
    <w:basedOn w:val="Normal"/>
    <w:uiPriority w:val="34"/>
    <w:qFormat/>
    <w:rsid w:val="005F22FF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5F22FF"/>
    <w:rPr>
      <w:b/>
      <w:bCs/>
      <w:i/>
      <w:iCs/>
      <w:cap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F22FF"/>
    <w:pPr>
      <w:pBdr>
        <w:top w:color="F2F2F2" w:space="1" w:sz="24" w:themeColor="background1" w:themeShade="F2" w:val="single"/>
        <w:bottom w:color="F2F2F2" w:space="1" w:sz="24" w:themeColor="background1" w:themeShade="F2" w:val="single"/>
      </w:pBdr>
      <w:shd w:color="auto" w:fill="F2F2F2" w:themeFill="background1" w:themeFillShade="F2" w:val="clear"/>
      <w:spacing w:after="240" w:before="240"/>
      <w:ind w:left="936" w:right="936"/>
      <w:jc w:val="center"/>
    </w:pPr>
    <w:rPr>
      <w:color w:themeColor="text1" w:val="000000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F22FF"/>
    <w:rPr>
      <w:color w:themeColor="text1" w:val="000000"/>
      <w:shd w:color="auto" w:fill="F2F2F2" w:themeFill="background1" w:themeFillShade="F2" w:val="clear"/>
    </w:rPr>
  </w:style>
  <w:style w:styleId="IntenseReference" w:type="character">
    <w:name w:val="Intense Reference"/>
    <w:basedOn w:val="DefaultParagraphFont"/>
    <w:uiPriority w:val="32"/>
    <w:qFormat/>
    <w:rsid w:val="005F22FF"/>
    <w:rPr>
      <w:b/>
      <w:bCs/>
      <w:smallCaps/>
      <w:u w:val="single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5F22FF"/>
    <w:pPr>
      <w:spacing w:after="200" w:line="240" w:lineRule="auto"/>
    </w:pPr>
    <w:rPr>
      <w:i/>
      <w:iCs/>
      <w:color w:themeColor="text2" w:val="0E2841"/>
      <w:sz w:val="18"/>
      <w:szCs w:val="18"/>
    </w:rPr>
  </w:style>
  <w:style w:styleId="Strong" w:type="character">
    <w:name w:val="Strong"/>
    <w:basedOn w:val="DefaultParagraphFont"/>
    <w:uiPriority w:val="22"/>
    <w:qFormat/>
    <w:rsid w:val="005F22FF"/>
    <w:rPr>
      <w:b/>
      <w:bCs/>
      <w:color w:themeColor="text1" w:val="000000"/>
    </w:rPr>
  </w:style>
  <w:style w:styleId="Emphasis" w:type="character">
    <w:name w:val="Emphasis"/>
    <w:basedOn w:val="DefaultParagraphFont"/>
    <w:uiPriority w:val="20"/>
    <w:qFormat/>
    <w:rsid w:val="005F22FF"/>
    <w:rPr>
      <w:i/>
      <w:iCs/>
      <w:color w:val="auto"/>
    </w:rPr>
  </w:style>
  <w:style w:styleId="NoSpacing" w:type="paragraph">
    <w:name w:val="No Spacing"/>
    <w:uiPriority w:val="1"/>
    <w:qFormat/>
    <w:rsid w:val="005F22FF"/>
    <w:pPr>
      <w:spacing w:after="0" w:line="240" w:lineRule="auto"/>
    </w:pPr>
  </w:style>
  <w:style w:styleId="SubtleEmphasis" w:type="character">
    <w:name w:val="Subtle Emphasis"/>
    <w:basedOn w:val="DefaultParagraphFont"/>
    <w:uiPriority w:val="19"/>
    <w:qFormat/>
    <w:rsid w:val="005F22FF"/>
    <w:rPr>
      <w:i/>
      <w:iCs/>
      <w:color w:themeColor="text1" w:themeTint="BF" w:val="404040"/>
    </w:rPr>
  </w:style>
  <w:style w:styleId="SubtleReference" w:type="character">
    <w:name w:val="Subtle Reference"/>
    <w:basedOn w:val="DefaultParagraphFont"/>
    <w:uiPriority w:val="31"/>
    <w:qFormat/>
    <w:rsid w:val="005F22FF"/>
    <w:rPr>
      <w:smallCaps/>
      <w:color w:themeColor="text1" w:themeTint="BF" w:val="404040"/>
      <w:u w:color="7F7F7F" w:themeColor="text1" w:themeTint="80" w:val="single"/>
    </w:rPr>
  </w:style>
  <w:style w:styleId="BookTitle" w:type="character">
    <w:name w:val="Book Title"/>
    <w:basedOn w:val="DefaultParagraphFont"/>
    <w:uiPriority w:val="33"/>
    <w:qFormat/>
    <w:rsid w:val="005F22FF"/>
    <w:rPr>
      <w:b w:val="0"/>
      <w:bCs w:val="0"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5F22FF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60</Characters>
  <Application>Microsoft Office Word</Application>
  <DocSecurity>0</DocSecurity>
  <Lines>4</Lines>
  <Paragraphs>4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2026-07-02T18:15:41Z</dcterms:created>
  <dcterms:modified xsi:type="dcterms:W3CDTF">2026-07-02T18:15:41Z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