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Definición del Sistema</w:t>
      </w:r>
    </w:p>
    <w:tbl>
      <w:tblPr>
        <w:tblStyle w:val="Tablaconcuadrcula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Servicios de Autobuses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SAK.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Descripción del Sistema (qué, quién, cómo, cuándo y dónde)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El sistema consiste en una aplicación que gestione los viajes que ofrece una empresa de autobuses.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 empresa ofrece viajes en autobús a distintos destinos, con diferentes precios.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ofrecen tanto viajes redondos, como tours guiados en una ciudad.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Estos viajes pueden ser modificados por los gestores del sistema, es decir, los administradores serán los que cambien, oferten, eliminen y demás operaciones, sobre los viajes.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Además, los administradores serán los responsables de gestionar la flotilla de autobuses y de conductores.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Estos administradores deberán iniciar sesión para poder hacer uso de la plataforma y de las operaciones sobre los viajes.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conductores también son empleados, sin embargo, no pueden realizar tareas administrativas, únicamente podrán ver los viajes que se les han asignado.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que se deberán almacenar de los empleados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Nombre.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Correo institucional.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Contraseña.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RFC.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Salario.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administradores deberán tener además: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Clave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ID_Administrador.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conductor deberán tener: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Número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Autobuses asignados.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Viaje asignado.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relacionados a los viajes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Origen.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Destino.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Precio.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Fecha.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Distancia.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Tipo (Viaje, Tour).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del camión que se utilizará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Modelo.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Marca.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Capacidad Pasajeros.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Tipo de uso (Viaje o Tour).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Clase (Turista, Ejecutiva, Primera Clase).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Tipo (Monoplaza, Dos pisos, Articulado).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que de podrán hacer sobre la oferta de viajes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Agregar rutas.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Remover rutas.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Cambiar los precios.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Asignar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sobre los conductores: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Contratar nuevo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Despedir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que se harán sobre los autobuses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Comprar nuevo autobús.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Eliminar autobús.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tiene pensado implementar un sistema de Base de datos que almacene toda la información que se está explicando: Empleados, Autobuses en posesión, Oferta de viajes, etc.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 igual manera, se plantea la idea de tener dos aplicaciones principales, una para los administradores, que les permita iniciar sesión a través de sus datos, dándoles acceso a su interfaz con las diferentes operaciones.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Y por otro lado, la aplicación de conductor, que le permitirá visualizar los viajes que le han sido asignados.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README: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Para usar la aplicación, en primera instancia se debe ejecutar el programa “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Inicio”, ubicado en el paquete “dgtic.inicio.principal” para crear la instancia de Agencia.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Este módulo hace uso de Singleton y de la interfaz Serializable para la persistencia de datos.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Posteriormente, se podrá ejecutar la aplicación “InicioAdministrador” ubicada en el paquete “dgtic.inicio.aplicacionAdministrador” para iniciar sesión como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 necesario ingresar como usuario SYS la primera vez que se ejecute esta aplicación. Esto se explica más adelante.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Posteriormente se podrá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ejecutar la aplicación “InicioConductor” en “dgtic.inicio.aplicacionConductor” para poder iniciar sesión como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 aplicación está pensada para tener siempre un administrador existente llamado “sys” simulando un manejador de bases de datos.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Este usuario sys se crea al crearse la agencia y sirve para llevar a cabo las primeras operaciones como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 partir de haber creado más usuarios administradores, se podrá iniciar sesión desde los nuevos usuarios.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El correo del usuario SYS es “</w:t>
            </w:r>
            <w:hyperlink r:id="rId2">
              <w:r>
                <w:rPr>
                  <w:rStyle w:val="InternetLink"/>
                  <w:rFonts w:eastAsia="Calibri" w:cs="Arial" w:ascii="Calibri" w:hAnsi="Calibri"/>
                  <w:b/>
                  <w:color w:val="000000"/>
                  <w:sz w:val="22"/>
                  <w:szCs w:val="22"/>
                  <w:lang w:val="es-MX" w:eastAsia="en-US"/>
                </w:rPr>
                <w:t>sys@sak.com</w:t>
              </w:r>
            </w:hyperlink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” y su contraseña es “system1”, para poder entrar como sys una vez creada la instancia de Agencia.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 aplicación quedó terminada a nivel de pruebas, es decir, funciona pero hacen falta las implementaciones de herramientas gráficas y hacer algunas validaciones en las operaciones de los empleados Administradores.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crean autobuses, administradores, usuarios y destinos en “hard code”.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Sistema que se programará en Java, haciendo uso de sus diversas herramientas para gestionar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Para poder hacer uso de este sistema, el usuario administrador deberá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iniciar la aplicación de administrador con sus datos.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parte administrativa deberá hacer operaciones sobre estructuras de datos para poder simular el control de viajes que se ofrecen (posteriormente será directo a la base de datos).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Y por parte del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conductor</w:t>
            </w: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, solo será necesario iniciar sesión para poder hacer uso de la plataforma.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información debe ser persistente, incluso después de cerrar la aplicación.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de seguridad, se deberán mantener los datos de los clientes de manera íntegra.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no funcionales, se buscará la manera de que el sistema se ejecute de manera óptima en tiempo y espacio.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Que tenga capacidad suficiente para almacenar todos los datos relacionados a los viajes y a los datos de los usuarios.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buscará que sea un sistema amigable e intuitivo, tanto para administradores como para clientes.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El objetivo general del sistema es ofrecer una plataforma que gestione los viajes de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Se busca implementar todo lo visto hasta el momento en el diplomado, con lo que se irán añadiendo funcionalidades según el avance del curso.</w:t>
            </w:r>
          </w:p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szCs w:val="22"/>
                <w:lang w:val="es-MX" w:eastAsia="en-US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szCs w:val="22"/>
                <w:lang w:val="es-MX" w:eastAsia="en-US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851" w:right="851" w:header="1134" w:top="1701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Encabezado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link w:val="Piedepgina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ys@sak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LibreOffice/6.4.7.2$Linux_X86_64 LibreOffice_project/40$Build-2</Application>
  <Pages>4</Pages>
  <Words>863</Words>
  <Characters>4808</Characters>
  <CharactersWithSpaces>5700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2022-06-28T22:52:33Z</dcterms:modified>
  <cp:revision>28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