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DEV-00006</w:t>
      </w:r>
    </w:p>
    <w:p>
      <w:pPr>
        <w:jc w:val="center"/>
      </w:pPr>
      <w:r>
        <w:t>Asignacion original: ASG-2026-00011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USD 1,002.43</w:t>
            </w:r>
          </w:p>
        </w:tc>
        <w:tc>
          <w:tcPr>
            <w:tcW w:type="dxa" w:w="1440"/>
          </w:tcPr>
          <w:p>
            <w:r>
              <w:t>En reparacion</w:t>
            </w:r>
          </w:p>
        </w:tc>
        <w:tc>
          <w:tcPr>
            <w:tcW w:type="dxa" w:w="1440"/>
          </w:tcPr>
          <w:p>
            <w:r>
              <w:t>Modelo: Dc15250 | Serie: JFLF0UHI2YAH | CPU: Intel Core I7 1355u | RAM: 16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Pamela Yamilé Sinchi Guamán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