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DEV-00004</w:t>
      </w:r>
    </w:p>
    <w:p>
      <w:pPr>
        <w:jc w:val="center"/>
      </w:pPr>
      <w:r>
        <w:t>Asignacion original: ASG-2026-00008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27/04/2026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Karol Samantha Caiza Cruz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1785742512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Pasante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Ambiental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ILSA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QUITO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Teclado</w:t>
            </w:r>
          </w:p>
        </w:tc>
        <w:tc>
          <w:tcPr>
            <w:tcW w:type="dxa" w:w="1440"/>
          </w:tcPr>
          <w:p>
            <w:r>
              <w:t>Logitech</w:t>
            </w:r>
          </w:p>
        </w:tc>
        <w:tc>
          <w:tcPr>
            <w:tcW w:type="dxa" w:w="1440"/>
          </w:tcPr>
          <w:p>
            <w:r>
              <w:t>USD 150.00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G Pro X TKL | Serie: Cg4jio0nB5Wx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Karol Samantha Caiza Cruz</w:t>
              <w:br/>
              <w:t>Pasante</w:t>
            </w:r>
          </w:p>
        </w:tc>
        <w:tc>
          <w:tcPr>
            <w:tcW w:type="dxa" w:w="4320"/>
          </w:tcPr>
          <w:p>
            <w:r>
              <w:t>Kevin Vallejo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