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540"/>
              <w:left w:type="dxa" w:w="540"/>
              <w:bottom w:type="dxa" w:w="540"/>
              <w:right w:type="dxa" w:w="540"/>
            </w:tcMar>
          </w:tcPr>
          <w:p>
            <w:pPr>
              <w:spacing w:after="80" w:before="60"/>
              <w:jc w:val="center"/>
            </w:pPr>
            <w:r>
              <w:rPr>
                <w:rFonts w:ascii="Arial" w:cs="Arial" w:eastAsia="Arial" w:hAnsi="Arial"/>
                <w:b/>
                <w:bCs/>
                <w:color w:val="00C853"/>
                <w:sz w:val="60"/>
                <w:szCs w:val="60"/>
              </w:rPr>
              <w:t xml:space="preserve">👑  THE APEX SCRIPT</w:t>
            </w:r>
          </w:p>
          <w:p>
            <w:pPr>
              <w:spacing w:after="80" w:before="60"/>
              <w:jc w:val="center"/>
            </w:pPr>
            <w:r>
              <w:rPr>
                <w:rFonts w:ascii="Arial" w:cs="Arial" w:eastAsia="Arial" w:hAnsi="Arial"/>
                <w:i/>
                <w:iCs/>
                <w:color w:val="FFFFFF"/>
                <w:sz w:val="28"/>
                <w:szCs w:val="28"/>
              </w:rPr>
              <w:t xml:space="preserve">DOE-Proven  •  AI-Synthesised  •  Statistically Confirmed</w:t>
            </w:r>
          </w:p>
          <w:p>
            <w:pPr>
              <w:spacing w:after="100" w:before="40"/>
              <w:jc w:val="center"/>
            </w:pPr>
            <w:r>
              <w:rPr>
                <w:rFonts w:ascii="Arial" w:cs="Arial" w:eastAsia="Arial" w:hAnsi="Arial"/>
                <w:color w:val="A9D0F5"/>
                <w:sz w:val="22"/>
                <w:szCs w:val="22"/>
              </w:rPr>
              <w:t xml:space="preserve">The Capstone of the VoxTrans AI Ecosystem</w:t>
            </w:r>
          </w:p>
        </w:tc>
      </w:tr>
    </w:tbl>
    <w:p>
      <w:pPr>
        <w:spacing w:after="0" w:before="280"/>
      </w:pPr>
      <w:r>
        <w:t xml:space="preserve"/>
      </w:r>
    </w:p>
    <w:p>
      <w:pPr>
        <w:spacing w:after="30" w:before="40"/>
        <w:jc w:val="center"/>
      </w:pPr>
      <w:r>
        <w:rPr>
          <w:rFonts w:ascii="Arial" w:cs="Arial" w:eastAsia="Arial" w:hAnsi="Arial"/>
          <w:i/>
          <w:iCs/>
          <w:color w:val="555555"/>
          <w:sz w:val="22"/>
          <w:szCs w:val="22"/>
        </w:rPr>
        <w:t xml:space="preserve">Apex Script Generator  +  Master Ecosystem Summary</w:t>
      </w:r>
    </w:p>
    <w:p>
      <w:pPr>
        <w:spacing w:after="60" w:before="30"/>
        <w:jc w:val="center"/>
      </w:pPr>
      <w:r>
        <w:rPr>
          <w:rFonts w:ascii="Arial" w:cs="Arial" w:eastAsia="Arial" w:hAnsi="Arial"/>
          <w:color w:val="555555"/>
          <w:sz w:val="20"/>
          <w:szCs w:val="20"/>
        </w:rPr>
        <w:t xml:space="preserve">Kevin  |  Six Sigma Black Belt  |  VP Technical Sales &amp; Innovation  |  May 2026</w:t>
      </w:r>
    </w:p>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FFFFFF"/>
                <w:sz w:val="18"/>
                <w:szCs w:val="18"/>
              </w:rPr>
              <w:t xml:space="preserve">VoxTrans AI</w:t>
            </w:r>
          </w:p>
        </w:tc>
        <w:tc>
          <w:tcPr>
            <w:tcW w:type="dxa" w:w="1560"/>
            <w:tcBorders>
              <w:top w:val="none" w:color="FFFFFF" w:sz="0"/>
              <w:left w:val="none" w:color="FFFFFF" w:sz="0"/>
              <w:bottom w:val="none" w:color="FFFFFF" w:sz="0"/>
              <w:right w:val="none" w:color="FFFFFF" w:sz="0"/>
            </w:tcBorders>
            <w:shd w:fill="006B6B" w:val="clear"/>
            <w:tcMar>
              <w:top w:type="dxa" w:w="120"/>
              <w:left w:type="dxa" w:w="80"/>
              <w:bottom w:type="dxa" w:w="12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FFFFFF"/>
                <w:sz w:val="18"/>
                <w:szCs w:val="18"/>
              </w:rPr>
              <w:t xml:space="preserve">IdeaVault</w:t>
            </w:r>
          </w:p>
        </w:tc>
        <w:tc>
          <w:tcPr>
            <w:tcW w:type="dxa" w:w="1560"/>
            <w:tcBorders>
              <w:top w:val="none" w:color="FFFFFF" w:sz="0"/>
              <w:left w:val="none" w:color="FFFFFF" w:sz="0"/>
              <w:bottom w:val="none" w:color="FFFFFF" w:sz="0"/>
              <w:right w:val="none" w:color="FFFFFF" w:sz="0"/>
            </w:tcBorders>
            <w:shd w:fill="5B2C8D" w:val="clear"/>
            <w:tcMar>
              <w:top w:type="dxa" w:w="120"/>
              <w:left w:type="dxa" w:w="80"/>
              <w:bottom w:type="dxa" w:w="12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FFFFFF"/>
                <w:sz w:val="18"/>
                <w:szCs w:val="18"/>
              </w:rPr>
              <w:t xml:space="preserve">SigmaVault</w:t>
            </w:r>
          </w:p>
        </w:tc>
        <w:tc>
          <w:tcPr>
            <w:tcW w:type="dxa" w:w="1560"/>
            <w:tcBorders>
              <w:top w:val="none" w:color="FFFFFF" w:sz="0"/>
              <w:left w:val="none" w:color="FFFFFF" w:sz="0"/>
              <w:bottom w:val="none" w:color="FFFFFF" w:sz="0"/>
              <w:right w:val="none" w:color="FFFFFF" w:sz="0"/>
            </w:tcBorders>
            <w:shd w:fill="1C2B2B" w:val="clear"/>
            <w:tcMar>
              <w:top w:type="dxa" w:w="120"/>
              <w:left w:type="dxa" w:w="80"/>
              <w:bottom w:type="dxa" w:w="12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FFFFFF"/>
                <w:sz w:val="18"/>
                <w:szCs w:val="18"/>
              </w:rPr>
              <w:t xml:space="preserve">SalesForge</w:t>
            </w:r>
          </w:p>
        </w:tc>
        <w:tc>
          <w:tcPr>
            <w:tcW w:type="dxa" w:w="1560"/>
            <w:tcBorders>
              <w:top w:val="none" w:color="FFFFFF" w:sz="0"/>
              <w:left w:val="none" w:color="FFFFFF" w:sz="0"/>
              <w:bottom w:val="none" w:color="FFFFFF" w:sz="0"/>
              <w:right w:val="none" w:color="FFFFFF" w:sz="0"/>
            </w:tcBorders>
            <w:shd w:fill="0A5C0A" w:val="clear"/>
            <w:tcMar>
              <w:top w:type="dxa" w:w="120"/>
              <w:left w:type="dxa" w:w="80"/>
              <w:bottom w:type="dxa" w:w="12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FFFFFF"/>
                <w:sz w:val="18"/>
                <w:szCs w:val="18"/>
              </w:rPr>
              <w:t xml:space="preserve">DOE Optimiser</w:t>
            </w:r>
          </w:p>
        </w:tc>
        <w:tc>
          <w:tcPr>
            <w:tcW w:type="dxa" w:w="1560"/>
            <w:tcBorders>
              <w:top w:val="none" w:color="FFFFFF" w:sz="0"/>
              <w:left w:val="none" w:color="FFFFFF" w:sz="0"/>
              <w:bottom w:val="none" w:color="FFFFFF" w:sz="0"/>
              <w:right w:val="none" w:color="FFFFFF" w:sz="0"/>
            </w:tcBorders>
            <w:shd w:fill="9B1C1C" w:val="clear"/>
            <w:tcMar>
              <w:top w:type="dxa" w:w="120"/>
              <w:left w:type="dxa" w:w="80"/>
              <w:bottom w:type="dxa" w:w="120"/>
              <w:right w:type="dxa" w:w="80"/>
            </w:tcMar>
          </w:tcPr>
          <w:p>
            <w:pPr>
              <w:jc w:val="center"/>
            </w:pPr>
            <w:r>
              <w:rPr>
                <w:rFonts w:ascii="Arial" w:cs="Arial" w:eastAsia="Arial" w:hAnsi="Arial"/>
                <w:sz w:val="28"/>
                <w:szCs w:val="28"/>
              </w:rPr>
              <w:t xml:space="preserve">👑</w:t>
            </w:r>
          </w:p>
          <w:p>
            <w:pPr>
              <w:spacing w:before="40"/>
              <w:jc w:val="center"/>
            </w:pPr>
            <w:r>
              <w:rPr>
                <w:rFonts w:ascii="Arial" w:cs="Arial" w:eastAsia="Arial" w:hAnsi="Arial"/>
                <w:b/>
                <w:bCs/>
                <w:color w:val="FFFFFF"/>
                <w:sz w:val="18"/>
                <w:szCs w:val="18"/>
              </w:rPr>
              <w:t xml:space="preserve">Apex Script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jc w:val="center"/>
            </w:pPr>
            <w:r>
              <w:rPr>
                <w:rFonts w:ascii="Arial" w:cs="Arial" w:eastAsia="Arial" w:hAnsi="Arial"/>
                <w:i/>
                <w:iCs/>
                <w:color w:val="FFFFFF"/>
                <w:sz w:val="24"/>
                <w:szCs w:val="24"/>
              </w:rPr>
              <w:t xml:space="preserve">"Every call recorded. Every insight captured. Every pattern validated. One killer script proven."</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The Apex Script — The Full Circle</w:t>
      </w:r>
    </w:p>
    <w:p>
      <w:pPr>
        <w:spacing w:after="80" w:before="60"/>
      </w:pPr>
      <w:r>
        <w:rPr>
          <w:rFonts w:ascii="Arial" w:cs="Arial" w:eastAsia="Arial" w:hAnsi="Arial"/>
          <w:color w:val="1A1A2E"/>
          <w:sz w:val="22"/>
          <w:szCs w:val="22"/>
        </w:rPr>
        <w:t xml:space="preserve">Kevin, this is the moment everything in the ecosystem pays off. Every recorded call, every extracted idea, every root cause analysis, every hypothesis test, every DOE run — all of it has been building toward a single output: one statistically proven, AI-synthesised, continuously improving script that represents the absolute best your sales intelligence can produce.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What the Apex Script Is</w:t>
            </w:r>
          </w:p>
          <w:p>
            <w:pPr>
              <w:spacing w:after="36" w:before="36"/>
            </w:pPr>
            <w:r>
              <w:rPr>
                <w:rFonts w:ascii="Arial" w:cs="Arial" w:eastAsia="Arial" w:hAnsi="Arial"/>
                <w:color w:val="FFFFFF"/>
                <w:sz w:val="20"/>
                <w:szCs w:val="20"/>
              </w:rPr>
              <w:t xml:space="preserve">The Apex Script is not written by a copywriter, a sales trainer, or an AI guessing at best practice.</w:t>
            </w:r>
          </w:p>
          <w:p>
            <w:pPr>
              <w:spacing w:after="36" w:before="36"/>
            </w:pPr>
            <w:r>
              <w:rPr>
                <w:rFonts w:ascii="Arial" w:cs="Arial" w:eastAsia="Arial" w:hAnsi="Arial"/>
                <w:color w:val="FFFFFF"/>
                <w:sz w:val="20"/>
                <w:szCs w:val="20"/>
              </w:rPr>
              <w:t xml:space="preserve">It is assembled from the specific language patterns, question sequences, objection handlers, and</w:t>
            </w:r>
          </w:p>
          <w:p>
            <w:pPr>
              <w:spacing w:after="36" w:before="36"/>
            </w:pPr>
            <w:r>
              <w:rPr>
                <w:rFonts w:ascii="Arial" w:cs="Arial" w:eastAsia="Arial" w:hAnsi="Arial"/>
                <w:color w:val="FFFFFF"/>
                <w:sz w:val="20"/>
                <w:szCs w:val="20"/>
              </w:rPr>
              <w:t xml:space="preserve">structural combinations that Kevin's own data has proven — through controlled experimentation —</w:t>
            </w:r>
          </w:p>
          <w:p>
            <w:pPr>
              <w:spacing w:after="36" w:before="36"/>
            </w:pPr>
            <w:r>
              <w:rPr>
                <w:rFonts w:ascii="Arial" w:cs="Arial" w:eastAsia="Arial" w:hAnsi="Arial"/>
                <w:color w:val="FFFFFF"/>
                <w:sz w:val="20"/>
                <w:szCs w:val="20"/>
              </w:rPr>
              <w:t xml:space="preserve">to produce the highest conversion rate with statistical confidence.</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It is then tested in a formal DOE confirmation run and awarded a Sigma Rating before it is</w:t>
            </w:r>
          </w:p>
          <w:p>
            <w:pPr>
              <w:spacing w:after="36" w:before="36"/>
            </w:pPr>
            <w:r>
              <w:rPr>
                <w:rFonts w:ascii="Arial" w:cs="Arial" w:eastAsia="Arial" w:hAnsi="Arial"/>
                <w:color w:val="FFFFFF"/>
                <w:sz w:val="20"/>
                <w:szCs w:val="20"/>
              </w:rPr>
              <w:t xml:space="preserve">deployed as the team standard. It improves automatically as new data arrives.</w:t>
            </w:r>
          </w:p>
          <w:p>
            <w:pPr>
              <w:spacing w:after="36" w:before="36"/>
            </w:pPr>
            <w:r>
              <w:rPr>
                <w:rFonts w:ascii="Arial" w:cs="Arial" w:eastAsia="Arial" w:hAnsi="Arial"/>
                <w:color w:val="FFFFFF"/>
                <w:sz w:val="20"/>
                <w:szCs w:val="20"/>
              </w:rPr>
              <w:t xml:space="preserve">It is the only sales script in the world built on your own evidence.</w:t>
            </w:r>
          </w:p>
        </w:tc>
      </w:tr>
    </w:tbl>
    <w:p>
      <w:pPr>
        <w:spacing w:after="0" w:before="180"/>
      </w:pPr>
      <w:r>
        <w:t xml:space="preserve"/>
      </w:r>
    </w:p>
    <w:p>
      <w:pPr>
        <w:spacing w:after="80" w:before="60"/>
      </w:pPr>
      <w:r>
        <w:rPr>
          <w:rFonts w:ascii="Arial" w:cs="Arial" w:eastAsia="Arial" w:hAnsi="Arial"/>
          <w:color w:val="1A1A2E"/>
          <w:sz w:val="22"/>
          <w:szCs w:val="22"/>
        </w:rPr>
        <w:t xml:space="preserve">The Apex Script Generator is the capstone module of the VoxTrans AI ecosystem. It sits above SalesForge and consumes the output of the DOE Optimiser — taking the proven optimal factor settings and synthesising them, with the AI, into a coherent, natural, professional script that a rep can actually speak.</w:t>
      </w:r>
    </w:p>
    <w:p>
      <w:r>
        <w:br w:type="page"/>
      </w:r>
    </w:p>
    <w:p>
      <w:pPr>
        <w:pStyle w:val="Heading1"/>
        <w:spacing w:after="180" w:before="360"/>
      </w:pPr>
      <w:r>
        <w:rPr>
          <w:rFonts w:ascii="Arial" w:cs="Arial" w:eastAsia="Arial" w:hAnsi="Arial"/>
          <w:b/>
          <w:bCs/>
          <w:color w:val="1F4E79"/>
          <w:sz w:val="32"/>
          <w:szCs w:val="32"/>
        </w:rPr>
        <w:t xml:space="preserve">2.  How the Apex Script Is Built — The Six-Source Synthesis</w:t>
      </w:r>
    </w:p>
    <w:p>
      <w:pPr>
        <w:spacing w:after="80" w:before="60"/>
      </w:pPr>
      <w:r>
        <w:rPr>
          <w:rFonts w:ascii="Arial" w:cs="Arial" w:eastAsia="Arial" w:hAnsi="Arial"/>
          <w:color w:val="1A1A2E"/>
          <w:sz w:val="22"/>
          <w:szCs w:val="22"/>
        </w:rPr>
        <w:t xml:space="preserve">The AI draws on six distinct data sources simultaneously when synthesising the Apex Script. Each source contributes a specific layer — together they produce something no single source could generate alone.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60"/>
        <w:gridCol w:w="34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r>
              <w:rPr>
                <w:rFonts w:ascii="Arial" w:cs="Arial" w:eastAsia="Arial" w:hAnsi="Arial"/>
                <w:b/>
                <w:bCs/>
                <w:color w:val="FFFFFF"/>
                <w:sz w:val="19"/>
                <w:szCs w:val="19"/>
              </w:rPr>
              <w:t xml:space="preserve">#</w:t>
            </w:r>
          </w:p>
        </w:tc>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r>
              <w:rPr>
                <w:rFonts w:ascii="Arial" w:cs="Arial" w:eastAsia="Arial" w:hAnsi="Arial"/>
                <w:b/>
                <w:bCs/>
                <w:color w:val="FFFFFF"/>
                <w:sz w:val="19"/>
                <w:szCs w:val="19"/>
              </w:rPr>
              <w:t xml:space="preserve">Source Module</w:t>
            </w:r>
          </w:p>
        </w:tc>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r>
              <w:rPr>
                <w:rFonts w:ascii="Arial" w:cs="Arial" w:eastAsia="Arial" w:hAnsi="Arial"/>
                <w:b/>
                <w:bCs/>
                <w:color w:val="FFFFFF"/>
                <w:sz w:val="19"/>
                <w:szCs w:val="19"/>
              </w:rPr>
              <w:t xml:space="preserve">What It Contributes</w:t>
            </w:r>
          </w:p>
        </w:tc>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r>
              <w:rPr>
                <w:rFonts w:ascii="Arial" w:cs="Arial" w:eastAsia="Arial" w:hAnsi="Arial"/>
                <w:b/>
                <w:bCs/>
                <w:color w:val="FFFFFF"/>
                <w:sz w:val="19"/>
                <w:szCs w:val="19"/>
              </w:rPr>
              <w:t xml:space="preserve">Example Input to Script</w:t>
            </w:r>
          </w:p>
        </w:tc>
      </w:tr>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00C853"/>
                <w:sz w:val="19"/>
                <w:szCs w:val="19"/>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1F4E79"/>
                <w:sz w:val="19"/>
                <w:szCs w:val="19"/>
              </w:rPr>
              <w:t xml:space="preserve">DOE Optimiser</w:t>
            </w:r>
          </w:p>
        </w:tc>
        <w:tc>
          <w:tcPr>
            <w:tcW w:type="dxa" w:w="3260"/>
            <w:tcBorders>
              <w:top w:val="single" w:color="CCCCCC" w:sz="1"/>
              <w:left w:val="single" w:color="CCCCCC" w:sz="1"/>
              <w:bottom w:val="single" w:color="CCCCCC" w:sz="1"/>
              <w:right w:val="single" w:color="CCCCCC" w:sz="1"/>
            </w:tcBorders>
            <w:shd w:fill="F2F7FB" w:val="clear"/>
            <w:tcMar>
              <w:top w:type="dxa" w:w="80"/>
              <w:left w:type="dxa" w:w="100"/>
              <w:bottom w:type="dxa" w:w="80"/>
              <w:right w:type="dxa" w:w="80"/>
            </w:tcMar>
          </w:tcPr>
          <w:p>
            <w:r>
              <w:rPr>
                <w:rFonts w:ascii="Arial" w:cs="Arial" w:eastAsia="Arial" w:hAnsi="Arial"/>
                <w:color w:val="1A1A2E"/>
                <w:sz w:val="19"/>
                <w:szCs w:val="19"/>
              </w:rPr>
              <w:t xml:space="preserve">Structural blueprint — the proven optimal sequence of factors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i/>
                <w:iCs/>
                <w:color w:val="555555"/>
                <w:sz w:val="18"/>
                <w:szCs w:val="18"/>
              </w:rPr>
              <w:t xml:space="preserve">TCO opening first, price deferred until min 8, 24h follow-up commitment</w:t>
            </w:r>
          </w:p>
        </w:tc>
      </w:tr>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00C853"/>
                <w:sz w:val="19"/>
                <w:szCs w:val="19"/>
              </w:rPr>
              <w:t xml:space="preserve">2</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1F4E79"/>
                <w:sz w:val="19"/>
                <w:szCs w:val="19"/>
              </w:rPr>
              <w:t xml:space="preserve">SalesForge — Won Calls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00"/>
              <w:bottom w:type="dxa" w:w="80"/>
              <w:right w:type="dxa" w:w="80"/>
            </w:tcMar>
          </w:tcPr>
          <w:p>
            <w:r>
              <w:rPr>
                <w:rFonts w:ascii="Arial" w:cs="Arial" w:eastAsia="Arial" w:hAnsi="Arial"/>
                <w:color w:val="1A1A2E"/>
                <w:sz w:val="19"/>
                <w:szCs w:val="19"/>
              </w:rPr>
              <w:t xml:space="preserve">Exact language from winning calls — phrases, transitions, rhythm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i/>
                <w:iCs/>
                <w:color w:val="555555"/>
                <w:sz w:val="18"/>
                <w:szCs w:val="18"/>
              </w:rPr>
              <w:t xml:space="preserve">Verbatim phrases that appeared in 80%+ of converted calls</w:t>
            </w:r>
          </w:p>
        </w:tc>
      </w:tr>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00C853"/>
                <w:sz w:val="19"/>
                <w:szCs w:val="19"/>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1F4E79"/>
                <w:sz w:val="19"/>
                <w:szCs w:val="19"/>
              </w:rPr>
              <w:t xml:space="preserve">IdeaVault VOC Cards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00"/>
              <w:bottom w:type="dxa" w:w="80"/>
              <w:right w:type="dxa" w:w="80"/>
            </w:tcMar>
          </w:tcPr>
          <w:p>
            <w:r>
              <w:rPr>
                <w:rFonts w:ascii="Arial" w:cs="Arial" w:eastAsia="Arial" w:hAnsi="Arial"/>
                <w:color w:val="1A1A2E"/>
                <w:sz w:val="19"/>
                <w:szCs w:val="19"/>
              </w:rPr>
              <w:t xml:space="preserve">Customer's own vocabulary — the words they use for their problems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i/>
                <w:iCs/>
                <w:color w:val="555555"/>
                <w:sz w:val="18"/>
                <w:szCs w:val="18"/>
              </w:rPr>
              <w:t xml:space="preserve">'Capacity fade', 'float charging losses', 'total cost over cycle life'</w:t>
            </w:r>
          </w:p>
        </w:tc>
      </w:tr>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00C853"/>
                <w:sz w:val="19"/>
                <w:szCs w:val="19"/>
              </w:rPr>
              <w:t xml:space="preserve">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1F4E79"/>
                <w:sz w:val="19"/>
                <w:szCs w:val="19"/>
              </w:rPr>
              <w:t xml:space="preserve">SigmaVault — 5 Whys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00"/>
              <w:bottom w:type="dxa" w:w="80"/>
              <w:right w:type="dxa" w:w="80"/>
            </w:tcMar>
          </w:tcPr>
          <w:p>
            <w:r>
              <w:rPr>
                <w:rFonts w:ascii="Arial" w:cs="Arial" w:eastAsia="Arial" w:hAnsi="Arial"/>
                <w:color w:val="1A1A2E"/>
                <w:sz w:val="19"/>
                <w:szCs w:val="19"/>
              </w:rPr>
              <w:t xml:space="preserve">Root-cause-based objection handling — addresses causes, not symptoms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i/>
                <w:iCs/>
                <w:color w:val="555555"/>
                <w:sz w:val="18"/>
                <w:szCs w:val="18"/>
              </w:rPr>
              <w:t xml:space="preserve">Pre-empts pricing objection with TCO frame before it arises</w:t>
            </w:r>
          </w:p>
        </w:tc>
      </w:tr>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00C853"/>
                <w:sz w:val="19"/>
                <w:szCs w:val="19"/>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1F4E79"/>
                <w:sz w:val="19"/>
                <w:szCs w:val="19"/>
              </w:rPr>
              <w:t xml:space="preserve">SigmaVault — CTQ Tree</w:t>
            </w:r>
          </w:p>
        </w:tc>
        <w:tc>
          <w:tcPr>
            <w:tcW w:type="dxa" w:w="3260"/>
            <w:tcBorders>
              <w:top w:val="single" w:color="CCCCCC" w:sz="1"/>
              <w:left w:val="single" w:color="CCCCCC" w:sz="1"/>
              <w:bottom w:val="single" w:color="CCCCCC" w:sz="1"/>
              <w:right w:val="single" w:color="CCCCCC" w:sz="1"/>
            </w:tcBorders>
            <w:shd w:fill="F2F7FB" w:val="clear"/>
            <w:tcMar>
              <w:top w:type="dxa" w:w="80"/>
              <w:left w:type="dxa" w:w="100"/>
              <w:bottom w:type="dxa" w:w="80"/>
              <w:right w:type="dxa" w:w="80"/>
            </w:tcMar>
          </w:tcPr>
          <w:p>
            <w:r>
              <w:rPr>
                <w:rFonts w:ascii="Arial" w:cs="Arial" w:eastAsia="Arial" w:hAnsi="Arial"/>
                <w:color w:val="1A1A2E"/>
                <w:sz w:val="19"/>
                <w:szCs w:val="19"/>
              </w:rPr>
              <w:t xml:space="preserve">Measurable value statements mapped directly to customer requirements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i/>
                <w:iCs/>
                <w:color w:val="555555"/>
                <w:sz w:val="18"/>
                <w:szCs w:val="18"/>
              </w:rPr>
              <w:t xml:space="preserve">Specific numbers: '400-cycle life', '6-week delivery', 'same-day technical response'</w:t>
            </w:r>
          </w:p>
        </w:tc>
      </w:tr>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00C853"/>
                <w:sz w:val="19"/>
                <w:szCs w:val="19"/>
              </w:rPr>
              <w:t xml:space="preserve">6</w:t>
            </w:r>
          </w:p>
        </w:tc>
        <w:tc>
          <w:tcPr>
            <w:tcW w:type="dxa" w:w="22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80"/>
            </w:tcMar>
          </w:tcPr>
          <w:p>
            <w:r>
              <w:rPr>
                <w:rFonts w:ascii="Arial" w:cs="Arial" w:eastAsia="Arial" w:hAnsi="Arial"/>
                <w:b/>
                <w:bCs/>
                <w:color w:val="1F4E79"/>
                <w:sz w:val="19"/>
                <w:szCs w:val="19"/>
              </w:rPr>
              <w:t xml:space="preserve">SalesForge — Lost Calls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00"/>
              <w:bottom w:type="dxa" w:w="80"/>
              <w:right w:type="dxa" w:w="80"/>
            </w:tcMar>
          </w:tcPr>
          <w:p>
            <w:r>
              <w:rPr>
                <w:rFonts w:ascii="Arial" w:cs="Arial" w:eastAsia="Arial" w:hAnsi="Arial"/>
                <w:color w:val="1A1A2E"/>
                <w:sz w:val="19"/>
                <w:szCs w:val="19"/>
              </w:rPr>
              <w:t xml:space="preserve">What NOT to say — language patterns from deals that stalled or lost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i/>
                <w:iCs/>
                <w:color w:val="555555"/>
                <w:sz w:val="18"/>
                <w:szCs w:val="18"/>
              </w:rPr>
              <w:t xml:space="preserve">Eliminates spec-heavy language in the opening 3 minutes</w:t>
            </w:r>
          </w:p>
        </w:tc>
      </w:tr>
    </w:tbl>
    <w:p>
      <w:r>
        <w:br w:type="page"/>
      </w:r>
    </w:p>
    <w:p>
      <w:pPr>
        <w:pStyle w:val="Heading1"/>
        <w:spacing w:after="180" w:before="360"/>
      </w:pPr>
      <w:r>
        <w:rPr>
          <w:rFonts w:ascii="Arial" w:cs="Arial" w:eastAsia="Arial" w:hAnsi="Arial"/>
          <w:b/>
          <w:bCs/>
          <w:color w:val="1F4E79"/>
          <w:sz w:val="32"/>
          <w:szCs w:val="32"/>
        </w:rPr>
        <w:t xml:space="preserve">3.  The Apex Script — Full Annotated Example</w:t>
      </w:r>
    </w:p>
    <w:p>
      <w:pPr>
        <w:spacing w:after="80" w:before="60"/>
      </w:pPr>
      <w:r>
        <w:rPr>
          <w:rFonts w:ascii="Arial" w:cs="Arial" w:eastAsia="Arial" w:hAnsi="Arial"/>
          <w:color w:val="1A1A2E"/>
          <w:sz w:val="22"/>
          <w:szCs w:val="22"/>
        </w:rPr>
        <w:t xml:space="preserve">Below is a complete Apex Script for Kevin's technical battery sales context — generated from the DOE and data sources described above. Every line is annotated with the source that validated it. The colour of the source tag identifies the module origin.</w:t>
      </w:r>
    </w:p>
    <w:p>
      <w:pPr>
        <w:spacing w:after="0" w:before="80"/>
      </w:pPr>
      <w:r>
        <w:t xml:space="preserve"/>
      </w:r>
    </w:p>
    <w:p>
      <w:pPr>
        <w:spacing w:after="80" w:before="60"/>
      </w:pPr>
      <w:r>
        <w:rPr>
          <w:rFonts w:ascii="Arial" w:cs="Arial" w:eastAsia="Arial" w:hAnsi="Arial"/>
          <w:color w:val="1A1A2E"/>
          <w:sz w:val="22"/>
          <w:szCs w:val="22"/>
        </w:rPr>
        <w:t xml:space="preserve">Script Type: Outbound technical sales call — standby battery procurement manager, first substantive call after initial contact. Target outcome: formal proposal request.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C2B2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DOE Structure</w:t>
            </w:r>
          </w:p>
        </w:tc>
        <w:tc>
          <w:tcPr>
            <w:tcW w:type="dxa" w:w="1560"/>
            <w:tcBorders>
              <w:top w:val="single" w:color="CCCCCC" w:sz="1"/>
              <w:left w:val="single" w:color="CCCCCC" w:sz="1"/>
              <w:bottom w:val="single" w:color="CCCCCC" w:sz="1"/>
              <w:right w:val="single" w:color="CCCCCC" w:sz="1"/>
            </w:tcBorders>
            <w:shd w:fill="0A5C0A" w:val="clear"/>
            <w:tcMar>
              <w:top w:type="dxa" w:w="60"/>
              <w:left w:type="dxa" w:w="80"/>
              <w:bottom w:type="dxa" w:w="60"/>
              <w:right w:type="dxa" w:w="80"/>
            </w:tcMar>
          </w:tcPr>
          <w:p>
            <w:pPr>
              <w:jc w:val="center"/>
            </w:pPr>
            <w:r>
              <w:rPr>
                <w:rFonts w:ascii="Arial" w:cs="Arial" w:eastAsia="Arial" w:hAnsi="Arial"/>
                <w:b/>
                <w:bCs/>
                <w:color w:val="FFFFFF"/>
                <w:sz w:val="16"/>
                <w:szCs w:val="16"/>
              </w:rPr>
              <w:t xml:space="preserve">VOC Language</w:t>
            </w:r>
          </w:p>
        </w:tc>
        <w:tc>
          <w:tcPr>
            <w:tcW w:type="dxa" w:w="15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center"/>
            </w:pPr>
            <w:r>
              <w:rPr>
                <w:rFonts w:ascii="Arial" w:cs="Arial" w:eastAsia="Arial" w:hAnsi="Arial"/>
                <w:b/>
                <w:bCs/>
                <w:color w:val="FFFFFF"/>
                <w:sz w:val="16"/>
                <w:szCs w:val="16"/>
              </w:rPr>
              <w:t xml:space="preserve">Won-Call Phrase</w:t>
            </w:r>
          </w:p>
        </w:tc>
        <w:tc>
          <w:tcPr>
            <w:tcW w:type="dxa" w:w="1560"/>
            <w:tcBorders>
              <w:top w:val="single" w:color="CCCCCC" w:sz="1"/>
              <w:left w:val="single" w:color="CCCCCC" w:sz="1"/>
              <w:bottom w:val="single" w:color="CCCCCC" w:sz="1"/>
              <w:right w:val="single" w:color="CCCCCC" w:sz="1"/>
            </w:tcBorders>
            <w:shd w:fill="C55A11" w:val="clear"/>
            <w:tcMar>
              <w:top w:type="dxa" w:w="60"/>
              <w:left w:type="dxa" w:w="80"/>
              <w:bottom w:type="dxa" w:w="60"/>
              <w:right w:type="dxa" w:w="80"/>
            </w:tcMar>
          </w:tcPr>
          <w:p>
            <w:pPr>
              <w:jc w:val="center"/>
            </w:pPr>
            <w:r>
              <w:rPr>
                <w:rFonts w:ascii="Arial" w:cs="Arial" w:eastAsia="Arial" w:hAnsi="Arial"/>
                <w:b/>
                <w:bCs/>
                <w:color w:val="FFFFFF"/>
                <w:sz w:val="16"/>
                <w:szCs w:val="16"/>
              </w:rPr>
              <w:t xml:space="preserve">Objection Pre-empt</w:t>
            </w:r>
          </w:p>
        </w:tc>
        <w:tc>
          <w:tcPr>
            <w:tcW w:type="dxa" w:w="1560"/>
            <w:tcBorders>
              <w:top w:val="single" w:color="CCCCCC" w:sz="1"/>
              <w:left w:val="single" w:color="CCCCCC" w:sz="1"/>
              <w:bottom w:val="single" w:color="CCCCCC" w:sz="1"/>
              <w:right w:val="single" w:color="CCCCCC" w:sz="1"/>
            </w:tcBorders>
            <w:shd w:fill="006B6B" w:val="clear"/>
            <w:tcMar>
              <w:top w:type="dxa" w:w="60"/>
              <w:left w:type="dxa" w:w="80"/>
              <w:bottom w:type="dxa" w:w="60"/>
              <w:right w:type="dxa" w:w="80"/>
            </w:tcMar>
          </w:tcPr>
          <w:p>
            <w:pPr>
              <w:jc w:val="center"/>
            </w:pPr>
            <w:r>
              <w:rPr>
                <w:rFonts w:ascii="Arial" w:cs="Arial" w:eastAsia="Arial" w:hAnsi="Arial"/>
                <w:b/>
                <w:bCs/>
                <w:color w:val="FFFFFF"/>
                <w:sz w:val="16"/>
                <w:szCs w:val="16"/>
              </w:rPr>
              <w:t xml:space="preserve">CTQ Value Statement</w:t>
            </w:r>
          </w:p>
        </w:tc>
        <w:tc>
          <w:tcPr>
            <w:tcW w:type="dxa" w:w="1560"/>
            <w:tcBorders>
              <w:top w:val="single" w:color="CCCCCC" w:sz="1"/>
              <w:left w:val="single" w:color="CCCCCC" w:sz="1"/>
              <w:bottom w:val="single" w:color="CCCCCC" w:sz="1"/>
              <w:right w:val="single" w:color="CCCCCC" w:sz="1"/>
            </w:tcBorders>
            <w:shd w:fill="9B1C1C" w:val="clear"/>
            <w:tcMar>
              <w:top w:type="dxa" w:w="60"/>
              <w:left w:type="dxa" w:w="80"/>
              <w:bottom w:type="dxa" w:w="60"/>
              <w:right w:type="dxa" w:w="80"/>
            </w:tcMar>
          </w:tcPr>
          <w:p>
            <w:pPr>
              <w:jc w:val="center"/>
            </w:pPr>
            <w:r>
              <w:rPr>
                <w:rFonts w:ascii="Arial" w:cs="Arial" w:eastAsia="Arial" w:hAnsi="Arial"/>
                <w:b/>
                <w:bCs/>
                <w:color w:val="FFFFFF"/>
                <w:sz w:val="16"/>
                <w:szCs w:val="16"/>
              </w:rPr>
              <w:t xml:space="preserve">Anti-Pattern Avoided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00C853"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00C853"/>
                <w:sz w:val="20"/>
                <w:szCs w:val="20"/>
              </w:rPr>
              <w:t xml:space="preserve">OPEN</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"[Prospect name], thanks for making time. I'll keep this focused — before I tell you anything about what we do, I'd like to spend the first few minutes understanding what you're actually dealing with in your battery fleet right now. Would that work for you?"</w:t>
            </w:r>
          </w:p>
        </w:tc>
        <w:tc>
          <w:tcPr>
            <w:tcW w:type="dxa" w:w="1400"/>
            <w:tcBorders>
              <w:top w:val="single" w:color="CCCCCC" w:sz="1"/>
              <w:left w:val="single" w:color="CCCCCC" w:sz="1"/>
              <w:bottom w:val="single" w:color="CCCCCC" w:sz="1"/>
              <w:right w:val="single" w:color="CCCCCC" w:sz="1"/>
            </w:tcBorders>
            <w:shd w:fill="1C2B2B"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DOE Structure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00C853"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00C853"/>
                <w:sz w:val="20"/>
                <w:szCs w:val="20"/>
              </w:rPr>
              <w:t xml:space="preserve">PAIN PROBE 1</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"When you're looking at your standby batteries at end of year — what's the cost picture that concerns you most? I'm not talking about the purchase price — I mean the full picture: maintenance, replacements, downtime, any compliance implications."</w:t>
            </w:r>
          </w:p>
        </w:tc>
        <w:tc>
          <w:tcPr>
            <w:tcW w:type="dxa" w:w="1400"/>
            <w:tcBorders>
              <w:top w:val="single" w:color="CCCCCC" w:sz="1"/>
              <w:left w:val="single" w:color="CCCCCC" w:sz="1"/>
              <w:bottom w:val="single" w:color="CCCCCC" w:sz="1"/>
              <w:right w:val="single" w:color="CCCCCC" w:sz="1"/>
            </w:tcBorders>
            <w:shd w:fill="0A5C0A"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VOC Language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FF8F00"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FF8F00"/>
                <w:sz w:val="20"/>
                <w:szCs w:val="20"/>
              </w:rPr>
              <w:t xml:space="preserve">LISTEN + MIRROR</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"[Pause. Let them speak. Mirror their exact words back.] So if I'm hearing you right — the real issue is [their words], and that's creating [their consequence]. Is that the core of it?"</w:t>
            </w:r>
          </w:p>
        </w:tc>
        <w:tc>
          <w:tcPr>
            <w:tcW w:type="dxa" w:w="1400"/>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Won-Call Phrase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FF8F00"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FF8F00"/>
                <w:sz w:val="20"/>
                <w:szCs w:val="20"/>
              </w:rPr>
              <w:t xml:space="preserve">PAIN PROBE 2</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"And when that happens — what does it actually cost you? Not just the battery — the full event: labour, replacement logistics, any production impact, any compliance exposure?"</w:t>
            </w:r>
          </w:p>
        </w:tc>
        <w:tc>
          <w:tcPr>
            <w:tcW w:type="dxa" w:w="1400"/>
            <w:tcBorders>
              <w:top w:val="single" w:color="CCCCCC" w:sz="1"/>
              <w:left w:val="single" w:color="CCCCCC" w:sz="1"/>
              <w:bottom w:val="single" w:color="CCCCCC" w:sz="1"/>
              <w:right w:val="single" w:color="CCCCCC" w:sz="1"/>
            </w:tcBorders>
            <w:shd w:fill="006B6B"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CTQ Value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00C853"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00C853"/>
                <w:sz w:val="20"/>
                <w:szCs w:val="20"/>
              </w:rPr>
              <w:t xml:space="preserve">TCO BRIDGE</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"That's exactly the conversation we should be having, because the purchase price of a battery is typically 20–30% of what it actually costs to own over a five-year period. The companies we work with who've switched to looking at total cost of ownership find that the capital price difference between suppliers almost disappears — and in many cases reverses entirely. Can I show you what that looks like for a fleet similar to yours?"</w:t>
            </w:r>
          </w:p>
        </w:tc>
        <w:tc>
          <w:tcPr>
            <w:tcW w:type="dxa" w:w="1400"/>
            <w:tcBorders>
              <w:top w:val="single" w:color="CCCCCC" w:sz="1"/>
              <w:left w:val="single" w:color="CCCCCC" w:sz="1"/>
              <w:bottom w:val="single" w:color="CCCCCC" w:sz="1"/>
              <w:right w:val="single" w:color="CCCCCC" w:sz="1"/>
            </w:tcBorders>
            <w:shd w:fill="1C2B2B"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DOE Structure + Won Phrase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00B0F0"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00B0F0"/>
                <w:sz w:val="20"/>
                <w:szCs w:val="20"/>
              </w:rPr>
              <w:t xml:space="preserve">SPEC EVIDENCE</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"For a standby application with your discharge profile, the critical specification isn't plate thickness or electrolyte volume — it's formation cycle quality and its effect on cycle life at depth of discharge. We can deliver 400+ cycles to 80% retained capacity at C10 rate. What are you currently getting, and what does your supplier tell you about their formation process?"</w:t>
            </w:r>
          </w:p>
        </w:tc>
        <w:tc>
          <w:tcPr>
            <w:tcW w:type="dxa" w:w="1400"/>
            <w:tcBorders>
              <w:top w:val="single" w:color="CCCCCC" w:sz="1"/>
              <w:left w:val="single" w:color="CCCCCC" w:sz="1"/>
              <w:bottom w:val="single" w:color="CCCCCC" w:sz="1"/>
              <w:right w:val="single" w:color="CCCCCC" w:sz="1"/>
            </w:tcBorders>
            <w:shd w:fill="006B6B"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CTQ Value Statement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C55A11"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C55A11"/>
                <w:sz w:val="20"/>
                <w:szCs w:val="20"/>
              </w:rPr>
              <w:t xml:space="preserve">OBJECTION PRE-EMPT</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"I want to address something before you see the numbers. Our capital price will be higher than a standard flooded-cell quote — intentionally. When we run the 5-year TCO together, I want you to see exactly where that difference goes and whether it comes back. If it doesn't stack up, I'll tell you that directly. Fair?"</w:t>
            </w:r>
          </w:p>
        </w:tc>
        <w:tc>
          <w:tcPr>
            <w:tcW w:type="dxa" w:w="1400"/>
            <w:tcBorders>
              <w:top w:val="single" w:color="CCCCCC" w:sz="1"/>
              <w:left w:val="single" w:color="CCCCCC" w:sz="1"/>
              <w:bottom w:val="single" w:color="CCCCCC" w:sz="1"/>
              <w:right w:val="single" w:color="CCCCCC" w:sz="1"/>
            </w:tcBorders>
            <w:shd w:fill="C55A11"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Objection Pre-empt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00C853"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00C853"/>
                <w:sz w:val="20"/>
                <w:szCs w:val="20"/>
              </w:rPr>
              <w:t xml:space="preserve">TRIAL CLOSE</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"Based on what you've just described — does a solution that addresses [their pain] and gives you [CTQ metric] feel like it's worth a formal proposal so you can run the numbers properly?"</w:t>
            </w:r>
          </w:p>
        </w:tc>
        <w:tc>
          <w:tcPr>
            <w:tcW w:type="dxa" w:w="1400"/>
            <w:tcBorders>
              <w:top w:val="single" w:color="CCCCCC" w:sz="1"/>
              <w:left w:val="single" w:color="CCCCCC" w:sz="1"/>
              <w:bottom w:val="single" w:color="CCCCCC" w:sz="1"/>
              <w:right w:val="single" w:color="CCCCCC" w:sz="1"/>
            </w:tcBorders>
            <w:shd w:fill="1C2B2B"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DOE Structure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00C853"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00C853"/>
                <w:sz w:val="20"/>
                <w:szCs w:val="20"/>
              </w:rPr>
              <w:t xml:space="preserve">CLOSE + 24H LOCK</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"I'll have a full proposal and TCO model to you by [specific time tomorrow]. I'll also include three reference accounts with a similar application profile so you can speak directly to them if that would help. What's the best email, and is there anyone else who should see this at your end?"</w:t>
            </w:r>
          </w:p>
        </w:tc>
        <w:tc>
          <w:tcPr>
            <w:tcW w:type="dxa" w:w="1400"/>
            <w:tcBorders>
              <w:top w:val="single" w:color="CCCCCC" w:sz="1"/>
              <w:left w:val="single" w:color="CCCCCC" w:sz="1"/>
              <w:bottom w:val="single" w:color="CCCCCC" w:sz="1"/>
              <w:right w:val="single" w:color="CCCCCC" w:sz="1"/>
            </w:tcBorders>
            <w:shd w:fill="1C2B2B"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DOE Structure — 24h follow-up</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CCCCCC" w:sz="1"/>
              <w:left w:val="single" w:color="107C10" w:sz="16"/>
              <w:bottom w:val="single" w:color="CCCCCC" w:sz="1"/>
              <w:right w:val="single" w:color="CCCCCC" w:sz="1"/>
            </w:tcBorders>
            <w:shd w:fill="1C2B2B" w:val="clear"/>
            <w:tcMar>
              <w:top w:type="dxa" w:w="120"/>
              <w:left w:type="dxa" w:w="120"/>
              <w:bottom w:type="dxa" w:w="120"/>
              <w:right w:type="dxa" w:w="100"/>
            </w:tcMar>
          </w:tcPr>
          <w:p>
            <w:pPr>
              <w:jc w:val="center"/>
            </w:pPr>
            <w:r>
              <w:rPr>
                <w:rFonts w:ascii="Arial" w:cs="Arial" w:eastAsia="Arial" w:hAnsi="Arial"/>
                <w:b/>
                <w:bCs/>
                <w:color w:val="107C10"/>
                <w:sz w:val="20"/>
                <w:szCs w:val="20"/>
              </w:rPr>
              <w:t xml:space="preserve">CALL CLOSE</w:t>
            </w:r>
          </w:p>
        </w:tc>
        <w:tc>
          <w:tcPr>
            <w:tcW w:type="dxa" w:w="6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20"/>
            </w:tcMar>
          </w:tcPr>
          <w:p>
            <w:r>
              <w:rPr>
                <w:rFonts w:ascii="Arial" w:cs="Arial" w:eastAsia="Arial" w:hAnsi="Arial"/>
                <w:i/>
                <w:iCs/>
                <w:color w:val="1A1A2E"/>
                <w:sz w:val="21"/>
                <w:szCs w:val="21"/>
              </w:rPr>
              <w:t xml:space="preserve">"[Prospect name] — really appreciate the conversation. I'll be in touch by [time]. If anything comes up before then, here's my direct line."</w:t>
            </w:r>
          </w:p>
        </w:tc>
        <w:tc>
          <w:tcPr>
            <w:tcW w:type="dxa" w:w="1400"/>
            <w:tcBorders>
              <w:top w:val="single" w:color="CCCCCC" w:sz="1"/>
              <w:left w:val="single" w:color="CCCCCC" w:sz="1"/>
              <w:bottom w:val="single" w:color="CCCCCC" w:sz="1"/>
              <w:right w:val="single" w:color="CCCCCC" w:sz="1"/>
            </w:tcBorders>
            <w:shd w:fill="1F4E79" w:val="clear"/>
            <w:tcMar>
              <w:top w:type="dxa" w:w="120"/>
              <w:left w:type="dxa" w:w="80"/>
              <w:bottom w:type="dxa" w:w="120"/>
              <w:right w:type="dxa" w:w="80"/>
            </w:tcMar>
          </w:tcPr>
          <w:p>
            <w:pPr>
              <w:jc w:val="center"/>
            </w:pPr>
            <w:r>
              <w:rPr>
                <w:rFonts w:ascii="Arial" w:cs="Arial" w:eastAsia="Arial" w:hAnsi="Arial"/>
                <w:b/>
                <w:bCs/>
                <w:color w:val="FFFFFF"/>
                <w:sz w:val="17"/>
                <w:szCs w:val="17"/>
              </w:rPr>
              <w:t xml:space="preserve">Won-Call Phrase</w:t>
            </w:r>
          </w:p>
        </w:tc>
      </w:tr>
    </w:tbl>
    <w:p>
      <w:pPr>
        <w:spacing w:after="0" w:before="100"/>
      </w:pPr>
      <w:r>
        <w:t xml:space="preserve"/>
      </w:r>
    </w:p>
    <w:p>
      <w:pPr>
        <w:spacing w:after="80" w:before="60"/>
      </w:pPr>
      <w:r>
        <w:rPr>
          <w:rFonts w:ascii="Arial" w:cs="Arial" w:eastAsia="Arial" w:hAnsi="Arial"/>
          <w:color w:val="1A1A2E"/>
          <w:sz w:val="22"/>
          <w:szCs w:val="22"/>
        </w:rPr>
        <w:t xml:space="preserve">Every stage of this script traces back to a validated data source. It is not a template. It is evidence-based communication — the product of every tool in the ecosystem working together.</w:t>
      </w:r>
    </w:p>
    <w:p>
      <w:r>
        <w:br w:type="page"/>
      </w:r>
    </w:p>
    <w:p>
      <w:pPr>
        <w:pStyle w:val="Heading1"/>
        <w:spacing w:after="180" w:before="360"/>
      </w:pPr>
      <w:r>
        <w:rPr>
          <w:rFonts w:ascii="Arial" w:cs="Arial" w:eastAsia="Arial" w:hAnsi="Arial"/>
          <w:b/>
          <w:bCs/>
          <w:color w:val="1F4E79"/>
          <w:sz w:val="32"/>
          <w:szCs w:val="32"/>
        </w:rPr>
        <w:t xml:space="preserve">4.  Confirmation Testing — Proving the Apex Script Works</w:t>
      </w:r>
    </w:p>
    <w:p>
      <w:pPr>
        <w:spacing w:after="80" w:before="60"/>
      </w:pPr>
      <w:r>
        <w:rPr>
          <w:rFonts w:ascii="Arial" w:cs="Arial" w:eastAsia="Arial" w:hAnsi="Arial"/>
          <w:color w:val="1A1A2E"/>
          <w:sz w:val="22"/>
          <w:szCs w:val="22"/>
        </w:rPr>
        <w:t xml:space="preserve">In Six Sigma, no improvement is adopted as standard until a confirmation experiment validates the predicted performance. The Apex Script follows exactly the same protocol. Before it is deployed as the team standard, it must pass a formal statistical confirmation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Why Confirmation Is Non-Negotiable</w:t>
            </w:r>
          </w:p>
          <w:p>
            <w:pPr>
              <w:spacing w:after="36" w:before="36"/>
            </w:pPr>
            <w:r>
              <w:rPr>
                <w:rFonts w:ascii="Arial" w:cs="Arial" w:eastAsia="Arial" w:hAnsi="Arial"/>
                <w:color w:val="FFFFFF"/>
                <w:sz w:val="20"/>
                <w:szCs w:val="20"/>
              </w:rPr>
              <w:t xml:space="preserve">A DOE tells you the optimal combination within the conditions of the experiment.</w:t>
            </w:r>
          </w:p>
          <w:p>
            <w:pPr>
              <w:spacing w:after="36" w:before="36"/>
            </w:pPr>
            <w:r>
              <w:rPr>
                <w:rFonts w:ascii="Arial" w:cs="Arial" w:eastAsia="Arial" w:hAnsi="Arial"/>
                <w:color w:val="FFFFFF"/>
                <w:sz w:val="20"/>
                <w:szCs w:val="20"/>
              </w:rPr>
              <w:t xml:space="preserve">A confirmation run tells you whether that optimum holds in the real world at scale.</w:t>
            </w:r>
          </w:p>
          <w:p>
            <w:pPr>
              <w:spacing w:after="36" w:before="36"/>
            </w:pPr>
            <w:r>
              <w:rPr>
                <w:rFonts w:ascii="Arial" w:cs="Arial" w:eastAsia="Arial" w:hAnsi="Arial"/>
                <w:color w:val="FFFFFF"/>
                <w:sz w:val="20"/>
                <w:szCs w:val="20"/>
              </w:rPr>
              <w:t xml:space="preserve">Without confirmation, you are making a statistically informed guess.</w:t>
            </w:r>
          </w:p>
          <w:p>
            <w:pPr>
              <w:spacing w:after="36" w:before="36"/>
            </w:pPr>
            <w:r>
              <w:rPr>
                <w:rFonts w:ascii="Arial" w:cs="Arial" w:eastAsia="Arial" w:hAnsi="Arial"/>
                <w:color w:val="FFFFFF"/>
                <w:sz w:val="20"/>
                <w:szCs w:val="20"/>
              </w:rPr>
              <w:t xml:space="preserve">With confirmation, you have proof. Kevin's Black Belt credential demands proof.</w:t>
            </w:r>
          </w:p>
        </w:tc>
      </w:tr>
    </w:tbl>
    <w:p>
      <w:pPr>
        <w:spacing w:after="0" w:before="1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4.1  The Confirmation Protocol — Four Stages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36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Statistical Test Used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Stage 1 — Baseline Capture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15 calls with the current best approach (pre-Apex). Record conversion rate, days to close, and end-of-call sentiment. This is the control group.</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Descriptive stats: mean, SD, current Sigma level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Stage 2 — Apex Script Pilot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15 calls using the Apex Script exactly as written. Same reps, same prospect profile, same call type. Record the same three metrics.</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None yet — data collection only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Stage 3 — Hypothesis Test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a 2-Sample T-Test (conversion rate) and Mann-Whitney U (sentiment scores) comparing Apex vs. baseline. Check whether DOE-predicted performance falls within the confidence interval of the actual result.</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2-Sample T-Test via SigmaVault + 1-Sample T vs. predicted value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Stage 4 — Sigma Rating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Calculate the process Sigma level for conversion rate at Apex Script settings. Award the script its official Sigma Rating. Deploy as standard if rating ≥ 3σ.</w:t>
            </w:r>
          </w:p>
        </w:tc>
        <w:tc>
          <w:tcPr>
            <w:tcW w:type="dxa" w:w="3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Process capability: Ppk / Sigma level calculation</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4.2  The Sigma Rating System</w:t>
      </w:r>
    </w:p>
    <w:p>
      <w:pPr>
        <w:spacing w:after="80" w:before="60"/>
      </w:pPr>
      <w:r>
        <w:rPr>
          <w:rFonts w:ascii="Arial" w:cs="Arial" w:eastAsia="Arial" w:hAnsi="Arial"/>
          <w:color w:val="1A1A2E"/>
          <w:sz w:val="22"/>
          <w:szCs w:val="22"/>
        </w:rPr>
        <w:t xml:space="preserve">Every Apex Script is awarded a Sigma Rating based on its confirmed performance. This is the quality kite-mark of the sales process — the equivalent of a product's Cpk score. It tells every rep and manager exactly how reliable the script is as a revenue-generating instrument.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C55A11"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1σ</w:t>
            </w:r>
          </w:p>
        </w:tc>
        <w:tc>
          <w:tcPr>
            <w:tcW w:type="dxa" w:w="7560"/>
            <w:tcBorders>
              <w:top w:val="none" w:color="FFFFFF" w:sz="0"/>
              <w:left w:val="none" w:color="FFFFFF" w:sz="0"/>
              <w:bottom w:val="none" w:color="FFFFFF" w:sz="0"/>
              <w:right w:val="none" w:color="FFFFFF" w:sz="0"/>
            </w:tcBorders>
            <w:shd w:fill="F2F7FB" w:val="clear"/>
            <w:tcMar>
              <w:top w:type="dxa" w:w="120"/>
              <w:left w:type="dxa" w:w="160"/>
              <w:bottom w:type="dxa" w:w="120"/>
              <w:right w:type="dxa" w:w="120"/>
            </w:tcMar>
          </w:tcPr>
          <w:p>
            <w:r>
              <w:rPr>
                <w:rFonts w:ascii="Arial" w:cs="Arial" w:eastAsia="Arial" w:hAnsi="Arial"/>
                <w:color w:val="1A1A2E"/>
                <w:sz w:val="20"/>
                <w:szCs w:val="20"/>
              </w:rPr>
              <w:t xml:space="preserve">Script performs above random. Conversion rate &gt; 30%. Not yet deployable as standard. Return for further optimisation.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7D5A00"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2σ</w:t>
            </w:r>
          </w:p>
        </w:tc>
        <w:tc>
          <w:tcPr>
            <w:tcW w:type="dxa" w:w="7560"/>
            <w:tcBorders>
              <w:top w:val="none" w:color="FFFFFF" w:sz="0"/>
              <w:left w:val="none" w:color="FFFFFF" w:sz="0"/>
              <w:bottom w:val="none" w:color="FFFFFF" w:sz="0"/>
              <w:right w:val="none" w:color="FFFFFF" w:sz="0"/>
            </w:tcBorders>
            <w:shd w:fill="F2F7FB" w:val="clear"/>
            <w:tcMar>
              <w:top w:type="dxa" w:w="120"/>
              <w:left w:type="dxa" w:w="160"/>
              <w:bottom w:type="dxa" w:w="120"/>
              <w:right w:type="dxa" w:w="120"/>
            </w:tcMar>
          </w:tcPr>
          <w:p>
            <w:r>
              <w:rPr>
                <w:rFonts w:ascii="Arial" w:cs="Arial" w:eastAsia="Arial" w:hAnsi="Arial"/>
                <w:color w:val="1A1A2E"/>
                <w:sz w:val="20"/>
                <w:szCs w:val="20"/>
              </w:rPr>
              <w:t xml:space="preserve">Consistent improvement over baseline confirmed. Conversion rate &gt; 50%. Approved for limited deployment with coaching supervision.</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A5C0A"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3σ</w:t>
            </w:r>
          </w:p>
        </w:tc>
        <w:tc>
          <w:tcPr>
            <w:tcW w:type="dxa" w:w="7560"/>
            <w:tcBorders>
              <w:top w:val="none" w:color="FFFFFF" w:sz="0"/>
              <w:left w:val="none" w:color="FFFFFF" w:sz="0"/>
              <w:bottom w:val="none" w:color="FFFFFF" w:sz="0"/>
              <w:right w:val="none" w:color="FFFFFF" w:sz="0"/>
            </w:tcBorders>
            <w:shd w:fill="F2F7FB" w:val="clear"/>
            <w:tcMar>
              <w:top w:type="dxa" w:w="120"/>
              <w:left w:type="dxa" w:w="160"/>
              <w:bottom w:type="dxa" w:w="120"/>
              <w:right w:type="dxa" w:w="120"/>
            </w:tcMar>
          </w:tcPr>
          <w:p>
            <w:r>
              <w:rPr>
                <w:rFonts w:ascii="Arial" w:cs="Arial" w:eastAsia="Arial" w:hAnsi="Arial"/>
                <w:color w:val="1A1A2E"/>
                <w:sz w:val="20"/>
                <w:szCs w:val="20"/>
              </w:rPr>
              <w:t xml:space="preserve">Strong, statistically confirmed performance. Conversion rate &gt; 65%. Approved as team standard. Full deployment authorised.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4σ</w:t>
            </w:r>
          </w:p>
        </w:tc>
        <w:tc>
          <w:tcPr>
            <w:tcW w:type="dxa" w:w="7560"/>
            <w:tcBorders>
              <w:top w:val="none" w:color="FFFFFF" w:sz="0"/>
              <w:left w:val="none" w:color="FFFFFF" w:sz="0"/>
              <w:bottom w:val="none" w:color="FFFFFF" w:sz="0"/>
              <w:right w:val="none" w:color="FFFFFF" w:sz="0"/>
            </w:tcBorders>
            <w:shd w:fill="F2F7FB" w:val="clear"/>
            <w:tcMar>
              <w:top w:type="dxa" w:w="120"/>
              <w:left w:type="dxa" w:w="160"/>
              <w:bottom w:type="dxa" w:w="120"/>
              <w:right w:type="dxa" w:w="120"/>
            </w:tcMar>
          </w:tcPr>
          <w:p>
            <w:r>
              <w:rPr>
                <w:rFonts w:ascii="Arial" w:cs="Arial" w:eastAsia="Arial" w:hAnsi="Arial"/>
                <w:color w:val="1A1A2E"/>
                <w:sz w:val="20"/>
                <w:szCs w:val="20"/>
              </w:rPr>
              <w:t xml:space="preserve">Exceptional performance. Conversion rate &gt; 78%. Designated as Apex Gold Standard. Triggers automatic entry into Kevin's IP archive.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9B1C1C"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5σ + 6σ</w:t>
            </w:r>
          </w:p>
        </w:tc>
        <w:tc>
          <w:tcPr>
            <w:tcW w:type="dxa" w:w="7560"/>
            <w:tcBorders>
              <w:top w:val="none" w:color="FFFFFF" w:sz="0"/>
              <w:left w:val="none" w:color="FFFFFF" w:sz="0"/>
              <w:bottom w:val="none" w:color="FFFFFF" w:sz="0"/>
              <w:right w:val="none" w:color="FFFFFF" w:sz="0"/>
            </w:tcBorders>
            <w:shd w:fill="F2F7FB" w:val="clear"/>
            <w:tcMar>
              <w:top w:type="dxa" w:w="120"/>
              <w:left w:type="dxa" w:w="160"/>
              <w:bottom w:type="dxa" w:w="120"/>
              <w:right w:type="dxa" w:w="120"/>
            </w:tcMar>
          </w:tcPr>
          <w:p>
            <w:r>
              <w:rPr>
                <w:rFonts w:ascii="Arial" w:cs="Arial" w:eastAsia="Arial" w:hAnsi="Arial"/>
                <w:color w:val="1A1A2E"/>
                <w:sz w:val="20"/>
                <w:szCs w:val="20"/>
              </w:rPr>
              <w:t xml:space="preserve">Elite performance. Conversion rate &gt; 90%. Rare. Triggers a full investigation into what made this call population different — possible new market segment discovered.</w:t>
            </w:r>
          </w:p>
        </w:tc>
      </w:tr>
    </w:tbl>
    <w:p>
      <w:pPr>
        <w:spacing w:after="0" w:before="80"/>
      </w:pPr>
      <w:r>
        <w:t xml:space="preserve"/>
      </w:r>
    </w:p>
    <w:p>
      <w:pPr>
        <w:spacing w:after="80" w:before="60"/>
      </w:pPr>
      <w:r>
        <w:rPr>
          <w:rFonts w:ascii="Arial" w:cs="Arial" w:eastAsia="Arial" w:hAnsi="Arial"/>
          <w:color w:val="1A1A2E"/>
          <w:sz w:val="22"/>
          <w:szCs w:val="22"/>
        </w:rPr>
        <w:t xml:space="preserve">A script that achieves 4σ or above is automatically timestamped, archived in IdeaVault, and flagged as a potential licensable IP asset. It is the evidence of a genuine competitive advantage in Kevin's sales methodology.</w:t>
      </w:r>
    </w:p>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4.3  Live Confirmation Testing — The AI Dialogue</w:t>
      </w:r>
    </w:p>
    <w:p>
      <w:pPr>
        <w:spacing w:after="80" w:before="60"/>
      </w:pPr>
      <w:r>
        <w:rPr>
          <w:rFonts w:ascii="Arial" w:cs="Arial" w:eastAsia="Arial" w:hAnsi="Arial"/>
          <w:color w:val="1A1A2E"/>
          <w:sz w:val="22"/>
          <w:szCs w:val="22"/>
        </w:rPr>
        <w:t xml:space="preserve">After the 15 Apex Script pilot calls are complete, the AI facilitates the confirmation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Your Apex Script confirmation run is complete — 15 calls recorded and scored. The DOE predicted a conversion rate of 78–83%. Here is what we observed. Shall I walk you through the full statistical comparison?</w:t>
            </w:r>
          </w:p>
        </w:tc>
      </w:tr>
      <w:tr>
        <w:tc>
          <w:tcPr>
            <w:tcW w:type="dxa" w:w="21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1A1A2E"/>
                <w:sz w:val="20"/>
                <w:szCs w:val="20"/>
              </w:rPr>
              <w:t xml:space="preserve">Yes — give me the result.</w:t>
            </w:r>
          </w:p>
        </w:tc>
      </w:tr>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Apex Script: 11 conversions from 15 calls = 73.3%. Baseline: 5 conversions from 15 calls = 33.3%. The 2-Sample T-Test gives p = 0.018 — significant at α = 0.05. The Apex Script outperforms baseline with 98.2% confidence.</w:t>
            </w:r>
          </w:p>
        </w:tc>
      </w:tr>
      <w:tr>
        <w:tc>
          <w:tcPr>
            <w:tcW w:type="dxa" w:w="21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1A1A2E"/>
                <w:sz w:val="20"/>
                <w:szCs w:val="20"/>
              </w:rPr>
              <w:t xml:space="preserve">73% is just below the 78% prediction. Is that a problem?</w:t>
            </w:r>
          </w:p>
        </w:tc>
      </w:tr>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No — 73.3% falls within the 95% confidence interval of the DOE prediction (67%–89%). The confirmation is valid. The slight underperformance vs. the mid-point prediction is normal variation at n=15. The Sigma Rating for this script is 3.8σ — approved as team standard and registered in your IP archive. Do you want me to investigate which of the 4 non-converting calls showed the largest deviation from the script?</w:t>
            </w:r>
          </w:p>
        </w:tc>
      </w:tr>
      <w:tr>
        <w:tc>
          <w:tcPr>
            <w:tcW w:type="dxa" w:w="21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1A1A2E"/>
                <w:sz w:val="20"/>
                <w:szCs w:val="20"/>
              </w:rPr>
              <w:t xml:space="preserve">Yes — what happened on those 4?</w:t>
            </w:r>
          </w:p>
        </w:tc>
      </w:tr>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Three of the four non-converting calls show a common pattern: the rep introduced price in minutes 4–6 before the TCO bridge was complete — the exact interaction the DOE identified as harmful. This is a training signal, not a script failure. The script is valid. The execution discipline needs reinforcement. I'll flag this in the SalesForge coaching dashboard. Shall I generate the Deployment Brief for the team?</w:t>
            </w:r>
          </w:p>
        </w:tc>
      </w:tr>
    </w:tbl>
    <w:p>
      <w:pPr>
        <w:spacing w:after="0" w:before="80"/>
      </w:pPr>
      <w:r>
        <w:t xml:space="preserve"/>
      </w:r>
    </w:p>
    <w:p>
      <w:pPr>
        <w:spacing w:after="80" w:before="60"/>
      </w:pPr>
      <w:r>
        <w:rPr>
          <w:rFonts w:ascii="Arial" w:cs="Arial" w:eastAsia="Arial" w:hAnsi="Arial"/>
          <w:color w:val="1A1A2E"/>
          <w:sz w:val="22"/>
          <w:szCs w:val="22"/>
        </w:rPr>
        <w:t xml:space="preserve">The AI has done something critical here: it has separated a script failure from a delivery failure. The script is correct. Three reps broke the sequence. This is the intelligence that transforms a confirmation test from a pass/fail event into a coaching and training asset.</w:t>
      </w:r>
    </w:p>
    <w:p>
      <w:r>
        <w:br w:type="page"/>
      </w:r>
    </w:p>
    <w:p>
      <w:pPr>
        <w:pStyle w:val="Heading1"/>
        <w:spacing w:after="180" w:before="360"/>
      </w:pPr>
      <w:r>
        <w:rPr>
          <w:rFonts w:ascii="Arial" w:cs="Arial" w:eastAsia="Arial" w:hAnsi="Arial"/>
          <w:b/>
          <w:bCs/>
          <w:color w:val="1F4E79"/>
          <w:sz w:val="32"/>
          <w:szCs w:val="32"/>
        </w:rPr>
        <w:t xml:space="preserve">5.  Script Evolution — The Apex Script Never Stops Improving</w:t>
      </w:r>
    </w:p>
    <w:p>
      <w:pPr>
        <w:spacing w:after="80" w:before="60"/>
      </w:pPr>
      <w:r>
        <w:rPr>
          <w:rFonts w:ascii="Arial" w:cs="Arial" w:eastAsia="Arial" w:hAnsi="Arial"/>
          <w:color w:val="1A1A2E"/>
          <w:sz w:val="22"/>
          <w:szCs w:val="22"/>
        </w:rPr>
        <w:t xml:space="preserve">The Apex Script is not a finished document. It is a living instrument that improves automatically as new call data flows through the system. The improvement cycle is continuous and self-reinforcing.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the System Does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25 new calls recorded at Apex Script settings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Re-runs main effects analysis. Checks whether any factor's contribution has shifted. If a new pattern emerges, flags for Kevin's review.</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Conversion rate drops below Sigma threshold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Automatic alert to Kevin. Initiates a 5 Whys root cause session in SigmaVault to identify the cause. Suspends full deployment pending investigation.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New objection pattern detected (3+ occurrences)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AI drafts a new objection handler using VOC language from the calls where the objection appeared. Proposes addition to the script for Kevin's approval.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Market context changes (new competitor, price shift)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IdeaVault detects the change via call monitoring. Flags the relevant script sections for human review and potential re-testing.</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New DOE experiment completes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DOE Optimiser compares new optimal settings to current Apex Script factors. If a significant improvement is found, proposes a new Apex Script candidate. Kevin approves the confirmation run.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Apex Script achieves 4σ+ rating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Script archived as IP, assigned a version number, and locked. New improvement cycle begins with a fresh DOE to find the next-generation script.</w:t>
            </w:r>
          </w:p>
        </w:tc>
      </w:tr>
    </w:tbl>
    <w:p>
      <w:pPr>
        <w:spacing w:after="0" w:before="80"/>
      </w:pPr>
      <w:r>
        <w:t xml:space="preserve"/>
      </w:r>
    </w:p>
    <w:p>
      <w:pPr>
        <w:spacing w:after="80" w:before="60"/>
      </w:pPr>
      <w:r>
        <w:rPr>
          <w:rFonts w:ascii="Arial" w:cs="Arial" w:eastAsia="Arial" w:hAnsi="Arial"/>
          <w:color w:val="1A1A2E"/>
          <w:sz w:val="22"/>
          <w:szCs w:val="22"/>
        </w:rPr>
        <w:t xml:space="preserve">The result is a compounding competitive advantage. After 12 months, Kevin's Apex Script is built on the analysis of hundreds of real calls in his specific markets. No competitor starting from scratch can replicate this — the data, the validations, and the institutional knowledge embedded in the script are proprietary and cumulative.</w:t>
      </w:r>
    </w:p>
    <w:p>
      <w:r>
        <w:br w:type="page"/>
      </w:r>
    </w:p>
    <w:p>
      <w:pPr>
        <w:pStyle w:val="Heading1"/>
        <w:spacing w:after="180" w:before="360"/>
      </w:pPr>
      <w:r>
        <w:rPr>
          <w:rFonts w:ascii="Arial" w:cs="Arial" w:eastAsia="Arial" w:hAnsi="Arial"/>
          <w:b/>
          <w:bCs/>
          <w:color w:val="1F4E79"/>
          <w:sz w:val="32"/>
          <w:szCs w:val="32"/>
        </w:rPr>
        <w:t xml:space="preserve">6.  The Complete VoxTrans AI Ecosystem — Master Summary</w:t>
      </w:r>
    </w:p>
    <w:p>
      <w:pPr>
        <w:spacing w:after="80" w:before="60"/>
      </w:pPr>
      <w:r>
        <w:rPr>
          <w:rFonts w:ascii="Arial" w:cs="Arial" w:eastAsia="Arial" w:hAnsi="Arial"/>
          <w:color w:val="1A1A2E"/>
          <w:sz w:val="22"/>
          <w:szCs w:val="22"/>
        </w:rPr>
        <w:t xml:space="preserve">Kevin, below is the complete picture of what has been designed across this series of documents. Six modules, each independently valuable, each feeding every other, forming a compounding intelligence flywheel that no competitor can replicate once it is in motion.</w:t>
      </w:r>
    </w:p>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6.1  The Intelligence Flywheel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
        <w:gridCol w:w="2000"/>
        <w:gridCol w:w="3000"/>
        <w:gridCol w:w="35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Step</w:t>
            </w:r>
          </w:p>
        </w:tc>
        <w:tc>
          <w:tcPr>
            <w:tcW w:type="dxa" w:w="3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
            </w:r>
          </w:p>
        </w:tc>
        <w:tc>
          <w:tcPr>
            <w:tcW w:type="dxa" w:w="2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Module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What It Does</w:t>
            </w:r>
          </w:p>
        </w:tc>
        <w:tc>
          <w:tcPr>
            <w:tcW w:type="dxa" w:w="3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Output Feeding Next Step</w:t>
            </w:r>
          </w:p>
        </w:tc>
      </w:tr>
      <w:tr>
        <w:tc>
          <w:tcPr>
            <w:tcW w:type="dxa" w:w="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300"/>
            <w:tcBorders>
              <w:top w:val="single" w:color="CCCCCC" w:sz="1"/>
              <w:left w:val="single" w:color="CCCCCC" w:sz="1"/>
              <w:bottom w:val="single" w:color="CCCCCC" w:sz="1"/>
              <w:right w:val="single" w:color="CCCCCC" w:sz="1"/>
            </w:tcBorders>
            <w:shd w:fill="F2F7FB" w:val="clear"/>
            <w:tcMar>
              <w:top w:type="dxa" w:w="80"/>
              <w:left w:type="dxa" w:w="60"/>
              <w:bottom w:type="dxa" w:w="80"/>
              <w:right w:type="dxa" w:w="60"/>
            </w:tcMar>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VoxTrans AI</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Records every call, meeting, and conversation. Translates in real time. Saves as .txt with ElevenLabs voice.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A5C0A"/>
                <w:sz w:val="19"/>
                <w:szCs w:val="19"/>
              </w:rPr>
              <w:t xml:space="preserve">Full transcripts + sentiment scores + talk-time ratios → IdeaVault</w:t>
            </w:r>
          </w:p>
        </w:tc>
      </w:tr>
      <w:tr>
        <w:tc>
          <w:tcPr>
            <w:tcW w:type="dxa" w:w="500"/>
            <w:tcBorders>
              <w:top w:val="single" w:color="CCCCCC" w:sz="1"/>
              <w:left w:val="single" w:color="CCCCCC" w:sz="1"/>
              <w:bottom w:val="single" w:color="CCCCCC" w:sz="1"/>
              <w:right w:val="single" w:color="CCCCCC" w:sz="1"/>
            </w:tcBorders>
            <w:shd w:fill="006B6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300"/>
            <w:tcBorders>
              <w:top w:val="single" w:color="CCCCCC" w:sz="1"/>
              <w:left w:val="single" w:color="CCCCCC" w:sz="1"/>
              <w:bottom w:val="single" w:color="CCCCCC" w:sz="1"/>
              <w:right w:val="single" w:color="CCCCCC" w:sz="1"/>
            </w:tcBorders>
            <w:shd w:fill="F2F7FB" w:val="clear"/>
            <w:tcMar>
              <w:top w:type="dxa" w:w="80"/>
              <w:left w:type="dxa" w:w="60"/>
              <w:bottom w:type="dxa" w:w="80"/>
              <w:right w:type="dxa" w:w="60"/>
            </w:tcMar>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20"/>
                <w:szCs w:val="20"/>
              </w:rPr>
              <w:t xml:space="preserve">💡 IdeaVault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Extracts ideas, pain points, and VOC. Maps patterns across calls. Develops ideas into business cases.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A5C0A"/>
                <w:sz w:val="19"/>
                <w:szCs w:val="19"/>
              </w:rPr>
              <w:t xml:space="preserve">VOC cards + idea clusters + customer language → SigmaVault + SalesForge</w:t>
            </w:r>
          </w:p>
        </w:tc>
      </w:tr>
      <w:tr>
        <w:tc>
          <w:tcPr>
            <w:tcW w:type="dxa" w:w="500"/>
            <w:tcBorders>
              <w:top w:val="single" w:color="CCCCCC" w:sz="1"/>
              <w:left w:val="single" w:color="CCCCCC" w:sz="1"/>
              <w:bottom w:val="single" w:color="CCCCCC" w:sz="1"/>
              <w:right w:val="single" w:color="CCCCCC" w:sz="1"/>
            </w:tcBorders>
            <w:shd w:fill="5B2C8D"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300"/>
            <w:tcBorders>
              <w:top w:val="single" w:color="CCCCCC" w:sz="1"/>
              <w:left w:val="single" w:color="CCCCCC" w:sz="1"/>
              <w:bottom w:val="single" w:color="CCCCCC" w:sz="1"/>
              <w:right w:val="single" w:color="CCCCCC" w:sz="1"/>
            </w:tcBorders>
            <w:shd w:fill="F2F7FB" w:val="clear"/>
            <w:tcMar>
              <w:top w:type="dxa" w:w="80"/>
              <w:left w:type="dxa" w:w="60"/>
              <w:bottom w:type="dxa" w:w="80"/>
              <w:right w:type="dxa" w:w="60"/>
            </w:tcMar>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r>
              <w:rPr>
                <w:rFonts w:ascii="Arial" w:cs="Arial" w:eastAsia="Arial" w:hAnsi="Arial"/>
                <w:b/>
                <w:bCs/>
                <w:color w:val="FFFFFF"/>
                <w:sz w:val="20"/>
                <w:szCs w:val="20"/>
              </w:rPr>
              <w:t xml:space="preserve">📊 SigmaVault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Validates ideas and approaches statistically. 5 Whys. T-Tests. DMAIC. FMEA. Separates signal from noise.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A5C0A"/>
                <w:sz w:val="19"/>
                <w:szCs w:val="19"/>
              </w:rPr>
              <w:t xml:space="preserve">Confirmed root causes + validated hypotheses + CTQ metrics → SalesForge</w:t>
            </w:r>
          </w:p>
        </w:tc>
      </w:tr>
      <w:tr>
        <w:tc>
          <w:tcPr>
            <w:tcW w:type="dxa" w:w="500"/>
            <w:tcBorders>
              <w:top w:val="single" w:color="CCCCCC" w:sz="1"/>
              <w:left w:val="single" w:color="CCCCCC" w:sz="1"/>
              <w:bottom w:val="single" w:color="CCCCCC" w:sz="1"/>
              <w:right w:val="single" w:color="CCCCCC" w:sz="1"/>
            </w:tcBorders>
            <w:shd w:fill="1C2B2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300"/>
            <w:tcBorders>
              <w:top w:val="single" w:color="CCCCCC" w:sz="1"/>
              <w:left w:val="single" w:color="CCCCCC" w:sz="1"/>
              <w:bottom w:val="single" w:color="CCCCCC" w:sz="1"/>
              <w:right w:val="single" w:color="CCCCCC" w:sz="1"/>
            </w:tcBorders>
            <w:shd w:fill="F2F7FB" w:val="clear"/>
            <w:tcMar>
              <w:top w:type="dxa" w:w="80"/>
              <w:left w:type="dxa" w:w="60"/>
              <w:bottom w:type="dxa" w:w="80"/>
              <w:right w:type="dxa" w:w="60"/>
            </w:tcMar>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1C2B2B" w:val="clear"/>
            <w:tcMar>
              <w:top w:type="dxa" w:w="80"/>
              <w:left w:type="dxa" w:w="120"/>
              <w:bottom w:type="dxa" w:w="80"/>
              <w:right w:type="dxa" w:w="120"/>
            </w:tcMar>
          </w:tcPr>
          <w:p>
            <w:r>
              <w:rPr>
                <w:rFonts w:ascii="Arial" w:cs="Arial" w:eastAsia="Arial" w:hAnsi="Arial"/>
                <w:b/>
                <w:bCs/>
                <w:color w:val="FFFFFF"/>
                <w:sz w:val="20"/>
                <w:szCs w:val="20"/>
              </w:rPr>
              <w:t xml:space="preserve">⚡ SalesForge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Builds script library from won-call patterns. Provides live coaching. Generates sales plans.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A5C0A"/>
                <w:sz w:val="19"/>
                <w:szCs w:val="19"/>
              </w:rPr>
              <w:t xml:space="preserve">Candidate script elements + performance data + objection library → DOE Optimiser</w:t>
            </w:r>
          </w:p>
        </w:tc>
      </w:tr>
      <w:tr>
        <w:tc>
          <w:tcPr>
            <w:tcW w:type="dxa" w:w="500"/>
            <w:tcBorders>
              <w:top w:val="single" w:color="CCCCCC" w:sz="1"/>
              <w:left w:val="single" w:color="CCCCCC" w:sz="1"/>
              <w:bottom w:val="single" w:color="CCCCCC" w:sz="1"/>
              <w:right w:val="single" w:color="CCCCCC" w:sz="1"/>
            </w:tcBorders>
            <w:shd w:fill="0A5C0A"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300"/>
            <w:tcBorders>
              <w:top w:val="single" w:color="CCCCCC" w:sz="1"/>
              <w:left w:val="single" w:color="CCCCCC" w:sz="1"/>
              <w:bottom w:val="single" w:color="CCCCCC" w:sz="1"/>
              <w:right w:val="single" w:color="CCCCCC" w:sz="1"/>
            </w:tcBorders>
            <w:shd w:fill="F2F7FB" w:val="clear"/>
            <w:tcMar>
              <w:top w:type="dxa" w:w="80"/>
              <w:left w:type="dxa" w:w="60"/>
              <w:bottom w:type="dxa" w:w="80"/>
              <w:right w:type="dxa" w:w="60"/>
            </w:tcMar>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 DOE Optimiser</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Tests combinations of factors simultaneously. Finds the optimal script structure with statistical proof.</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A5C0A"/>
                <w:sz w:val="19"/>
                <w:szCs w:val="19"/>
              </w:rPr>
              <w:t xml:space="preserve">Optimal factor settings + interaction effects → Apex Script Generator</w:t>
            </w:r>
          </w:p>
        </w:tc>
      </w:tr>
      <w:tr>
        <w:tc>
          <w:tcPr>
            <w:tcW w:type="dxa" w:w="500"/>
            <w:tcBorders>
              <w:top w:val="single" w:color="CCCCCC" w:sz="1"/>
              <w:left w:val="single" w:color="CCCCCC" w:sz="1"/>
              <w:bottom w:val="single" w:color="CCCCCC" w:sz="1"/>
              <w:right w:val="single" w:color="CCCCCC" w:sz="1"/>
            </w:tcBorders>
            <w:shd w:fill="9B1C1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6</w:t>
            </w:r>
          </w:p>
        </w:tc>
        <w:tc>
          <w:tcPr>
            <w:tcW w:type="dxa" w:w="300"/>
            <w:tcBorders>
              <w:top w:val="single" w:color="CCCCCC" w:sz="1"/>
              <w:left w:val="single" w:color="CCCCCC" w:sz="1"/>
              <w:bottom w:val="single" w:color="CCCCCC" w:sz="1"/>
              <w:right w:val="single" w:color="CCCCCC" w:sz="1"/>
            </w:tcBorders>
            <w:shd w:fill="F2F7FB" w:val="clear"/>
            <w:tcMar>
              <w:top w:type="dxa" w:w="80"/>
              <w:left w:type="dxa" w:w="60"/>
              <w:bottom w:type="dxa" w:w="80"/>
              <w:right w:type="dxa" w:w="60"/>
            </w:tcMar>
          </w:tcPr>
          <w:p>
            <w:pPr>
              <w:jc w:val="center"/>
            </w:pPr>
            <w:r>
              <w:rPr>
                <w:rFonts w:ascii="Arial" w:cs="Arial" w:eastAsia="Arial" w:hAnsi="Arial"/>
                <w:color w:val="555555"/>
                <w:sz w:val="22"/>
                <w:szCs w:val="22"/>
              </w:rPr>
              <w:t xml:space="preserve">↺</w:t>
            </w:r>
          </w:p>
        </w:tc>
        <w:tc>
          <w:tcPr>
            <w:tcW w:type="dxa" w:w="2000"/>
            <w:tcBorders>
              <w:top w:val="single" w:color="CCCCCC" w:sz="1"/>
              <w:left w:val="single" w:color="CCCCCC" w:sz="1"/>
              <w:bottom w:val="single" w:color="CCCCCC" w:sz="1"/>
              <w:right w:val="single" w:color="CCCCCC" w:sz="1"/>
            </w:tcBorders>
            <w:shd w:fill="9B1C1C" w:val="clear"/>
            <w:tcMar>
              <w:top w:type="dxa" w:w="80"/>
              <w:left w:type="dxa" w:w="120"/>
              <w:bottom w:type="dxa" w:w="80"/>
              <w:right w:type="dxa" w:w="120"/>
            </w:tcMar>
          </w:tcPr>
          <w:p>
            <w:r>
              <w:rPr>
                <w:rFonts w:ascii="Arial" w:cs="Arial" w:eastAsia="Arial" w:hAnsi="Arial"/>
                <w:b/>
                <w:bCs/>
                <w:color w:val="FFFFFF"/>
                <w:sz w:val="20"/>
                <w:szCs w:val="20"/>
              </w:rPr>
              <w:t xml:space="preserve">👑 Apex Script</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Synthesises all data into one proven script. Confirmation test awards Sigma Rating. Deploys as standard.</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A5C0A"/>
                <w:sz w:val="19"/>
                <w:szCs w:val="19"/>
              </w:rPr>
              <w:t xml:space="preserve">New call data feeds back into Step 1 — flywheel accelerates</w:t>
            </w:r>
          </w:p>
        </w:tc>
      </w:tr>
    </w:tbl>
    <w:p>
      <w:pPr>
        <w:spacing w:after="0" w:before="1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6.2  Complete Module Inventory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Core Capability</w:t>
            </w:r>
          </w:p>
        </w:tc>
        <w:tc>
          <w:tcPr>
            <w:tcW w:type="dxa" w:w="29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Standalone Value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VoxTrans AI — Core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Voice record, real-time translate, ElevenLabs TTS, .txt save, single button UI</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 — saleable App Store product at Phase 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VoxTrans AI — Expansion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iPad/Mac/Watch, CRM integration, industry verticals, enterprise white-label</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Very High — doubles addressable market and ARPU</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IdeaVault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Idea capture, pattern mapping, cross-domain connection, IP timestamping, NDA-gated sharing</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 — unique in market, no direct competitor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SigmaVault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AI-guided 5 Whys, full hypothesis testing suite, DMAIC pipeline, VOC/CTQ, FMEA</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Very High — replaces Minitab for mobile professionals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SalesForge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Data-driven script library, live call coaching, sales plan builder, conversion intelligence</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Highest — direct revenue impact, enterprise-grade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DOE Optimiser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Factorial experimental design, interaction effects analysis, optimal combination finder</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Highest — causal proof no other sales tool provides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Apex Script Generator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DOE-proven script synthesis, confirmation testing, Sigma Rating, continuous evolution</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Highest — the tangible ROI evidence for every feature above</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6.3  The Complete Revenue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Annual Potential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 Store — Consumer (Pro &amp; Vertical tiers)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$120,000 – $360,000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 Store — Business &amp; Sales Pro tiers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$180,000 – $480,000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Enterprise contracts (CRM integration, team accounts)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$120,000 – $600,000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White-label SDK / API licensing</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$48,000 – $180,000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DOE + SigmaVault premium add-on (Black Belt market)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$60,000 – $200,000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Consulting / workshop services (Kevin delivers)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$50,000 – $150,000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Year 1 Conservative Total</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$578,000</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Year 2 Moderate Total (3× growth)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$1,740,000+</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6.4  The Investment Required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Cost / Commitment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Apple Developer Program</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$99/year — required for App Store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ElevenLabs API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$5–$99/month depending on usage tier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Claude API (for in-app AI features)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~$0.003–$0.015 per call — negligible at launch</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Development time with Claude Code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Phase 1 MVP: 3–6 weeks of Kevin's time directing Claude Code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Mac with Xcode installed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Likely already available — macOS 14+, Xcode 16+</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Physical iPhone for testing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Already available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Privacy Policy (legal)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~$50 via LegalZoom or equivalent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 Store Connect setup</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Free — included with Developer Program</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cash outlay to Phase 1 launch</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&lt; $500 USD</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6.5  The Document Series — Complete Reference Index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VoxTrans AI — Concept &amp; Build Feasibility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Original app concept, 4 core pillars, tech stack, Claude Code feasibility by feature, 6-phase roadmap, monetisation model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VoxTrans AI — Expansion &amp; Enhancement Brief</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20 enhancements across 6 pillars: AI intelligence, CRM integration, industry verticals, platform expansion, enterprise/white-label, accessibility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IdeaVault — Innovation Intelligence Module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Idea capture engine, 4-stage cycle, pattern mapping, cross-domain connection, Kevin's 3 specific use cases, technical architecture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SigmaVault — Six Sigma Statistical Validation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AI-guided 5 Whys, full hypothesis testing suite, DMAIC pipeline, VOC/CTQ engine, FMEA, AI interaction design principles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SalesForge — Sales Intelligence &amp; Conversion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Script engine, live call coaching, sales plan builder, conversion intelligence, data flywheel, full AI-human interaction examples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DOE Optimiser — Design of Experiments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Three full use cases with worked matrices: sales approach, battery configuration, real estate reno scope. Interaction effects. Nine design types.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Apex Script — Capstone + Master Summary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Six-source script synthesis, full annotated Apex Script example, confirmation testing protocol, Sigma Rating system, complete ecosystem flywheel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E8F5E9" w:val="clear"/>
            <w:tcMar>
              <w:top w:type="dxa" w:w="220"/>
              <w:left w:type="dxa" w:w="280"/>
              <w:bottom w:type="dxa" w:w="220"/>
              <w:right w:type="dxa" w:w="280"/>
            </w:tcMar>
          </w:tcPr>
          <w:p>
            <w:pPr>
              <w:spacing w:after="100" w:before="60"/>
            </w:pPr>
            <w:r>
              <w:rPr>
                <w:rFonts w:ascii="Arial" w:cs="Arial" w:eastAsia="Arial" w:hAnsi="Arial"/>
                <w:b/>
                <w:bCs/>
                <w:color w:val="0A5C0A"/>
                <w:sz w:val="26"/>
                <w:szCs w:val="26"/>
              </w:rPr>
              <w:t xml:space="preserve">What Kevin Has Built</w:t>
            </w:r>
          </w:p>
          <w:p>
            <w:pPr>
              <w:spacing w:after="40" w:before="40"/>
            </w:pPr>
            <w:r>
              <w:rPr>
                <w:rFonts w:ascii="Arial" w:cs="Arial" w:eastAsia="Arial" w:hAnsi="Arial"/>
                <w:color w:val="1A1A2E"/>
                <w:sz w:val="21"/>
                <w:szCs w:val="21"/>
              </w:rPr>
              <w:t xml:space="preserve">A voice-native iPhone app that records and translates any conversation — that is the entry point.</w:t>
            </w:r>
          </w:p>
          <w:p>
            <w:pPr>
              <w:spacing w:after="40" w:before="40"/>
            </w:pPr>
            <w:r>
              <w:rPr>
                <w:rFonts w:ascii="Arial" w:cs="Arial" w:eastAsia="Arial" w:hAnsi="Arial"/>
                <w:color w:val="1A1A2E"/>
                <w:sz w:val="21"/>
                <w:szCs w:val="21"/>
              </w:rPr>
              <w:t xml:space="preserve">Beneath it sits an idea intelligence platform that captures every insight and maps every pattern across Kevin's professional life.</w:t>
            </w:r>
          </w:p>
          <w:p>
            <w:pPr>
              <w:spacing w:after="40" w:before="40"/>
            </w:pPr>
            <w:r>
              <w:rPr>
                <w:rFonts w:ascii="Arial" w:cs="Arial" w:eastAsia="Arial" w:hAnsi="Arial"/>
                <w:color w:val="1A1A2E"/>
                <w:sz w:val="21"/>
                <w:szCs w:val="21"/>
              </w:rPr>
              <w:t xml:space="preserve">Beneath that sits a Six Sigma validation engine that separates statistical fact from opinion.</w:t>
            </w:r>
          </w:p>
          <w:p>
            <w:pPr>
              <w:spacing w:after="40" w:before="40"/>
            </w:pPr>
            <w:r>
              <w:rPr>
                <w:rFonts w:ascii="Arial" w:cs="Arial" w:eastAsia="Arial" w:hAnsi="Arial"/>
                <w:color w:val="1A1A2E"/>
                <w:sz w:val="21"/>
                <w:szCs w:val="21"/>
              </w:rPr>
              <w:t xml:space="preserve">Beneath that sits a sales intelligence system that converts proven insights into living scripts and coaching tools.</w:t>
            </w:r>
          </w:p>
          <w:p>
            <w:pPr>
              <w:spacing w:after="40" w:before="40"/>
            </w:pPr>
            <w:r>
              <w:rPr>
                <w:rFonts w:ascii="Arial" w:cs="Arial" w:eastAsia="Arial" w:hAnsi="Arial"/>
                <w:color w:val="1A1A2E"/>
                <w:sz w:val="21"/>
                <w:szCs w:val="21"/>
              </w:rPr>
              <w:t xml:space="preserve">Beneath that sits a Design of Experiments engine that finds the optimal combination of every variable.</w:t>
            </w:r>
          </w:p>
          <w:p>
            <w:pPr>
              <w:spacing w:after="100" w:before="40"/>
            </w:pPr>
            <w:r>
              <w:rPr>
                <w:rFonts w:ascii="Arial" w:cs="Arial" w:eastAsia="Arial" w:hAnsi="Arial"/>
                <w:color w:val="1A1A2E"/>
                <w:sz w:val="21"/>
                <w:szCs w:val="21"/>
              </w:rPr>
              <w:t xml:space="preserve">And at the top — one Apex Script. Built from Kevin's own data. Proven by controlled experiment. Rated by Sigma level. Improving with every call.</w:t>
            </w:r>
          </w:p>
          <w:p>
            <w:pPr>
              <w:spacing w:after="60" w:before="80"/>
            </w:pPr>
            <w:r>
              <w:rPr>
                <w:rFonts w:ascii="Arial" w:cs="Arial" w:eastAsia="Arial" w:hAnsi="Arial"/>
                <w:b/>
                <w:bCs/>
                <w:color w:val="0A5C0A"/>
                <w:sz w:val="23"/>
                <w:szCs w:val="23"/>
              </w:rPr>
              <w:t xml:space="preserve">This is not an app. It is a proprietary competitive intelligence system that happens to live on a phone.</w:t>
            </w:r>
          </w:p>
        </w:tc>
      </w:tr>
    </w:tbl>
    <w:p>
      <w:pPr>
        <w:spacing w:after="0" w:before="200"/>
      </w:pPr>
      <w:r>
        <w:t xml:space="preserve"/>
      </w:r>
    </w:p>
    <w:p>
      <w:pPr>
        <w:jc w:val="center"/>
      </w:pPr>
      <w:r>
        <w:rPr>
          <w:rFonts w:ascii="Arial" w:cs="Arial" w:eastAsia="Arial" w:hAnsi="Arial"/>
          <w:i/>
          <w:iCs/>
          <w:color w:val="555555"/>
          <w:sz w:val="22"/>
          <w:szCs w:val="22"/>
        </w:rPr>
        <w:t xml:space="preserve">— End of Apex Script Specification &amp; Master Ecosystem Summary —</w:t>
      </w:r>
    </w:p>
    <w:p>
      <w:pPr>
        <w:spacing w:before="80"/>
        <w:jc w:val="center"/>
      </w:pPr>
      <w:r>
        <w:rPr>
          <w:rFonts w:ascii="Arial" w:cs="Arial" w:eastAsia="Arial" w:hAnsi="Arial"/>
          <w:color w:val="CCCCCC"/>
          <w:sz w:val="18"/>
          <w:szCs w:val="18"/>
        </w:rPr>
        <w:t xml:space="preserve">Produced by Claude Sonnet 4.6  |  Anthropic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6" w:space="4"/>
      </w:pBdr>
      <w:tabs>
        <w:tab w:val="right" w:pos="9026"/>
      </w:tabs>
    </w:pPr>
    <w:r>
      <w:rPr>
        <w:rFonts w:ascii="Arial" w:cs="Arial" w:eastAsia="Arial" w:hAnsi="Arial"/>
        <w:color w:val="555555"/>
        <w:sz w:val="18"/>
        <w:szCs w:val="18"/>
      </w:rPr>
      <w:t xml:space="preserve">Confidential  |  Kevin</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4"/>
      </w:pBdr>
    </w:pPr>
    <w:r>
      <w:rPr>
        <w:rFonts w:ascii="Arial" w:cs="Arial" w:eastAsia="Arial" w:hAnsi="Arial"/>
        <w:color w:val="555555"/>
        <w:sz w:val="18"/>
        <w:szCs w:val="18"/>
      </w:rPr>
      <w:t xml:space="preserve">The Apex Script  |  Capstone Module &amp; Master Ecosystem Summary  |  Kevin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2026-05-21T06:43:52.987Z</dcterms:created>
  <dcterms:modified xsi:type="dcterms:W3CDTF">2026-05-21T06:43:53.001Z</dcterms:modified>
</cp:coreProperties>
</file>

<file path=docProps/custom.xml><?xml version="1.0" encoding="utf-8"?>
<Properties xmlns="http://schemas.openxmlformats.org/officeDocument/2006/custom-properties" xmlns:vt="http://schemas.openxmlformats.org/officeDocument/2006/docPropsVTypes"/>
</file>