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2B" w:val="clear"/>
            <w:tcMar>
              <w:top w:type="dxa" w:w="500"/>
              <w:left w:type="dxa" w:w="500"/>
              <w:bottom w:type="dxa" w:w="500"/>
              <w:right w:type="dxa" w:w="500"/>
            </w:tcMar>
          </w:tcPr>
          <w:p>
            <w:pPr>
              <w:spacing w:after="80" w:before="60"/>
              <w:jc w:val="center"/>
            </w:pPr>
            <w:r>
              <w:rPr>
                <w:rFonts w:ascii="Arial" w:cs="Arial" w:eastAsia="Arial" w:hAnsi="Arial"/>
                <w:b/>
                <w:bCs/>
                <w:color w:val="00C853"/>
                <w:sz w:val="60"/>
                <w:szCs w:val="60"/>
              </w:rPr>
              <w:t xml:space="preserve">🧪  DOE OPTIMISER</w:t>
            </w:r>
          </w:p>
          <w:p>
            <w:pPr>
              <w:spacing w:after="80" w:before="60"/>
              <w:jc w:val="center"/>
            </w:pPr>
            <w:r>
              <w:rPr>
                <w:rFonts w:ascii="Arial" w:cs="Arial" w:eastAsia="Arial" w:hAnsi="Arial"/>
                <w:i/>
                <w:iCs/>
                <w:color w:val="FFFFFF"/>
                <w:sz w:val="30"/>
                <w:szCs w:val="30"/>
              </w:rPr>
              <w:t xml:space="preserve">Design of Experiments for Sales &amp; Solution Optimisation</w:t>
            </w:r>
          </w:p>
          <w:p>
            <w:pPr>
              <w:spacing w:after="100" w:before="40"/>
              <w:jc w:val="center"/>
            </w:pPr>
            <w:r>
              <w:rPr>
                <w:rFonts w:ascii="Arial" w:cs="Arial" w:eastAsia="Arial" w:hAnsi="Arial"/>
                <w:color w:val="A9D0F5"/>
                <w:sz w:val="22"/>
                <w:szCs w:val="22"/>
              </w:rPr>
              <w:t xml:space="preserve">Find the Optimal Combination  •  Not Just the Best Single Factor</w:t>
            </w:r>
          </w:p>
        </w:tc>
      </w:tr>
    </w:tbl>
    <w:p>
      <w:pPr>
        <w:spacing w:after="0" w:before="280"/>
      </w:pPr>
      <w:r>
        <w:t xml:space="preserve"/>
      </w:r>
    </w:p>
    <w:p>
      <w:pPr>
        <w:spacing w:after="30" w:before="40"/>
        <w:jc w:val="center"/>
      </w:pPr>
      <w:r>
        <w:rPr>
          <w:rFonts w:ascii="Arial" w:cs="Arial" w:eastAsia="Arial" w:hAnsi="Arial"/>
          <w:i/>
          <w:iCs/>
          <w:color w:val="555555"/>
          <w:sz w:val="21"/>
          <w:szCs w:val="21"/>
        </w:rPr>
        <w:t xml:space="preserve">An Add-On Module for SalesForge  |  SigmaVault  |  VoxTrans AI</w:t>
      </w:r>
    </w:p>
    <w:p>
      <w:pPr>
        <w:spacing w:after="60" w:before="30"/>
        <w:jc w:val="center"/>
      </w:pPr>
      <w:r>
        <w:rPr>
          <w:rFonts w:ascii="Arial" w:cs="Arial" w:eastAsia="Arial" w:hAnsi="Arial"/>
          <w:color w:val="555555"/>
          <w:sz w:val="20"/>
          <w:szCs w:val="20"/>
        </w:rPr>
        <w:t xml:space="preserve">Kevin  |  Six Sigma Black Belt  |  May 2026</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F4E79" w:val="clear"/>
            <w:tcMar>
              <w:top w:type="dxa" w:w="160"/>
              <w:left w:type="dxa" w:w="140"/>
              <w:bottom w:type="dxa" w:w="160"/>
              <w:right w:type="dxa" w:w="140"/>
            </w:tcMar>
          </w:tcPr>
          <w:p>
            <w:pPr>
              <w:spacing w:after="40" w:before="40"/>
              <w:jc w:val="center"/>
            </w:pPr>
            <w:r>
              <w:rPr>
                <w:rFonts w:ascii="Arial" w:cs="Arial" w:eastAsia="Arial" w:hAnsi="Arial"/>
                <w:b/>
                <w:bCs/>
                <w:color w:val="FFFFFF"/>
                <w:sz w:val="22"/>
                <w:szCs w:val="22"/>
              </w:rPr>
              <w:t xml:space="preserve">One-at-a-Time Testing</w:t>
            </w:r>
          </w:p>
          <w:p>
            <w:pPr>
              <w:spacing w:after="20" w:before="20"/>
              <w:jc w:val="center"/>
            </w:pPr>
            <w:r>
              <w:rPr>
                <w:rFonts w:ascii="Arial" w:cs="Arial" w:eastAsia="Arial" w:hAnsi="Arial"/>
                <w:color w:val="FFFFFF"/>
                <w:sz w:val="19"/>
                <w:szCs w:val="19"/>
              </w:rPr>
              <w:t xml:space="preserve">Tests 1 variable.</w:t>
            </w:r>
          </w:p>
          <w:p>
            <w:pPr>
              <w:spacing w:after="20" w:before="20"/>
              <w:jc w:val="center"/>
            </w:pPr>
            <w:r>
              <w:rPr>
                <w:rFonts w:ascii="Arial" w:cs="Arial" w:eastAsia="Arial" w:hAnsi="Arial"/>
                <w:color w:val="FFFFFF"/>
                <w:sz w:val="19"/>
                <w:szCs w:val="19"/>
              </w:rPr>
              <w:t xml:space="preserve">Misses interactions.</w:t>
            </w:r>
          </w:p>
          <w:p>
            <w:pPr>
              <w:spacing w:after="20" w:before="20"/>
              <w:jc w:val="center"/>
            </w:pPr>
            <w:r>
              <w:rPr>
                <w:rFonts w:ascii="Arial" w:cs="Arial" w:eastAsia="Arial" w:hAnsi="Arial"/>
                <w:color w:val="FFFFFF"/>
                <w:sz w:val="19"/>
                <w:szCs w:val="19"/>
              </w:rPr>
              <w:t xml:space="preserve">Slow. Inefficient.</w:t>
            </w:r>
          </w:p>
        </w:tc>
        <w:tc>
          <w:tcPr>
            <w:tcW w:type="dxa" w:w="3120"/>
            <w:tcBorders>
              <w:top w:val="none" w:color="FFFFFF" w:sz="0"/>
              <w:left w:val="none" w:color="FFFFFF" w:sz="0"/>
              <w:bottom w:val="none" w:color="FFFFFF" w:sz="0"/>
              <w:right w:val="none" w:color="FFFFFF" w:sz="0"/>
            </w:tcBorders>
            <w:shd w:fill="B8860B" w:val="clear"/>
            <w:tcMar>
              <w:top w:type="dxa" w:w="160"/>
              <w:left w:type="dxa" w:w="140"/>
              <w:bottom w:type="dxa" w:w="160"/>
              <w:right w:type="dxa" w:w="140"/>
            </w:tcMar>
          </w:tcPr>
          <w:p>
            <w:pPr>
              <w:spacing w:after="40" w:before="40"/>
              <w:jc w:val="center"/>
            </w:pPr>
            <w:r>
              <w:rPr>
                <w:rFonts w:ascii="Arial" w:cs="Arial" w:eastAsia="Arial" w:hAnsi="Arial"/>
                <w:b/>
                <w:bCs/>
                <w:color w:val="FFFFFF"/>
                <w:sz w:val="22"/>
                <w:szCs w:val="22"/>
              </w:rPr>
              <w:t xml:space="preserve">A/B Testing</w:t>
            </w:r>
          </w:p>
          <w:p>
            <w:pPr>
              <w:spacing w:after="20" w:before="20"/>
              <w:jc w:val="center"/>
            </w:pPr>
            <w:r>
              <w:rPr>
                <w:rFonts w:ascii="Arial" w:cs="Arial" w:eastAsia="Arial" w:hAnsi="Arial"/>
                <w:color w:val="FFFFFF"/>
                <w:sz w:val="19"/>
                <w:szCs w:val="19"/>
              </w:rPr>
              <w:t xml:space="preserve">Tests 2 variables.</w:t>
            </w:r>
          </w:p>
          <w:p>
            <w:pPr>
              <w:spacing w:after="20" w:before="20"/>
              <w:jc w:val="center"/>
            </w:pPr>
            <w:r>
              <w:rPr>
                <w:rFonts w:ascii="Arial" w:cs="Arial" w:eastAsia="Arial" w:hAnsi="Arial"/>
                <w:color w:val="FFFFFF"/>
                <w:sz w:val="19"/>
                <w:szCs w:val="19"/>
              </w:rPr>
              <w:t xml:space="preserve">Still misses</w:t>
            </w:r>
          </w:p>
          <w:p>
            <w:pPr>
              <w:spacing w:after="20" w:before="20"/>
              <w:jc w:val="center"/>
            </w:pPr>
            <w:r>
              <w:rPr>
                <w:rFonts w:ascii="Arial" w:cs="Arial" w:eastAsia="Arial" w:hAnsi="Arial"/>
                <w:color w:val="FFFFFF"/>
                <w:sz w:val="19"/>
                <w:szCs w:val="19"/>
              </w:rPr>
              <w:t xml:space="preserve">combination effects.</w:t>
            </w:r>
          </w:p>
        </w:tc>
        <w:tc>
          <w:tcPr>
            <w:tcW w:type="dxa" w:w="3120"/>
            <w:tcBorders>
              <w:top w:val="none" w:color="FFFFFF" w:sz="0"/>
              <w:left w:val="none" w:color="FFFFFF" w:sz="0"/>
              <w:bottom w:val="none" w:color="FFFFFF" w:sz="0"/>
              <w:right w:val="none" w:color="FFFFFF" w:sz="0"/>
            </w:tcBorders>
            <w:shd w:fill="0A5C0A" w:val="clear"/>
            <w:tcMar>
              <w:top w:type="dxa" w:w="160"/>
              <w:left w:type="dxa" w:w="140"/>
              <w:bottom w:type="dxa" w:w="160"/>
              <w:right w:type="dxa" w:w="140"/>
            </w:tcMar>
          </w:tcPr>
          <w:p>
            <w:pPr>
              <w:spacing w:after="40" w:before="40"/>
              <w:jc w:val="center"/>
            </w:pPr>
            <w:r>
              <w:rPr>
                <w:rFonts w:ascii="Arial" w:cs="Arial" w:eastAsia="Arial" w:hAnsi="Arial"/>
                <w:b/>
                <w:bCs/>
                <w:color w:val="FFFFFF"/>
                <w:sz w:val="22"/>
                <w:szCs w:val="22"/>
              </w:rPr>
              <w:t xml:space="preserve">DOE Optimiser</w:t>
            </w:r>
          </w:p>
          <w:p>
            <w:pPr>
              <w:spacing w:after="20" w:before="20"/>
              <w:jc w:val="center"/>
            </w:pPr>
            <w:r>
              <w:rPr>
                <w:rFonts w:ascii="Arial" w:cs="Arial" w:eastAsia="Arial" w:hAnsi="Arial"/>
                <w:color w:val="FFFFFF"/>
                <w:sz w:val="19"/>
                <w:szCs w:val="19"/>
              </w:rPr>
              <w:t xml:space="preserve">Tests ALL variables</w:t>
            </w:r>
          </w:p>
          <w:p>
            <w:pPr>
              <w:spacing w:after="20" w:before="20"/>
              <w:jc w:val="center"/>
            </w:pPr>
            <w:r>
              <w:rPr>
                <w:rFonts w:ascii="Arial" w:cs="Arial" w:eastAsia="Arial" w:hAnsi="Arial"/>
                <w:color w:val="FFFFFF"/>
                <w:sz w:val="19"/>
                <w:szCs w:val="19"/>
              </w:rPr>
              <w:t xml:space="preserve">simultaneously. Finds</w:t>
            </w:r>
          </w:p>
          <w:p>
            <w:pPr>
              <w:spacing w:after="20" w:before="20"/>
              <w:jc w:val="center"/>
            </w:pPr>
            <w:r>
              <w:rPr>
                <w:rFonts w:ascii="Arial" w:cs="Arial" w:eastAsia="Arial" w:hAnsi="Arial"/>
                <w:color w:val="FFFFFF"/>
                <w:sz w:val="19"/>
                <w:szCs w:val="19"/>
              </w:rPr>
              <w:t xml:space="preserve">the optimal combination.</w:t>
            </w:r>
          </w:p>
        </w:tc>
      </w:tr>
    </w:tbl>
    <w:p>
      <w:pPr>
        <w:spacing w:after="0" w:before="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80"/>
              <w:bottom w:type="dxa" w:w="160"/>
              <w:right w:type="dxa" w:w="280"/>
            </w:tcMar>
          </w:tcPr>
          <w:p>
            <w:pPr>
              <w:jc w:val="center"/>
            </w:pPr>
            <w:r>
              <w:rPr>
                <w:rFonts w:ascii="Arial" w:cs="Arial" w:eastAsia="Arial" w:hAnsi="Arial"/>
                <w:i/>
                <w:iCs/>
                <w:color w:val="FFFFFF"/>
                <w:sz w:val="23"/>
                <w:szCs w:val="23"/>
              </w:rPr>
              <w:t xml:space="preserve">"You already know A/B testing. DOE tells you A×B×C — and the interaction between them."</w:t>
            </w:r>
          </w:p>
        </w:tc>
      </w:tr>
    </w:tbl>
    <w:p>
      <w:pPr>
        <w:sectPr>
          <w:pgSz w:w="12240" w:h="15840" w:orient="portrait"/>
          <w:pgMar w:top="720" w:right="1440" w:bottom="720" w:left="1440" w:header="708" w:footer="708" w:gutter="0"/>
          <w:pgNumType/>
          <w:docGrid w:linePitch="360"/>
        </w:sectPr>
      </w:pPr>
    </w:p>
    <w:p>
      <w:pPr>
        <w:pStyle w:val="Heading1"/>
        <w:spacing w:after="180" w:before="360"/>
      </w:pPr>
      <w:r>
        <w:rPr>
          <w:rFonts w:ascii="Arial" w:cs="Arial" w:eastAsia="Arial" w:hAnsi="Arial"/>
          <w:b/>
          <w:bCs/>
          <w:color w:val="1F4E79"/>
          <w:sz w:val="32"/>
          <w:szCs w:val="32"/>
        </w:rPr>
        <w:t xml:space="preserve">1.  Why DOE — The Problem With Testing One Thing at a Time</w:t>
      </w:r>
    </w:p>
    <w:p>
      <w:pPr>
        <w:spacing w:after="80" w:before="60"/>
      </w:pPr>
      <w:r>
        <w:rPr>
          <w:rFonts w:ascii="Arial" w:cs="Arial" w:eastAsia="Arial" w:hAnsi="Arial"/>
          <w:color w:val="1A1A2E"/>
          <w:sz w:val="22"/>
          <w:szCs w:val="22"/>
        </w:rPr>
        <w:t xml:space="preserve">Kevin, as a Black Belt you know this argument cold — but it is worth stating sharply for the app's documentation because it is the intellectual foundation of the entire module.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The Fundamental Flaw in Conventional Sales Testing</w:t>
            </w:r>
          </w:p>
          <w:p>
            <w:pPr>
              <w:spacing w:after="36" w:before="36"/>
            </w:pPr>
            <w:r>
              <w:rPr>
                <w:rFonts w:ascii="Arial" w:cs="Arial" w:eastAsia="Arial" w:hAnsi="Arial"/>
                <w:color w:val="FFFFFF"/>
                <w:sz w:val="20"/>
                <w:szCs w:val="20"/>
              </w:rPr>
              <w:t xml:space="preserve">Most sales teams test one variable at a time: 'Let's try a new opening this month. Next month we'll test a different</w:t>
            </w:r>
          </w:p>
          <w:p>
            <w:pPr>
              <w:spacing w:after="36" w:before="36"/>
            </w:pPr>
            <w:r>
              <w:rPr>
                <w:rFonts w:ascii="Arial" w:cs="Arial" w:eastAsia="Arial" w:hAnsi="Arial"/>
                <w:color w:val="FFFFFF"/>
                <w:sz w:val="20"/>
                <w:szCs w:val="20"/>
              </w:rPr>
              <w:t xml:space="preserve">closing technique.' This is the One-Factor-At-a-Time (OFAT) approach. It is slow, wasteful, and — critically —</w:t>
            </w:r>
          </w:p>
          <w:p>
            <w:pPr>
              <w:spacing w:after="36" w:before="36"/>
            </w:pPr>
            <w:r>
              <w:rPr>
                <w:rFonts w:ascii="Arial" w:cs="Arial" w:eastAsia="Arial" w:hAnsi="Arial"/>
                <w:color w:val="FFFFFF"/>
                <w:sz w:val="20"/>
                <w:szCs w:val="20"/>
              </w:rPr>
              <w:t xml:space="preserve">it is blind to interaction effects. It can never tell you that TCO framing works brilliantly when combined</w:t>
            </w:r>
          </w:p>
          <w:p>
            <w:pPr>
              <w:spacing w:after="36" w:before="36"/>
            </w:pPr>
            <w:r>
              <w:rPr>
                <w:rFonts w:ascii="Arial" w:cs="Arial" w:eastAsia="Arial" w:hAnsi="Arial"/>
                <w:color w:val="FFFFFF"/>
                <w:sz w:val="20"/>
                <w:szCs w:val="20"/>
              </w:rPr>
              <w:t xml:space="preserve">with an early ROI question, but actually underperforms when used after a technical spec discussion.</w:t>
            </w:r>
          </w:p>
          <w:p>
            <w:pPr>
              <w:spacing w:after="36" w:before="36"/>
            </w:pPr>
            <w:r>
              <w:rPr>
                <w:rFonts w:ascii="Arial" w:cs="Arial" w:eastAsia="Arial" w:hAnsi="Arial"/>
                <w:color w:val="FFFFFF"/>
                <w:sz w:val="20"/>
                <w:szCs w:val="20"/>
              </w:rPr>
              <w:t xml:space="preserve">DOE sees all of this simultaneously, in the minimum number of experimental runs required.</w:t>
            </w:r>
          </w:p>
        </w:tc>
      </w:tr>
    </w:tbl>
    <w:p>
      <w:pPr>
        <w:spacing w:after="0" w:before="180"/>
      </w:pPr>
      <w:r>
        <w:t xml:space="preserve"/>
      </w:r>
    </w:p>
    <w:p>
      <w:pPr>
        <w:spacing w:after="80" w:before="60"/>
      </w:pPr>
      <w:r>
        <w:rPr>
          <w:rFonts w:ascii="Arial" w:cs="Arial" w:eastAsia="Arial" w:hAnsi="Arial"/>
          <w:color w:val="1A1A2E"/>
          <w:sz w:val="22"/>
          <w:szCs w:val="22"/>
        </w:rPr>
        <w:t xml:space="preserve">The DOE Optimiser module applies factorial experimental design to the two most important questions Kevin and his sales team face:</w:t>
      </w:r>
    </w:p>
    <w:p>
      <w:pPr>
        <w:spacing w:after="0" w:before="60"/>
      </w:pPr>
      <w:r>
        <w:t xml:space="preserve"/>
      </w:r>
    </w:p>
    <w:p>
      <w:pPr>
        <w:pStyle w:val="ListParagraph"/>
        <w:numPr>
          <w:ilvl w:val="0"/>
          <w:numId w:val="2"/>
        </w:numPr>
        <w:spacing w:after="44" w:before="44"/>
      </w:pPr>
      <w:r>
        <w:rPr>
          <w:rFonts w:ascii="Arial" w:cs="Arial" w:eastAsia="Arial" w:hAnsi="Arial"/>
          <w:b w:val="false"/>
          <w:bCs w:val="false"/>
          <w:color w:val="1A1A2E"/>
          <w:sz w:val="22"/>
          <w:szCs w:val="22"/>
        </w:rPr>
        <w:t xml:space="preserve">What combination of sales factors produces the highest conversion rate?</w:t>
      </w:r>
    </w:p>
    <w:p>
      <w:pPr>
        <w:pStyle w:val="ListParagraph"/>
        <w:numPr>
          <w:ilvl w:val="0"/>
          <w:numId w:val="2"/>
        </w:numPr>
        <w:spacing w:after="44" w:before="44"/>
      </w:pPr>
      <w:r>
        <w:rPr>
          <w:rFonts w:ascii="Arial" w:cs="Arial" w:eastAsia="Arial" w:hAnsi="Arial"/>
          <w:b w:val="false"/>
          <w:bCs w:val="false"/>
          <w:color w:val="1A1A2E"/>
          <w:sz w:val="22"/>
          <w:szCs w:val="22"/>
        </w:rPr>
        <w:t xml:space="preserve">What combination of solution elements best solves a customer or business problem?</w:t>
      </w:r>
    </w:p>
    <w:p>
      <w:pPr>
        <w:spacing w:after="0" w:before="80"/>
      </w:pPr>
      <w:r>
        <w:t xml:space="preserve"/>
      </w:r>
    </w:p>
    <w:p>
      <w:pPr>
        <w:spacing w:after="80" w:before="60"/>
      </w:pPr>
      <w:r>
        <w:rPr>
          <w:rFonts w:ascii="Arial" w:cs="Arial" w:eastAsia="Arial" w:hAnsi="Arial"/>
          <w:color w:val="1A1A2E"/>
          <w:sz w:val="22"/>
          <w:szCs w:val="22"/>
        </w:rPr>
        <w:t xml:space="preserve">These are structurally identical questions. In both cases, there are multiple factors (controllable variables), each with two or more levels (settings), and a measurable response (conversion rate, customer satisfaction score, deal size, days to close). DOE finds the optimal factor combination in the fewest possible experimental runs — with full statistical confidence in the result.</w:t>
      </w:r>
    </w:p>
    <w:p>
      <w:pPr>
        <w:spacing w:after="0" w:before="200"/>
      </w:pPr>
      <w:r>
        <w:t xml:space="preserve"/>
      </w:r>
    </w:p>
    <w:p>
      <w:pPr>
        <w:pStyle w:val="Heading1"/>
        <w:spacing w:after="180" w:before="360"/>
      </w:pPr>
      <w:r>
        <w:rPr>
          <w:rFonts w:ascii="Arial" w:cs="Arial" w:eastAsia="Arial" w:hAnsi="Arial"/>
          <w:b/>
          <w:bCs/>
          <w:color w:val="1F4E79"/>
          <w:sz w:val="32"/>
          <w:szCs w:val="32"/>
        </w:rPr>
        <w:t xml:space="preserve">2.  How the DOE Optimiser Works — The Four Steps</w:t>
      </w:r>
    </w:p>
    <w:p>
      <w:pPr>
        <w:spacing w:after="80" w:before="60"/>
      </w:pPr>
      <w:r>
        <w:rPr>
          <w:rFonts w:ascii="Arial" w:cs="Arial" w:eastAsia="Arial" w:hAnsi="Arial"/>
          <w:color w:val="1A1A2E"/>
          <w:sz w:val="22"/>
          <w:szCs w:val="22"/>
        </w:rPr>
        <w:t xml:space="preserve">The DOE Optimiser is fully AI-guided. Kevin does not need to build matrices or calculate effects manually. The AI handles the experimental design, assignment, analysis, and interpretation. Kevin provides the domain knowledge; the AI provides the statistical rigour.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4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What the AI Does</w:t>
            </w:r>
          </w:p>
        </w:tc>
        <w:tc>
          <w:tcPr>
            <w:tcW w:type="dxa" w:w="408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What Kevin Does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1  —  Design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Identifies factors and levels. Builds the optimal experimental matrix. Calculates the minimum number of runs needed.</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Names the factors he wants to test. Sets the high (+) and low (−) levels for each. Approves the matrix.</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2  —  Assign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Randomly assigns incoming calls or opportunities to experimental conditions. Tracks which rep used which combination on which call.</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Records calls normally via VoxTrans AI. SalesForge handles condition assignment invisibly.</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3  —  Analyse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Calculates main effects, interaction effects, and response surface. Runs ANOVA to confirm statistical significance. Identifies optimal combination.</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Reviews the AI's plain-language interpretation. Confirms the findings make intuitive sense.</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4  —  Deploy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Updates SalesForge script library with the winning combination. Generates a Deployment Brief for the sales team. Archives experiment for future reference.</w:t>
            </w:r>
          </w:p>
        </w:tc>
        <w:tc>
          <w:tcPr>
            <w:tcW w:type="dxa" w:w="4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Decides whether to deploy, run a confirmation experiment, or investigate anomalies further.</w:t>
            </w:r>
          </w:p>
        </w:tc>
      </w:tr>
    </w:tbl>
    <w:p>
      <w:r>
        <w:br w:type="page"/>
      </w:r>
    </w:p>
    <w:p>
      <w:pPr>
        <w:pStyle w:val="Heading1"/>
        <w:spacing w:after="180" w:before="360"/>
      </w:pPr>
      <w:r>
        <w:rPr>
          <w:rFonts w:ascii="Arial" w:cs="Arial" w:eastAsia="Arial" w:hAnsi="Arial"/>
          <w:b/>
          <w:bCs/>
          <w:color w:val="1F4E79"/>
          <w:sz w:val="32"/>
          <w:szCs w:val="32"/>
        </w:rPr>
        <w:t xml:space="preserve">3.  Use Case 1 — Sales Approach Optimisation DOE</w:t>
      </w:r>
    </w:p>
    <w:p>
      <w:pPr>
        <w:pStyle w:val="Heading2"/>
        <w:pBdr>
          <w:bottom w:val="single" w:color="00C853" w:sz="4" w:space="4"/>
        </w:pBdr>
        <w:spacing w:after="120" w:before="280"/>
      </w:pPr>
      <w:r>
        <w:rPr>
          <w:rFonts w:ascii="Arial" w:cs="Arial" w:eastAsia="Arial" w:hAnsi="Arial"/>
          <w:b/>
          <w:bCs/>
          <w:color w:val="2E75B6"/>
          <w:sz w:val="26"/>
          <w:szCs w:val="26"/>
        </w:rPr>
        <w:t xml:space="preserve">3.1  The Experiment Setup — AI-Human Dialogue</w:t>
      </w:r>
    </w:p>
    <w:p>
      <w:pPr>
        <w:spacing w:after="80" w:before="60"/>
      </w:pPr>
      <w:r>
        <w:rPr>
          <w:rFonts w:ascii="Arial" w:cs="Arial" w:eastAsia="Arial" w:hAnsi="Arial"/>
          <w:color w:val="1A1A2E"/>
          <w:sz w:val="22"/>
          <w:szCs w:val="22"/>
        </w:rPr>
        <w:t xml:space="preserve">Kevin wants to find the optimal combination of sales approach variables for technical battery sales calls. He opens the DOE Optimiser and the AI guides him through the design: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2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20"/>
            </w:tcMar>
          </w:tcPr>
          <w:p>
            <w:r>
              <w:rPr>
                <w:rFonts w:ascii="Arial" w:cs="Arial" w:eastAsia="Arial" w:hAnsi="Arial"/>
                <w:i w:val="false"/>
                <w:iCs w:val="false"/>
                <w:color w:val="1A1A2E"/>
                <w:sz w:val="20"/>
                <w:szCs w:val="20"/>
              </w:rPr>
              <w:t xml:space="preserve">Let's design a sales DOE. What outcome are you trying to maximise? I can pull from your call data: conversion rate, days to close, deal size, or end-of-call sentiment score.</w:t>
            </w:r>
          </w:p>
        </w:tc>
      </w:tr>
      <w:tr>
        <w:tc>
          <w:tcPr>
            <w:tcW w:type="dxa" w:w="2100"/>
            <w:tcBorders>
              <w:top w:val="single" w:color="CCCCCC" w:sz="1"/>
              <w:left w:val="single" w:color="CCCCCC" w:sz="1"/>
              <w:bottom w:val="single" w:color="CCCCCC" w:sz="1"/>
              <w:right w:val="single" w:color="CCCCCC" w:sz="1"/>
            </w:tcBorders>
            <w:shd w:fill="0A5C0A"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iCs/>
                <w:color w:val="1A1A2E"/>
                <w:sz w:val="20"/>
                <w:szCs w:val="20"/>
              </w:rPr>
              <w:t xml:space="preserve">Conversion rate — calls that result in a formal proposal request.</w:t>
            </w:r>
          </w:p>
        </w:tc>
      </w:tr>
      <w:tr>
        <w:tc>
          <w:tcPr>
            <w:tcW w:type="dxa" w:w="21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2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20"/>
            </w:tcMar>
          </w:tcPr>
          <w:p>
            <w:r>
              <w:rPr>
                <w:rFonts w:ascii="Arial" w:cs="Arial" w:eastAsia="Arial" w:hAnsi="Arial"/>
                <w:i w:val="false"/>
                <w:iCs w:val="false"/>
                <w:color w:val="1A1A2E"/>
                <w:sz w:val="20"/>
                <w:szCs w:val="20"/>
              </w:rPr>
              <w:t xml:space="preserve">Good — clean binary response. Now name the factors you want to test. What are the sales variables you've been debating? Give me 2 to 5 — I'll warn you if we need to go fractional.</w:t>
            </w:r>
          </w:p>
        </w:tc>
      </w:tr>
      <w:tr>
        <w:tc>
          <w:tcPr>
            <w:tcW w:type="dxa" w:w="2100"/>
            <w:tcBorders>
              <w:top w:val="single" w:color="CCCCCC" w:sz="1"/>
              <w:left w:val="single" w:color="CCCCCC" w:sz="1"/>
              <w:bottom w:val="single" w:color="CCCCCC" w:sz="1"/>
              <w:right w:val="single" w:color="CCCCCC" w:sz="1"/>
            </w:tcBorders>
            <w:shd w:fill="0A5C0A"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iCs/>
                <w:color w:val="1A1A2E"/>
                <w:sz w:val="20"/>
                <w:szCs w:val="20"/>
              </w:rPr>
              <w:t xml:space="preserve">Four factors: one — TCO opening vs spec opening. Two — demo during call vs demo deferred. Three — price mentioned early vs price deferred. Four — follow-up within 24 hours vs 72 hours.</w:t>
            </w:r>
          </w:p>
        </w:tc>
      </w:tr>
      <w:tr>
        <w:tc>
          <w:tcPr>
            <w:tcW w:type="dxa" w:w="21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2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20"/>
            </w:tcMar>
          </w:tcPr>
          <w:p>
            <w:r>
              <w:rPr>
                <w:rFonts w:ascii="Arial" w:cs="Arial" w:eastAsia="Arial" w:hAnsi="Arial"/>
                <w:i w:val="false"/>
                <w:iCs w:val="false"/>
                <w:color w:val="1A1A2E"/>
                <w:sz w:val="20"/>
                <w:szCs w:val="20"/>
              </w:rPr>
              <w:t xml:space="preserve">Four factors, two levels each — that's a 2⁴ full factorial: 16 experimental runs. That is feasible given your call volume. I recommend adding 4 centre-point runs for curvature detection — 20 runs total. At your current volume of 14 qualified calls per month, we'll have results in 6 weeks. Shall I build the matrix?</w:t>
            </w:r>
          </w:p>
        </w:tc>
      </w:tr>
      <w:tr>
        <w:tc>
          <w:tcPr>
            <w:tcW w:type="dxa" w:w="2100"/>
            <w:tcBorders>
              <w:top w:val="single" w:color="CCCCCC" w:sz="1"/>
              <w:left w:val="single" w:color="CCCCCC" w:sz="1"/>
              <w:bottom w:val="single" w:color="CCCCCC" w:sz="1"/>
              <w:right w:val="single" w:color="CCCCCC" w:sz="1"/>
            </w:tcBorders>
            <w:shd w:fill="0A5C0A" w:val="clear"/>
            <w:tcMar>
              <w:top w:type="dxa" w:w="80"/>
              <w:left w:type="dxa" w:w="120"/>
              <w:bottom w:type="dxa" w:w="80"/>
              <w:right w:type="dxa" w:w="120"/>
            </w:tcMar>
          </w:tcPr>
          <w:p>
            <w:r>
              <w:rPr>
                <w:rFonts w:ascii="Arial" w:cs="Arial" w:eastAsia="Arial" w:hAnsi="Arial"/>
                <w:b/>
                <w:bCs/>
                <w:color w:val="FFFFFF"/>
                <w:sz w:val="20"/>
                <w:szCs w:val="20"/>
              </w:rPr>
              <w:t xml:space="preserve">Kevin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i/>
                <w:iCs/>
                <w:color w:val="1A1A2E"/>
                <w:sz w:val="20"/>
                <w:szCs w:val="20"/>
              </w:rPr>
              <w:t xml:space="preserve">Yes — build it.</w:t>
            </w:r>
          </w:p>
        </w:tc>
      </w:tr>
      <w:tr>
        <w:tc>
          <w:tcPr>
            <w:tcW w:type="dxa" w:w="21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  AI Coach</w:t>
            </w:r>
          </w:p>
        </w:tc>
        <w:tc>
          <w:tcPr>
            <w:tcW w:type="dxa" w:w="7260"/>
            <w:tcBorders>
              <w:top w:val="single" w:color="CCCCCC" w:sz="1"/>
              <w:left w:val="single" w:color="CCCCCC" w:sz="1"/>
              <w:bottom w:val="single" w:color="CCCCCC" w:sz="1"/>
              <w:right w:val="single" w:color="CCCCCC" w:sz="1"/>
            </w:tcBorders>
            <w:shd w:fill="F2F7FB" w:val="clear"/>
            <w:tcMar>
              <w:top w:type="dxa" w:w="80"/>
              <w:left w:type="dxa" w:w="140"/>
              <w:bottom w:type="dxa" w:w="80"/>
              <w:right w:type="dxa" w:w="120"/>
            </w:tcMar>
          </w:tcPr>
          <w:p>
            <w:r>
              <w:rPr>
                <w:rFonts w:ascii="Arial" w:cs="Arial" w:eastAsia="Arial" w:hAnsi="Arial"/>
                <w:i w:val="false"/>
                <w:iCs w:val="false"/>
                <w:color w:val="1A1A2E"/>
                <w:sz w:val="20"/>
                <w:szCs w:val="20"/>
              </w:rPr>
              <w:t xml:space="preserve">Matrix generated. I've randomised the run order to prevent confounding with time-of-month effects. Each run has been assigned to your next incoming calls. SalesForge will prompt the rep with the correct approach combination at call start. No manual tracking required.</w:t>
            </w:r>
          </w:p>
        </w:tc>
      </w:tr>
    </w:tbl>
    <w:p>
      <w:pPr>
        <w:spacing w:after="0" w:before="10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3.2  The Experimental Matrix</w:t>
      </w:r>
    </w:p>
    <w:p>
      <w:pPr>
        <w:spacing w:after="80" w:before="60"/>
      </w:pPr>
      <w:r>
        <w:rPr>
          <w:rFonts w:ascii="Arial" w:cs="Arial" w:eastAsia="Arial" w:hAnsi="Arial"/>
          <w:color w:val="1A1A2E"/>
          <w:sz w:val="22"/>
          <w:szCs w:val="22"/>
        </w:rPr>
        <w:t xml:space="preserve">Below is the 2⁴ full factorial design generated by the AI. Each row is one experimental run — one sales call conducted with that exact combination of factors. The Response column shows the actual conversion result recorded after each call.</w:t>
      </w:r>
    </w:p>
    <w:p>
      <w:pPr>
        <w:spacing w:after="0" w:before="80"/>
      </w:pPr>
      <w:r>
        <w:t xml:space="preserve"/>
      </w:r>
    </w:p>
    <w:p>
      <w:pPr>
        <w:spacing w:after="60" w:before="80"/>
      </w:pPr>
      <w:r>
        <w:rPr>
          <w:rFonts w:ascii="Arial" w:cs="Arial" w:eastAsia="Arial" w:hAnsi="Arial"/>
          <w:b/>
          <w:bCs/>
          <w:color w:val="006B6B"/>
          <w:sz w:val="21"/>
          <w:szCs w:val="21"/>
        </w:rPr>
        <w:t xml:space="preserve">2⁴ Full Factorial — Sales Approach Optimisation (20 Runs including 4 Centre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Run</w:t>
            </w:r>
          </w:p>
        </w:tc>
        <w:tc>
          <w:tcPr>
            <w:tcW w:type="dxa" w:w="1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 Opening</w:t>
            </w:r>
          </w:p>
        </w:tc>
        <w:tc>
          <w:tcPr>
            <w:tcW w:type="dxa" w:w="1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B: Demo</w:t>
            </w:r>
          </w:p>
        </w:tc>
        <w:tc>
          <w:tcPr>
            <w:tcW w:type="dxa" w:w="1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 Price</w:t>
            </w:r>
          </w:p>
        </w:tc>
        <w:tc>
          <w:tcPr>
            <w:tcW w:type="dxa" w:w="1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D: Follow-Up</w:t>
            </w:r>
          </w:p>
        </w:tc>
        <w:tc>
          <w:tcPr>
            <w:tcW w:type="dxa" w:w="1560"/>
            <w:tcBorders>
              <w:top w:val="single" w:color="CCCCCC" w:sz="1"/>
              <w:left w:val="single" w:color="CCCCCC" w:sz="1"/>
              <w:bottom w:val="single" w:color="CCCCCC" w:sz="1"/>
              <w:right w:val="single" w:color="CCCCCC" w:sz="1"/>
            </w:tcBorders>
            <w:shd w:fill="0A5C0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Converted?</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1</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(Spec)</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(Defer)</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(Early)</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(72h)</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No</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2</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(TCO)</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(Defer)</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(Early)</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(72h)</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No</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3</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(Spec)</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(Live)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(Early)</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(72h)</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No</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4</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(TCO)</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(Live)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(Early)</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(72h)</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Yes</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5</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(Spec)</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(Defer)</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(Defer)</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(72h)</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No</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6</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(TCO)</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(Defer)</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(Defer)</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(72h)</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Yes</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7</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(Spec)</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(Live)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(Defer)</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(72h)</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No</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8</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(TCO)</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(Live)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(Defer)</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(72h)</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Yes</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9</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(Spec)</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(Defer)</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(Early)</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(24h)</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No</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10</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(TCO)</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(Defer)</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(Early)</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(24h)</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Yes</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11</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(Spec)</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(Live)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(Early)</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(24h)</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No</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12</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(TCO)</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(Live)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(Early)</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(24h)</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Yes</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13</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(Spec)</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(Defer)</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(Defer)</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(24h)</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Yes</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14</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(TCO)</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(Defer)</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(Defer)</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(24h)</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Yes</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15</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(Spec)</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(Live)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(Defer)</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(24h)</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Yes</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16</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(TCO)</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(Live)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(Defer)</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(24h)</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Yes</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CP1</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Centre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Centre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Centre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Centre</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Yes</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CP2</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Centre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Centre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Centre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Centre</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No</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CP3</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Centre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Centre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Centre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Centre</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Yes</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CP4</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Centre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Centre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Centre</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Centre</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Yes</w:t>
            </w:r>
          </w:p>
        </w:tc>
      </w:tr>
    </w:tbl>
    <w:p>
      <w:pPr>
        <w:spacing w:after="80" w:before="60"/>
      </w:pPr>
      <w:r>
        <w:rPr>
          <w:rFonts w:ascii="Arial" w:cs="Arial" w:eastAsia="Arial" w:hAnsi="Arial"/>
          <w:i/>
          <w:iCs/>
          <w:color w:val="555555"/>
          <w:sz w:val="19"/>
          <w:szCs w:val="19"/>
        </w:rPr>
        <w:t xml:space="preserve">Green rows = conversion achieved. Red cells = low-level setting. Green cells = high-level setting. CP = Centre Point run.</w:t>
      </w:r>
    </w:p>
    <w:p>
      <w:pPr>
        <w:spacing w:after="0" w:before="10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3.3  The Analysis — Main Effects &amp; Interactions</w:t>
      </w:r>
    </w:p>
    <w:p>
      <w:pPr>
        <w:spacing w:after="80" w:before="60"/>
      </w:pPr>
      <w:r>
        <w:rPr>
          <w:rFonts w:ascii="Arial" w:cs="Arial" w:eastAsia="Arial" w:hAnsi="Arial"/>
          <w:color w:val="1A1A2E"/>
          <w:sz w:val="22"/>
          <w:szCs w:val="22"/>
        </w:rPr>
        <w:t xml:space="preserve">After 20 calls are completed and outcomes recorded, the AI runs the full factorial analysis. Below are the results — first the main effects (how much each individual factor influences conversion), then the critical interaction effects.</w:t>
      </w:r>
    </w:p>
    <w:p>
      <w:pPr>
        <w:spacing w:after="0" w:before="80"/>
      </w:pPr>
      <w:r>
        <w:t xml:space="preserve"/>
      </w:r>
    </w:p>
    <w:p>
      <w:pPr>
        <w:pStyle w:val="Heading3"/>
        <w:spacing w:after="80" w:before="200"/>
      </w:pPr>
      <w:r>
        <w:rPr>
          <w:rFonts w:ascii="Arial" w:cs="Arial" w:eastAsia="Arial" w:hAnsi="Arial"/>
          <w:b/>
          <w:bCs/>
          <w:color w:val="C55A11"/>
          <w:sz w:val="22"/>
          <w:szCs w:val="22"/>
        </w:rPr>
        <w:t xml:space="preserve">Main Effects — Ranked by Impact on Conversion Rate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000"/>
        <w:gridCol w:w="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Factor</w:t>
            </w:r>
          </w:p>
        </w:tc>
        <w:tc>
          <w:tcPr>
            <w:tcW w:type="dxa" w:w="51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Effect Magnitude</w:t>
            </w:r>
          </w:p>
        </w:tc>
        <w:tc>
          <w:tcPr>
            <w:tcW w:type="dxa" w:w="10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Δ Conversion</w:t>
            </w:r>
          </w:p>
        </w:tc>
        <w:tc>
          <w:tcPr>
            <w:tcW w:type="dxa" w:w="8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r>
              <w:rPr>
                <w:rFonts w:ascii="Arial" w:cs="Arial" w:eastAsia="Arial" w:hAnsi="Arial"/>
                <w:b/>
                <w:bCs/>
                <w:color w:val="FFFFFF"/>
                <w:sz w:val="19"/>
                <w:szCs w:val="19"/>
              </w:rPr>
              <w:t xml:space="preserve">p &lt; 0.05</w:t>
            </w:r>
          </w:p>
        </w:tc>
      </w:tr>
      <w:tr>
        <w:tc>
          <w:tcPr>
            <w:tcW w:type="dxa" w:w="24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80"/>
            </w:tcMar>
          </w:tcPr>
          <w:p>
            <w:r>
              <w:rPr>
                <w:rFonts w:ascii="Arial" w:cs="Arial" w:eastAsia="Arial" w:hAnsi="Arial"/>
                <w:b/>
                <w:bCs/>
                <w:color w:val="1F4E79"/>
                <w:sz w:val="19"/>
                <w:szCs w:val="19"/>
              </w:rPr>
              <w:t xml:space="preserve">A: Opening (TCO vs Spec)</w:t>
            </w:r>
          </w:p>
        </w:tc>
        <w:tc>
          <w:tcPr>
            <w:tcW w:type="dxa" w:w="51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4650"/>
              <w:gridCol w:w="350"/>
            </w:tblGrid>
            <w:tr>
              <w:tc>
                <w:tcPr>
                  <w:tcW w:type="dxa" w:w="4650"/>
                  <w:tcBorders>
                    <w:top w:val="none" w:color="FFFFFF" w:sz="0"/>
                    <w:left w:val="none" w:color="FFFFFF" w:sz="0"/>
                    <w:bottom w:val="none" w:color="FFFFFF" w:sz="0"/>
                    <w:right w:val="none" w:color="FFFFFF" w:sz="0"/>
                  </w:tcBorders>
                  <w:shd w:fill="0A5C0A" w:val="clear"/>
                  <w:tcMar>
                    <w:top w:type="dxa" w:w="14"/>
                    <w:left w:type="dxa" w:w="0"/>
                    <w:bottom w:type="dxa" w:w="14"/>
                    <w:right w:type="dxa" w:w="0"/>
                  </w:tcMar>
                </w:tcPr>
                <w:p>
                  <w:r>
                    <w:t xml:space="preserve"/>
                  </w:r>
                </w:p>
              </w:tc>
              <w:tc>
                <w:tcPr>
                  <w:tcW w:type="dxa" w:w="350"/>
                  <w:tcBorders>
                    <w:top w:val="none" w:color="FFFFFF" w:sz="0"/>
                    <w:left w:val="none" w:color="FFFFFF" w:sz="0"/>
                    <w:bottom w:val="none" w:color="FFFFFF" w:sz="0"/>
                    <w:right w:val="none" w:color="FFFFFF" w:sz="0"/>
                  </w:tcBorders>
                  <w:shd w:fill="F2F7FB" w:val="clear"/>
                  <w:tcMar>
                    <w:top w:type="dxa" w:w="14"/>
                    <w:left w:type="dxa" w:w="0"/>
                    <w:bottom w:type="dxa" w:w="14"/>
                    <w:right w:type="dxa" w:w="0"/>
                  </w:tcMar>
                </w:tcPr>
                <w:p>
                  <w:r>
                    <w:t xml:space="preserve"/>
                  </w:r>
                </w:p>
              </w:tc>
            </w:tr>
          </w:tbl>
          <w:p/>
        </w:tc>
        <w:tc>
          <w:tcPr>
            <w:tcW w:type="dxa" w:w="1000"/>
            <w:tcBorders>
              <w:top w:val="single" w:color="CCCCCC" w:sz="1"/>
              <w:left w:val="single" w:color="CCCCCC" w:sz="1"/>
              <w:bottom w:val="single" w:color="CCCCCC" w:sz="1"/>
              <w:right w:val="single" w:color="CCCCCC" w:sz="1"/>
            </w:tcBorders>
            <w:shd w:fill="E8F5E9" w:val="clear"/>
            <w:tcMar>
              <w:top w:type="dxa" w:w="70"/>
              <w:left w:type="dxa" w:w="80"/>
              <w:bottom w:type="dxa" w:w="70"/>
              <w:right w:type="dxa" w:w="80"/>
            </w:tcMar>
          </w:tcPr>
          <w:p>
            <w:pPr>
              <w:jc w:val="center"/>
            </w:pPr>
            <w:r>
              <w:rPr>
                <w:rFonts w:ascii="Arial" w:cs="Arial" w:eastAsia="Arial" w:hAnsi="Arial"/>
                <w:b/>
                <w:bCs/>
                <w:color w:val="0A5C0A"/>
                <w:sz w:val="19"/>
                <w:szCs w:val="19"/>
              </w:rPr>
              <w:t xml:space="preserve">+31%</w:t>
            </w:r>
          </w:p>
        </w:tc>
        <w:tc>
          <w:tcPr>
            <w:tcW w:type="dxa" w:w="80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tcPr>
          <w:p>
            <w:pPr>
              <w:jc w:val="center"/>
            </w:pPr>
            <w:r>
              <w:rPr>
                <w:rFonts w:ascii="Arial" w:cs="Arial" w:eastAsia="Arial" w:hAnsi="Arial"/>
                <w:b/>
                <w:bCs/>
                <w:color w:val="0A5C0A"/>
                <w:sz w:val="17"/>
                <w:szCs w:val="17"/>
              </w:rPr>
              <w:t xml:space="preserve">✓ SIG</w:t>
            </w:r>
          </w:p>
        </w:tc>
      </w:tr>
      <w:tr>
        <w:tc>
          <w:tcPr>
            <w:tcW w:type="dxa" w:w="24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80"/>
            </w:tcMar>
          </w:tcPr>
          <w:p>
            <w:r>
              <w:rPr>
                <w:rFonts w:ascii="Arial" w:cs="Arial" w:eastAsia="Arial" w:hAnsi="Arial"/>
                <w:b/>
                <w:bCs/>
                <w:color w:val="1F4E79"/>
                <w:sz w:val="19"/>
                <w:szCs w:val="19"/>
              </w:rPr>
              <w:t xml:space="preserve">D: Follow-Up (24h vs 72h)</w:t>
            </w:r>
          </w:p>
        </w:tc>
        <w:tc>
          <w:tcPr>
            <w:tcW w:type="dxa" w:w="51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tblGrid>
            <w:tr>
              <w:tc>
                <w:tcPr>
                  <w:tcW w:type="dxa" w:w="3600"/>
                  <w:tcBorders>
                    <w:top w:val="none" w:color="FFFFFF" w:sz="0"/>
                    <w:left w:val="none" w:color="FFFFFF" w:sz="0"/>
                    <w:bottom w:val="none" w:color="FFFFFF" w:sz="0"/>
                    <w:right w:val="none" w:color="FFFFFF" w:sz="0"/>
                  </w:tcBorders>
                  <w:shd w:fill="0A5C0A" w:val="clear"/>
                  <w:tcMar>
                    <w:top w:type="dxa" w:w="14"/>
                    <w:left w:type="dxa" w:w="0"/>
                    <w:bottom w:type="dxa" w:w="14"/>
                    <w:right w:type="dxa" w:w="0"/>
                  </w:tcMar>
                </w:tcPr>
                <w:p>
                  <w:r>
                    <w:t xml:space="preserve"/>
                  </w:r>
                </w:p>
              </w:tc>
              <w:tc>
                <w:tcPr>
                  <w:tcW w:type="dxa" w:w="1400"/>
                  <w:tcBorders>
                    <w:top w:val="none" w:color="FFFFFF" w:sz="0"/>
                    <w:left w:val="none" w:color="FFFFFF" w:sz="0"/>
                    <w:bottom w:val="none" w:color="FFFFFF" w:sz="0"/>
                    <w:right w:val="none" w:color="FFFFFF" w:sz="0"/>
                  </w:tcBorders>
                  <w:shd w:fill="F2F7FB" w:val="clear"/>
                  <w:tcMar>
                    <w:top w:type="dxa" w:w="14"/>
                    <w:left w:type="dxa" w:w="0"/>
                    <w:bottom w:type="dxa" w:w="14"/>
                    <w:right w:type="dxa" w:w="0"/>
                  </w:tcMar>
                </w:tcPr>
                <w:p>
                  <w:r>
                    <w:t xml:space="preserve"/>
                  </w:r>
                </w:p>
              </w:tc>
            </w:tr>
          </w:tbl>
          <w:p/>
        </w:tc>
        <w:tc>
          <w:tcPr>
            <w:tcW w:type="dxa" w:w="1000"/>
            <w:tcBorders>
              <w:top w:val="single" w:color="CCCCCC" w:sz="1"/>
              <w:left w:val="single" w:color="CCCCCC" w:sz="1"/>
              <w:bottom w:val="single" w:color="CCCCCC" w:sz="1"/>
              <w:right w:val="single" w:color="CCCCCC" w:sz="1"/>
            </w:tcBorders>
            <w:shd w:fill="E8F5E9" w:val="clear"/>
            <w:tcMar>
              <w:top w:type="dxa" w:w="70"/>
              <w:left w:type="dxa" w:w="80"/>
              <w:bottom w:type="dxa" w:w="70"/>
              <w:right w:type="dxa" w:w="80"/>
            </w:tcMar>
          </w:tcPr>
          <w:p>
            <w:pPr>
              <w:jc w:val="center"/>
            </w:pPr>
            <w:r>
              <w:rPr>
                <w:rFonts w:ascii="Arial" w:cs="Arial" w:eastAsia="Arial" w:hAnsi="Arial"/>
                <w:b/>
                <w:bCs/>
                <w:color w:val="0A5C0A"/>
                <w:sz w:val="19"/>
                <w:szCs w:val="19"/>
              </w:rPr>
              <w:t xml:space="preserve">+24%</w:t>
            </w:r>
          </w:p>
        </w:tc>
        <w:tc>
          <w:tcPr>
            <w:tcW w:type="dxa" w:w="80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tcPr>
          <w:p>
            <w:pPr>
              <w:jc w:val="center"/>
            </w:pPr>
            <w:r>
              <w:rPr>
                <w:rFonts w:ascii="Arial" w:cs="Arial" w:eastAsia="Arial" w:hAnsi="Arial"/>
                <w:b/>
                <w:bCs/>
                <w:color w:val="0A5C0A"/>
                <w:sz w:val="17"/>
                <w:szCs w:val="17"/>
              </w:rPr>
              <w:t xml:space="preserve">✓ SIG</w:t>
            </w:r>
          </w:p>
        </w:tc>
      </w:tr>
      <w:tr>
        <w:tc>
          <w:tcPr>
            <w:tcW w:type="dxa" w:w="24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80"/>
            </w:tcMar>
          </w:tcPr>
          <w:p>
            <w:r>
              <w:rPr>
                <w:rFonts w:ascii="Arial" w:cs="Arial" w:eastAsia="Arial" w:hAnsi="Arial"/>
                <w:b/>
                <w:bCs/>
                <w:color w:val="1F4E79"/>
                <w:sz w:val="19"/>
                <w:szCs w:val="19"/>
              </w:rPr>
              <w:t xml:space="preserve">C: Price Timing (Defer vs Early)</w:t>
            </w:r>
          </w:p>
        </w:tc>
        <w:tc>
          <w:tcPr>
            <w:tcW w:type="dxa" w:w="51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tblGrid>
            <w:tr>
              <w:tc>
                <w:tcPr>
                  <w:tcW w:type="dxa" w:w="2700"/>
                  <w:tcBorders>
                    <w:top w:val="none" w:color="FFFFFF" w:sz="0"/>
                    <w:left w:val="none" w:color="FFFFFF" w:sz="0"/>
                    <w:bottom w:val="none" w:color="FFFFFF" w:sz="0"/>
                    <w:right w:val="none" w:color="FFFFFF" w:sz="0"/>
                  </w:tcBorders>
                  <w:shd w:fill="0A5C0A" w:val="clear"/>
                  <w:tcMar>
                    <w:top w:type="dxa" w:w="14"/>
                    <w:left w:type="dxa" w:w="0"/>
                    <w:bottom w:type="dxa" w:w="14"/>
                    <w:right w:type="dxa" w:w="0"/>
                  </w:tcMar>
                </w:tcPr>
                <w:p>
                  <w:r>
                    <w:t xml:space="preserve"/>
                  </w:r>
                </w:p>
              </w:tc>
              <w:tc>
                <w:tcPr>
                  <w:tcW w:type="dxa" w:w="2300"/>
                  <w:tcBorders>
                    <w:top w:val="none" w:color="FFFFFF" w:sz="0"/>
                    <w:left w:val="none" w:color="FFFFFF" w:sz="0"/>
                    <w:bottom w:val="none" w:color="FFFFFF" w:sz="0"/>
                    <w:right w:val="none" w:color="FFFFFF" w:sz="0"/>
                  </w:tcBorders>
                  <w:shd w:fill="F2F7FB" w:val="clear"/>
                  <w:tcMar>
                    <w:top w:type="dxa" w:w="14"/>
                    <w:left w:type="dxa" w:w="0"/>
                    <w:bottom w:type="dxa" w:w="14"/>
                    <w:right w:type="dxa" w:w="0"/>
                  </w:tcMar>
                </w:tcPr>
                <w:p>
                  <w:r>
                    <w:t xml:space="preserve"/>
                  </w:r>
                </w:p>
              </w:tc>
            </w:tr>
          </w:tbl>
          <w:p/>
        </w:tc>
        <w:tc>
          <w:tcPr>
            <w:tcW w:type="dxa" w:w="1000"/>
            <w:tcBorders>
              <w:top w:val="single" w:color="CCCCCC" w:sz="1"/>
              <w:left w:val="single" w:color="CCCCCC" w:sz="1"/>
              <w:bottom w:val="single" w:color="CCCCCC" w:sz="1"/>
              <w:right w:val="single" w:color="CCCCCC" w:sz="1"/>
            </w:tcBorders>
            <w:shd w:fill="E8F5E9" w:val="clear"/>
            <w:tcMar>
              <w:top w:type="dxa" w:w="70"/>
              <w:left w:type="dxa" w:w="80"/>
              <w:bottom w:type="dxa" w:w="70"/>
              <w:right w:type="dxa" w:w="80"/>
            </w:tcMar>
          </w:tcPr>
          <w:p>
            <w:pPr>
              <w:jc w:val="center"/>
            </w:pPr>
            <w:r>
              <w:rPr>
                <w:rFonts w:ascii="Arial" w:cs="Arial" w:eastAsia="Arial" w:hAnsi="Arial"/>
                <w:b/>
                <w:bCs/>
                <w:color w:val="0A5C0A"/>
                <w:sz w:val="19"/>
                <w:szCs w:val="19"/>
              </w:rPr>
              <w:t xml:space="preserve">+18%</w:t>
            </w:r>
          </w:p>
        </w:tc>
        <w:tc>
          <w:tcPr>
            <w:tcW w:type="dxa" w:w="80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tcPr>
          <w:p>
            <w:pPr>
              <w:jc w:val="center"/>
            </w:pPr>
            <w:r>
              <w:rPr>
                <w:rFonts w:ascii="Arial" w:cs="Arial" w:eastAsia="Arial" w:hAnsi="Arial"/>
                <w:b/>
                <w:bCs/>
                <w:color w:val="0A5C0A"/>
                <w:sz w:val="17"/>
                <w:szCs w:val="17"/>
              </w:rPr>
              <w:t xml:space="preserve">✓ SIG</w:t>
            </w:r>
          </w:p>
        </w:tc>
      </w:tr>
      <w:tr>
        <w:tc>
          <w:tcPr>
            <w:tcW w:type="dxa" w:w="2400"/>
            <w:tcBorders>
              <w:top w:val="single" w:color="CCCCCC" w:sz="1"/>
              <w:left w:val="single" w:color="CCCCCC" w:sz="1"/>
              <w:bottom w:val="single" w:color="CCCCCC" w:sz="1"/>
              <w:right w:val="single" w:color="CCCCCC" w:sz="1"/>
            </w:tcBorders>
            <w:shd w:fill="F2F7FB" w:val="clear"/>
            <w:tcMar>
              <w:top w:type="dxa" w:w="70"/>
              <w:left w:type="dxa" w:w="120"/>
              <w:bottom w:type="dxa" w:w="70"/>
              <w:right w:type="dxa" w:w="80"/>
            </w:tcMar>
          </w:tcPr>
          <w:p>
            <w:r>
              <w:rPr>
                <w:rFonts w:ascii="Arial" w:cs="Arial" w:eastAsia="Arial" w:hAnsi="Arial"/>
                <w:b w:val="false"/>
                <w:bCs w:val="false"/>
                <w:color w:val="555555"/>
                <w:sz w:val="19"/>
                <w:szCs w:val="19"/>
              </w:rPr>
              <w:t xml:space="preserve">B: Demo (Live vs Defer)</w:t>
            </w:r>
          </w:p>
        </w:tc>
        <w:tc>
          <w:tcPr>
            <w:tcW w:type="dxa" w:w="51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350"/>
              <w:gridCol w:w="3650"/>
            </w:tblGrid>
            <w:tr>
              <w:tc>
                <w:tcPr>
                  <w:tcW w:type="dxa" w:w="1350"/>
                  <w:tcBorders>
                    <w:top w:val="none" w:color="FFFFFF" w:sz="0"/>
                    <w:left w:val="none" w:color="FFFFFF" w:sz="0"/>
                    <w:bottom w:val="none" w:color="FFFFFF" w:sz="0"/>
                    <w:right w:val="none" w:color="FFFFFF" w:sz="0"/>
                  </w:tcBorders>
                  <w:shd w:fill="D6E4F0" w:val="clear"/>
                  <w:tcMar>
                    <w:top w:type="dxa" w:w="14"/>
                    <w:left w:type="dxa" w:w="0"/>
                    <w:bottom w:type="dxa" w:w="14"/>
                    <w:right w:type="dxa" w:w="0"/>
                  </w:tcMar>
                </w:tcPr>
                <w:p>
                  <w:r>
                    <w:t xml:space="preserve"/>
                  </w:r>
                </w:p>
              </w:tc>
              <w:tc>
                <w:tcPr>
                  <w:tcW w:type="dxa" w:w="3650"/>
                  <w:tcBorders>
                    <w:top w:val="none" w:color="FFFFFF" w:sz="0"/>
                    <w:left w:val="none" w:color="FFFFFF" w:sz="0"/>
                    <w:bottom w:val="none" w:color="FFFFFF" w:sz="0"/>
                    <w:right w:val="none" w:color="FFFFFF" w:sz="0"/>
                  </w:tcBorders>
                  <w:shd w:fill="F2F7FB" w:val="clear"/>
                  <w:tcMar>
                    <w:top w:type="dxa" w:w="14"/>
                    <w:left w:type="dxa" w:w="0"/>
                    <w:bottom w:type="dxa" w:w="14"/>
                    <w:right w:type="dxa" w:w="0"/>
                  </w:tcMar>
                </w:tcPr>
                <w:p>
                  <w:r>
                    <w:t xml:space="preserve"/>
                  </w:r>
                </w:p>
              </w:tc>
            </w:tr>
          </w:tbl>
          <w:p/>
        </w:tc>
        <w:tc>
          <w:tcPr>
            <w:tcW w:type="dxa" w:w="1000"/>
            <w:tcBorders>
              <w:top w:val="single" w:color="CCCCCC" w:sz="1"/>
              <w:left w:val="single" w:color="CCCCCC" w:sz="1"/>
              <w:bottom w:val="single" w:color="CCCCCC" w:sz="1"/>
              <w:right w:val="single" w:color="CCCCCC" w:sz="1"/>
            </w:tcBorders>
            <w:shd w:fill="F2F7FB" w:val="clear"/>
            <w:tcMar>
              <w:top w:type="dxa" w:w="70"/>
              <w:left w:type="dxa" w:w="80"/>
              <w:bottom w:type="dxa" w:w="70"/>
              <w:right w:type="dxa" w:w="80"/>
            </w:tcMar>
          </w:tcPr>
          <w:p>
            <w:pPr>
              <w:jc w:val="center"/>
            </w:pPr>
            <w:r>
              <w:rPr>
                <w:rFonts w:ascii="Arial" w:cs="Arial" w:eastAsia="Arial" w:hAnsi="Arial"/>
                <w:b/>
                <w:bCs/>
                <w:color w:val="555555"/>
                <w:sz w:val="19"/>
                <w:szCs w:val="19"/>
              </w:rPr>
              <w:t xml:space="preserve">+9%</w:t>
            </w:r>
          </w:p>
        </w:tc>
        <w:tc>
          <w:tcPr>
            <w:tcW w:type="dxa" w:w="800"/>
            <w:tcBorders>
              <w:top w:val="single" w:color="CCCCCC" w:sz="1"/>
              <w:left w:val="single" w:color="CCCCCC" w:sz="1"/>
              <w:bottom w:val="single" w:color="CCCCCC" w:sz="1"/>
              <w:right w:val="single" w:color="CCCCCC" w:sz="1"/>
            </w:tcBorders>
            <w:shd w:fill="FFEBEE" w:val="clear"/>
            <w:tcMar>
              <w:top w:type="dxa" w:w="70"/>
              <w:left w:type="dxa" w:w="60"/>
              <w:bottom w:type="dxa" w:w="70"/>
              <w:right w:type="dxa" w:w="60"/>
            </w:tcMar>
          </w:tcPr>
          <w:p>
            <w:pPr>
              <w:jc w:val="center"/>
            </w:pPr>
            <w:r>
              <w:rPr>
                <w:rFonts w:ascii="Arial" w:cs="Arial" w:eastAsia="Arial" w:hAnsi="Arial"/>
                <w:b w:val="false"/>
                <w:bCs w:val="false"/>
                <w:color w:val="9B1C1C"/>
                <w:sz w:val="17"/>
                <w:szCs w:val="17"/>
              </w:rPr>
              <w:t xml:space="preserve">n.s.</w:t>
            </w:r>
          </w:p>
        </w:tc>
      </w:tr>
    </w:tbl>
    <w:p>
      <w:pPr>
        <w:spacing w:after="0" w:before="80"/>
      </w:pPr>
      <w:r>
        <w:t xml:space="preserve"/>
      </w:r>
    </w:p>
    <w:p>
      <w:pPr>
        <w:spacing w:after="80" w:before="60"/>
      </w:pPr>
      <w:r>
        <w:rPr>
          <w:rFonts w:ascii="Arial" w:cs="Arial" w:eastAsia="Arial" w:hAnsi="Arial"/>
          <w:color w:val="1A1A2E"/>
          <w:sz w:val="22"/>
          <w:szCs w:val="22"/>
        </w:rPr>
        <w:t xml:space="preserve">Main effects reading: Factor A (TCO opening) has the largest single effect — calls opened with TCO framing convert 31 percentage points more often than spec-led opens. Factor D (24-hour follow-up) adds 24 points. Factor C (deferring price discussion) adds 18 points. Factor B (live demo) shows a positive direction but does not reach statistical significance at n=20 — more data recommended before drawing firm conclusions.</w:t>
      </w:r>
    </w:p>
    <w:p>
      <w:pPr>
        <w:spacing w:after="0" w:before="100"/>
      </w:pPr>
      <w:r>
        <w:t xml:space="preserve"/>
      </w:r>
    </w:p>
    <w:p>
      <w:pPr>
        <w:pStyle w:val="Heading3"/>
        <w:spacing w:after="80" w:before="200"/>
      </w:pPr>
      <w:r>
        <w:rPr>
          <w:rFonts w:ascii="Arial" w:cs="Arial" w:eastAsia="Arial" w:hAnsi="Arial"/>
          <w:b/>
          <w:bCs/>
          <w:color w:val="C55A11"/>
          <w:sz w:val="22"/>
          <w:szCs w:val="22"/>
        </w:rPr>
        <w:t xml:space="preserve">Interaction Effects — The Finding One-at-a-Time Testing Would Have Missed</w:t>
      </w:r>
    </w:p>
    <w:p>
      <w:pPr>
        <w:spacing w:after="80" w:before="60"/>
      </w:pPr>
      <w:r>
        <w:rPr>
          <w:rFonts w:ascii="Arial" w:cs="Arial" w:eastAsia="Arial" w:hAnsi="Arial"/>
          <w:color w:val="1A1A2E"/>
          <w:sz w:val="22"/>
          <w:szCs w:val="22"/>
        </w:rPr>
        <w:t xml:space="preserve">This is where DOE earns its value. The interaction analysis reveals that two factors behave very differently depending on what the other factor is set to — something A/B testing could never detect.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Critical Interaction: A × C — Opening Type × Price Timing</w:t>
            </w:r>
          </w:p>
          <w:p>
            <w:pPr>
              <w:spacing w:after="36" w:before="36"/>
            </w:pPr>
            <w:r>
              <w:rPr>
                <w:rFonts w:ascii="Arial" w:cs="Arial" w:eastAsia="Arial" w:hAnsi="Arial"/>
                <w:color w:val="FFFFFF"/>
                <w:sz w:val="20"/>
                <w:szCs w:val="20"/>
              </w:rPr>
              <w:t xml:space="preserve">When TCO opening (+) is combined with price deferred (+):  conversion rate = 78%  ← OPTIMAL</w:t>
            </w:r>
          </w:p>
          <w:p>
            <w:pPr>
              <w:spacing w:after="36" w:before="36"/>
            </w:pPr>
            <w:r>
              <w:rPr>
                <w:rFonts w:ascii="Arial" w:cs="Arial" w:eastAsia="Arial" w:hAnsi="Arial"/>
                <w:color w:val="FFFFFF"/>
                <w:sz w:val="20"/>
                <w:szCs w:val="20"/>
              </w:rPr>
              <w:t xml:space="preserve">When TCO opening (+) is combined with price early (−):     conversion rate = 45%</w:t>
            </w:r>
          </w:p>
          <w:p>
            <w:pPr>
              <w:spacing w:after="36" w:before="36"/>
            </w:pPr>
            <w:r>
              <w:rPr>
                <w:rFonts w:ascii="Arial" w:cs="Arial" w:eastAsia="Arial" w:hAnsi="Arial"/>
                <w:color w:val="FFFFFF"/>
                <w:sz w:val="20"/>
                <w:szCs w:val="20"/>
              </w:rPr>
              <w:t xml:space="preserve">When Spec opening (−) is combined with price deferred (+): conversion rate = 41%</w:t>
            </w:r>
          </w:p>
          <w:p>
            <w:pPr>
              <w:spacing w:after="36" w:before="36"/>
            </w:pPr>
            <w:r>
              <w:rPr>
                <w:rFonts w:ascii="Arial" w:cs="Arial" w:eastAsia="Arial" w:hAnsi="Arial"/>
                <w:color w:val="FFFFFF"/>
                <w:sz w:val="20"/>
                <w:szCs w:val="20"/>
              </w:rPr>
              <w:t xml:space="preserve">When Spec opening (−) is combined with price early (−):    conversion rate = 12%</w:t>
            </w:r>
          </w:p>
          <w:p>
            <w:pPr>
              <w:spacing w:after="36" w:before="36"/>
            </w:pPr>
            <w:r>
              <w:rPr>
                <w:rFonts w:ascii="Arial" w:cs="Arial" w:eastAsia="Arial" w:hAnsi="Arial"/>
                <w:color w:val="FFFFFF"/>
                <w:sz w:val="20"/>
                <w:szCs w:val="20"/>
              </w:rPr>
              <w:t xml:space="preserve"/>
            </w:r>
          </w:p>
          <w:p>
            <w:pPr>
              <w:spacing w:after="36" w:before="36"/>
            </w:pPr>
            <w:r>
              <w:rPr>
                <w:rFonts w:ascii="Arial" w:cs="Arial" w:eastAsia="Arial" w:hAnsi="Arial"/>
                <w:color w:val="FFFFFF"/>
                <w:sz w:val="20"/>
                <w:szCs w:val="20"/>
              </w:rPr>
              <w:t xml:space="preserve">Interpretation: TCO framing only delivers its full value when price is kept off the table</w:t>
            </w:r>
          </w:p>
          <w:p>
            <w:pPr>
              <w:spacing w:after="36" w:before="36"/>
            </w:pPr>
            <w:r>
              <w:rPr>
                <w:rFonts w:ascii="Arial" w:cs="Arial" w:eastAsia="Arial" w:hAnsi="Arial"/>
                <w:color w:val="FFFFFF"/>
                <w:sz w:val="20"/>
                <w:szCs w:val="20"/>
              </w:rPr>
              <w:t xml:space="preserve">in the opening exchange. Introducing price early — even with a TCO opening — cuts</w:t>
            </w:r>
          </w:p>
          <w:p>
            <w:pPr>
              <w:spacing w:after="36" w:before="36"/>
            </w:pPr>
            <w:r>
              <w:rPr>
                <w:rFonts w:ascii="Arial" w:cs="Arial" w:eastAsia="Arial" w:hAnsi="Arial"/>
                <w:color w:val="FFFFFF"/>
                <w:sz w:val="20"/>
                <w:szCs w:val="20"/>
              </w:rPr>
              <w:t xml:space="preserve">the conversion rate almost in half. This is an interaction effect. A/B testing opening</w:t>
            </w:r>
          </w:p>
          <w:p>
            <w:pPr>
              <w:spacing w:after="36" w:before="36"/>
            </w:pPr>
            <w:r>
              <w:rPr>
                <w:rFonts w:ascii="Arial" w:cs="Arial" w:eastAsia="Arial" w:hAnsi="Arial"/>
                <w:color w:val="FFFFFF"/>
                <w:sz w:val="20"/>
                <w:szCs w:val="20"/>
              </w:rPr>
              <w:t xml:space="preserve">alone would have seen 61% average for TCO and said 'TCO is better.' DOE reveals</w:t>
            </w:r>
          </w:p>
          <w:p>
            <w:pPr>
              <w:spacing w:after="36" w:before="36"/>
            </w:pPr>
            <w:r>
              <w:rPr>
                <w:rFonts w:ascii="Arial" w:cs="Arial" w:eastAsia="Arial" w:hAnsi="Arial"/>
                <w:color w:val="FFFFFF"/>
                <w:sz w:val="20"/>
                <w:szCs w:val="20"/>
              </w:rPr>
              <w:t xml:space="preserve">the condition under which TCO is 78% — and the condition under which it is only 45%.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5C0A"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Secondary Interaction: A × D — Opening Type × Follow-Up Speed</w:t>
            </w:r>
          </w:p>
          <w:p>
            <w:pPr>
              <w:spacing w:after="36" w:before="36"/>
            </w:pPr>
            <w:r>
              <w:rPr>
                <w:rFonts w:ascii="Arial" w:cs="Arial" w:eastAsia="Arial" w:hAnsi="Arial"/>
                <w:color w:val="FFFFFF"/>
                <w:sz w:val="20"/>
                <w:szCs w:val="20"/>
              </w:rPr>
              <w:t xml:space="preserve">TCO opening + 24h follow-up:  conversion rate = 83%  ← HIGHEST OBSERVED</w:t>
            </w:r>
          </w:p>
          <w:p>
            <w:pPr>
              <w:spacing w:after="36" w:before="36"/>
            </w:pPr>
            <w:r>
              <w:rPr>
                <w:rFonts w:ascii="Arial" w:cs="Arial" w:eastAsia="Arial" w:hAnsi="Arial"/>
                <w:color w:val="FFFFFF"/>
                <w:sz w:val="20"/>
                <w:szCs w:val="20"/>
              </w:rPr>
              <w:t xml:space="preserve">TCO opening + 72h follow-up:  conversion rate = 52%</w:t>
            </w:r>
          </w:p>
          <w:p>
            <w:pPr>
              <w:spacing w:after="36" w:before="36"/>
            </w:pPr>
            <w:r>
              <w:rPr>
                <w:rFonts w:ascii="Arial" w:cs="Arial" w:eastAsia="Arial" w:hAnsi="Arial"/>
                <w:color w:val="FFFFFF"/>
                <w:sz w:val="20"/>
                <w:szCs w:val="20"/>
              </w:rPr>
              <w:t xml:space="preserve">Spec opening + 24h follow-up: conversion rate = 38%</w:t>
            </w:r>
          </w:p>
          <w:p>
            <w:pPr>
              <w:spacing w:after="36" w:before="36"/>
            </w:pPr>
            <w:r>
              <w:rPr>
                <w:rFonts w:ascii="Arial" w:cs="Arial" w:eastAsia="Arial" w:hAnsi="Arial"/>
                <w:color w:val="FFFFFF"/>
                <w:sz w:val="20"/>
                <w:szCs w:val="20"/>
              </w:rPr>
              <w:t xml:space="preserve">Spec opening + 72h follow-up: conversion rate = 11%</w:t>
            </w:r>
          </w:p>
          <w:p>
            <w:pPr>
              <w:spacing w:after="36" w:before="36"/>
            </w:pPr>
            <w:r>
              <w:rPr>
                <w:rFonts w:ascii="Arial" w:cs="Arial" w:eastAsia="Arial" w:hAnsi="Arial"/>
                <w:color w:val="FFFFFF"/>
                <w:sz w:val="20"/>
                <w:szCs w:val="20"/>
              </w:rPr>
              <w:t xml:space="preserve"/>
            </w:r>
          </w:p>
          <w:p>
            <w:pPr>
              <w:spacing w:after="36" w:before="36"/>
            </w:pPr>
            <w:r>
              <w:rPr>
                <w:rFonts w:ascii="Arial" w:cs="Arial" w:eastAsia="Arial" w:hAnsi="Arial"/>
                <w:color w:val="FFFFFF"/>
                <w:sz w:val="20"/>
                <w:szCs w:val="20"/>
              </w:rPr>
              <w:t xml:space="preserve">Interpretation: Follow-up speed matters most when paired with TCO. The customer</w:t>
            </w:r>
          </w:p>
          <w:p>
            <w:pPr>
              <w:spacing w:after="36" w:before="36"/>
            </w:pPr>
            <w:r>
              <w:rPr>
                <w:rFonts w:ascii="Arial" w:cs="Arial" w:eastAsia="Arial" w:hAnsi="Arial"/>
                <w:color w:val="FFFFFF"/>
                <w:sz w:val="20"/>
                <w:szCs w:val="20"/>
              </w:rPr>
              <w:t xml:space="preserve">who has just engaged with a TCO conversation is primed — they are thinking about</w:t>
            </w:r>
          </w:p>
          <w:p>
            <w:pPr>
              <w:spacing w:after="36" w:before="36"/>
            </w:pPr>
            <w:r>
              <w:rPr>
                <w:rFonts w:ascii="Arial" w:cs="Arial" w:eastAsia="Arial" w:hAnsi="Arial"/>
                <w:color w:val="FFFFFF"/>
                <w:sz w:val="20"/>
                <w:szCs w:val="20"/>
              </w:rPr>
              <w:t xml:space="preserve">ROI and total value. A 24-hour follow-up lands while that frame is active.</w:t>
            </w:r>
          </w:p>
          <w:p>
            <w:pPr>
              <w:spacing w:after="36" w:before="36"/>
            </w:pPr>
            <w:r>
              <w:rPr>
                <w:rFonts w:ascii="Arial" w:cs="Arial" w:eastAsia="Arial" w:hAnsi="Arial"/>
                <w:color w:val="FFFFFF"/>
                <w:sz w:val="20"/>
                <w:szCs w:val="20"/>
              </w:rPr>
              <w:t xml:space="preserve">A 72-hour follow-up allows the frame to dissolve and the price anchoring to return.</w:t>
            </w:r>
          </w:p>
        </w:tc>
      </w:tr>
    </w:tbl>
    <w:p>
      <w:pPr>
        <w:spacing w:after="0" w:before="10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3.4  The Optimal Solution — What the DOE Recommends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8"/>
              <w:bottom w:val="single" w:color="CCCCCC" w:sz="1"/>
              <w:right w:val="single" w:color="CCCCCC" w:sz="1"/>
            </w:tcBorders>
            <w:shd w:fill="F0FFF4" w:val="clear"/>
            <w:tcMar>
              <w:top w:type="dxa" w:w="180"/>
              <w:left w:type="dxa" w:w="240"/>
              <w:bottom w:type="dxa" w:w="180"/>
              <w:right w:type="dxa" w:w="240"/>
            </w:tcMar>
          </w:tcPr>
          <w:p>
            <w:pPr>
              <w:spacing w:after="100" w:before="60"/>
            </w:pPr>
            <w:r>
              <w:rPr>
                <w:rFonts w:ascii="Arial" w:cs="Arial" w:eastAsia="Arial" w:hAnsi="Arial"/>
                <w:b/>
                <w:bCs/>
                <w:color w:val="0A5C0A"/>
                <w:sz w:val="24"/>
                <w:szCs w:val="24"/>
              </w:rPr>
              <w:t xml:space="preserve">⚡  OPTIMAL SOLUTION — DOE Recommended Standard</w:t>
            </w:r>
          </w:p>
          <w:p>
            <w:pPr>
              <w:spacing w:after="40" w:before="40"/>
            </w:pPr>
            <w:r>
              <w:rPr>
                <w:rFonts w:ascii="Arial" w:cs="Arial" w:eastAsia="Arial" w:hAnsi="Arial"/>
                <w:b/>
                <w:bCs/>
                <w:color w:val="1A1A2E"/>
                <w:sz w:val="21"/>
                <w:szCs w:val="21"/>
              </w:rPr>
              <w:t xml:space="preserve">Factor A:  TCO-led opening  (+)</w:t>
            </w:r>
          </w:p>
          <w:p>
            <w:pPr>
              <w:spacing w:after="40" w:before="40"/>
            </w:pPr>
            <w:r>
              <w:rPr>
                <w:rFonts w:ascii="Arial" w:cs="Arial" w:eastAsia="Arial" w:hAnsi="Arial"/>
                <w:color w:val="555555"/>
                <w:sz w:val="21"/>
                <w:szCs w:val="21"/>
              </w:rPr>
              <w:t xml:space="preserve">Factor B:  Live demo during call — inconclusive, defer decision pending more data  (neutral)</w:t>
            </w:r>
          </w:p>
          <w:p>
            <w:pPr>
              <w:spacing w:after="40" w:before="40"/>
            </w:pPr>
            <w:r>
              <w:rPr>
                <w:rFonts w:ascii="Arial" w:cs="Arial" w:eastAsia="Arial" w:hAnsi="Arial"/>
                <w:b/>
                <w:bCs/>
                <w:color w:val="1A1A2E"/>
                <w:sz w:val="21"/>
                <w:szCs w:val="21"/>
              </w:rPr>
              <w:t xml:space="preserve">Factor C:  Price deferred until TCO framework is established  (+)</w:t>
            </w:r>
          </w:p>
          <w:p>
            <w:pPr>
              <w:spacing w:after="80" w:before="40"/>
            </w:pPr>
            <w:r>
              <w:rPr>
                <w:rFonts w:ascii="Arial" w:cs="Arial" w:eastAsia="Arial" w:hAnsi="Arial"/>
                <w:b/>
                <w:bCs/>
                <w:color w:val="1A1A2E"/>
                <w:sz w:val="21"/>
                <w:szCs w:val="21"/>
              </w:rPr>
              <w:t xml:space="preserve">Factor D:  Follow-up within 24 hours of call  (+)</w:t>
            </w:r>
          </w:p>
          <w:p>
            <w:pPr>
              <w:spacing w:after="40" w:before="60"/>
            </w:pPr>
            <w:r>
              <w:rPr>
                <w:rFonts w:ascii="Arial" w:cs="Arial" w:eastAsia="Arial" w:hAnsi="Arial"/>
                <w:b/>
                <w:bCs/>
                <w:color w:val="0A5C0A"/>
                <w:sz w:val="23"/>
                <w:szCs w:val="23"/>
              </w:rPr>
              <w:t xml:space="preserve">Predicted conversion rate at optimal settings:  78–83%</w:t>
            </w:r>
          </w:p>
          <w:p>
            <w:pPr>
              <w:spacing w:after="40" w:before="40"/>
            </w:pPr>
            <w:r>
              <w:rPr>
                <w:rFonts w:ascii="Arial" w:cs="Arial" w:eastAsia="Arial" w:hAnsi="Arial"/>
                <w:color w:val="9B1C1C"/>
                <w:sz w:val="21"/>
                <w:szCs w:val="21"/>
              </w:rPr>
              <w:t xml:space="preserve">vs. current baseline (spec-led, price early, 72h follow-up):  12%</w:t>
            </w:r>
          </w:p>
          <w:p>
            <w:pPr>
              <w:spacing w:after="60" w:before="40"/>
            </w:pPr>
            <w:r>
              <w:rPr>
                <w:rFonts w:ascii="Arial" w:cs="Arial" w:eastAsia="Arial" w:hAnsi="Arial"/>
                <w:b/>
                <w:bCs/>
                <w:color w:val="1F4E79"/>
                <w:sz w:val="21"/>
                <w:szCs w:val="21"/>
              </w:rPr>
              <w:t xml:space="preserve">Improvement: +66 percentage points  •  Statistical confidence: 97.4%</w:t>
            </w:r>
          </w:p>
        </w:tc>
      </w:tr>
    </w:tbl>
    <w:p>
      <w:pPr>
        <w:spacing w:after="0" w:before="80"/>
      </w:pPr>
      <w:r>
        <w:t xml:space="preserve"/>
      </w:r>
    </w:p>
    <w:p>
      <w:pPr>
        <w:spacing w:after="80" w:before="60"/>
      </w:pPr>
      <w:r>
        <w:rPr>
          <w:rFonts w:ascii="Arial" w:cs="Arial" w:eastAsia="Arial" w:hAnsi="Arial"/>
          <w:color w:val="1A1A2E"/>
          <w:sz w:val="22"/>
          <w:szCs w:val="22"/>
        </w:rPr>
        <w:t xml:space="preserve">The AI immediately updates SalesForge's Script Library with the optimal combination as the new Standard Approach. Every rep's live coaching panel is updated automatically. The previous approach is archived as the Baseline for comparison.</w:t>
      </w:r>
    </w:p>
    <w:p>
      <w:r>
        <w:br w:type="page"/>
      </w:r>
    </w:p>
    <w:p>
      <w:pPr>
        <w:pStyle w:val="Heading1"/>
        <w:spacing w:after="180" w:before="360"/>
      </w:pPr>
      <w:r>
        <w:rPr>
          <w:rFonts w:ascii="Arial" w:cs="Arial" w:eastAsia="Arial" w:hAnsi="Arial"/>
          <w:b/>
          <w:bCs/>
          <w:color w:val="1F4E79"/>
          <w:sz w:val="32"/>
          <w:szCs w:val="32"/>
        </w:rPr>
        <w:t xml:space="preserve">4.  Use Case 2 — Solution Design Optimisation DOE</w:t>
      </w:r>
    </w:p>
    <w:p>
      <w:pPr>
        <w:spacing w:after="80" w:before="60"/>
      </w:pPr>
      <w:r>
        <w:rPr>
          <w:rFonts w:ascii="Arial" w:cs="Arial" w:eastAsia="Arial" w:hAnsi="Arial"/>
          <w:color w:val="1A1A2E"/>
          <w:sz w:val="22"/>
          <w:szCs w:val="22"/>
        </w:rPr>
        <w:t xml:space="preserve">DOE is not limited to sales approach variables. It is equally powerful for optimising the design of solutions — products, services, proposals, and processes. This is where Kevin's engineering and real estate backgrounds give SalesForge capabilities that no conventional sales tool offers.</w:t>
      </w:r>
    </w:p>
    <w:p>
      <w:pPr>
        <w:spacing w:after="0" w:before="8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4.1  Battery Product Configuration DOE</w:t>
      </w:r>
    </w:p>
    <w:p>
      <w:pPr>
        <w:spacing w:after="80" w:before="60"/>
      </w:pPr>
      <w:r>
        <w:rPr>
          <w:rFonts w:ascii="Arial" w:cs="Arial" w:eastAsia="Arial" w:hAnsi="Arial"/>
          <w:color w:val="1A1A2E"/>
          <w:sz w:val="22"/>
          <w:szCs w:val="22"/>
        </w:rPr>
        <w:t xml:space="preserve">Kevin wants to identify the product configuration that maximises customer satisfaction scores across his standby battery client base — testing four design factors to find the optimal combination without building and testing every possible configuration.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Low Level (−)</w:t>
            </w:r>
          </w:p>
        </w:tc>
        <w:tc>
          <w:tcPr>
            <w:tcW w:type="dxa" w:w="348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High Level (+)</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  Plate Thickness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Standard (1.8mm)</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Heavy Duty (2.4mm)</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B:  Electrolyte Formulation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Standard H₂SO₄</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Enhanced with silica additive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  Formation Cycle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Standard 72-hour</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Extended 96-hour</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D:  Container Specification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Polypropylene standard</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ABS reinforced</w:t>
            </w:r>
          </w:p>
        </w:tc>
      </w:tr>
    </w:tbl>
    <w:p>
      <w:pPr>
        <w:spacing w:after="0" w:before="80"/>
      </w:pPr>
      <w:r>
        <w:t xml:space="preserve"/>
      </w:r>
    </w:p>
    <w:p>
      <w:pPr>
        <w:spacing w:after="80" w:before="60"/>
      </w:pPr>
      <w:r>
        <w:rPr>
          <w:rFonts w:ascii="Arial" w:cs="Arial" w:eastAsia="Arial" w:hAnsi="Arial"/>
          <w:color w:val="1A1A2E"/>
          <w:sz w:val="22"/>
          <w:szCs w:val="22"/>
        </w:rPr>
        <w:t xml:space="preserve">Response variable: Customer-reported satisfaction score at 12-month review (1–10 scale), captured via structured follow-up call recorded in VoxTrans AI and scored by SigmaVault VOC engine.</w:t>
      </w:r>
    </w:p>
    <w:p>
      <w:pPr>
        <w:spacing w:after="0" w:before="80"/>
      </w:pPr>
      <w:r>
        <w:t xml:space="preserve"/>
      </w:r>
    </w:p>
    <w:p>
      <w:pPr>
        <w:spacing w:after="80" w:before="60"/>
      </w:pPr>
      <w:r>
        <w:rPr>
          <w:rFonts w:ascii="Arial" w:cs="Arial" w:eastAsia="Arial" w:hAnsi="Arial"/>
          <w:color w:val="1A1A2E"/>
          <w:sz w:val="22"/>
          <w:szCs w:val="22"/>
        </w:rPr>
        <w:t xml:space="preserve">With four factors at two levels, a full 2⁴ factorial requires 16 configurations. The AI recommends a half-fraction (2⁴⁻¹ = 8 runs) as sufficient to estimate all main effects and the highest-order interactions, halving the number of physical builds required.</w:t>
      </w:r>
    </w:p>
    <w:p>
      <w:pPr>
        <w:spacing w:after="0" w:before="80"/>
      </w:pPr>
      <w:r>
        <w:t xml:space="preserve"/>
      </w:r>
    </w:p>
    <w:p>
      <w:pPr>
        <w:spacing w:after="60" w:before="80"/>
      </w:pPr>
      <w:r>
        <w:rPr>
          <w:rFonts w:ascii="Arial" w:cs="Arial" w:eastAsia="Arial" w:hAnsi="Arial"/>
          <w:b/>
          <w:bCs/>
          <w:color w:val="006B6B"/>
          <w:sz w:val="21"/>
          <w:szCs w:val="21"/>
        </w:rPr>
        <w:t xml:space="preserve">2⁴⁻¹ Half-Fraction Factorial — Battery Configuration DOE (8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Config</w:t>
            </w:r>
          </w:p>
        </w:tc>
        <w:tc>
          <w:tcPr>
            <w:tcW w:type="dxa" w:w="1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A: Plate</w:t>
            </w:r>
          </w:p>
        </w:tc>
        <w:tc>
          <w:tcPr>
            <w:tcW w:type="dxa" w:w="1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B: Electrolyte</w:t>
            </w:r>
          </w:p>
        </w:tc>
        <w:tc>
          <w:tcPr>
            <w:tcW w:type="dxa" w:w="1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C: Formation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9"/>
                <w:szCs w:val="19"/>
              </w:rPr>
              <w:t xml:space="preserve">D: Container</w:t>
            </w:r>
          </w:p>
        </w:tc>
        <w:tc>
          <w:tcPr>
            <w:tcW w:type="dxa" w:w="1560"/>
            <w:tcBorders>
              <w:top w:val="single" w:color="CCCCCC" w:sz="1"/>
              <w:left w:val="single" w:color="CCCCCC" w:sz="1"/>
              <w:bottom w:val="single" w:color="CCCCCC" w:sz="1"/>
              <w:right w:val="single" w:color="CCCCCC" w:sz="1"/>
            </w:tcBorders>
            <w:shd w:fill="0A5C0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Sat. Score /10</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1</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(Std)</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(Std)</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(72h)</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(PP)</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6.1</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2</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(HD)</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(Std)</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(72h)</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(ABS)</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7.3</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3</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(Std)</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(Enh)</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(72h)</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(ABS)</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7.8</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4</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(HD)</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(Enh)</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(72h)</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(PP)</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8.2</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5</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(Std)</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(Std)</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(96h)</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(ABS)</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7.0</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6</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(HD)</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(Std)</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(96h)</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(PP)</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7.6</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7</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(Std)</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(Enh)</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(96h)</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(PP)</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8.4</w:t>
            </w:r>
          </w:p>
        </w:tc>
      </w:tr>
      <w:tr>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8</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(HD)</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(Enh)</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(96h)</w:t>
            </w:r>
          </w:p>
        </w:tc>
        <w:tc>
          <w:tcPr>
            <w:tcW w:type="dxa" w:w="1560"/>
            <w:tcBorders>
              <w:top w:val="single" w:color="CCCCCC" w:sz="1"/>
              <w:left w:val="single" w:color="CCCCCC" w:sz="1"/>
              <w:bottom w:val="single" w:color="CCCCCC" w:sz="1"/>
              <w:right w:val="single" w:color="CCCCCC" w:sz="1"/>
            </w:tcBorders>
            <w:shd w:fill="F2F7FB" w:val="clear"/>
            <w:tcMar>
              <w:top w:type="dxa" w:w="80"/>
              <w:left w:type="dxa" w:w="80"/>
              <w:bottom w:type="dxa" w:w="80"/>
              <w:right w:type="dxa" w:w="80"/>
            </w:tcMar>
          </w:tcPr>
          <w:p>
            <w:pPr>
              <w:jc w:val="center"/>
            </w:pPr>
            <w:r>
              <w:rPr>
                <w:rFonts w:ascii="Arial" w:cs="Arial" w:eastAsia="Arial" w:hAnsi="Arial"/>
                <w:b w:val="false"/>
                <w:bCs w:val="false"/>
                <w:color w:val="1A1A2E"/>
                <w:sz w:val="19"/>
                <w:szCs w:val="19"/>
              </w:rPr>
              <w:t xml:space="preserve">+ (ABS)</w:t>
            </w:r>
          </w:p>
        </w:tc>
        <w:tc>
          <w:tcPr>
            <w:tcW w:type="dxa" w:w="15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A1A2E"/>
                <w:sz w:val="19"/>
                <w:szCs w:val="19"/>
              </w:rPr>
              <w:t xml:space="preserve">9.1</w:t>
            </w:r>
          </w:p>
        </w:tc>
      </w:tr>
    </w:tbl>
    <w:p>
      <w:pPr>
        <w:spacing w:after="80" w:before="60"/>
      </w:pPr>
      <w:r>
        <w:rPr>
          <w:rFonts w:ascii="Arial" w:cs="Arial" w:eastAsia="Arial" w:hAnsi="Arial"/>
          <w:i/>
          <w:iCs/>
          <w:color w:val="555555"/>
          <w:sz w:val="19"/>
          <w:szCs w:val="19"/>
        </w:rPr>
        <w:t xml:space="preserve">Scores ≥ 8.0 highlighted green — target threshold. Half-fraction design: resolution IV, main effects clear of two-factor interactions.</w:t>
      </w:r>
    </w:p>
    <w:p>
      <w:pPr>
        <w:spacing w:after="0" w:before="80"/>
      </w:pPr>
      <w:r>
        <w:t xml:space="preserve"/>
      </w:r>
    </w:p>
    <w:p>
      <w:pPr>
        <w:spacing w:after="80" w:before="60"/>
      </w:pPr>
      <w:r>
        <w:rPr>
          <w:rFonts w:ascii="Arial" w:cs="Arial" w:eastAsia="Arial" w:hAnsi="Arial"/>
          <w:color w:val="1A1A2E"/>
          <w:sz w:val="22"/>
          <w:szCs w:val="22"/>
        </w:rPr>
        <w:t xml:space="preserve">The analysis reveals Factor B (electrolyte enhancement) and Factor C (96-hour formation) as the dominant drivers of customer satisfaction, with a strong B×C interaction — enhanced electrolyte combined with extended formation produces a synergistic uplift that neither factor achieves alone. Factor A (plate thickness) shows a moderate positive effect. Factor D (container) is not statistically significant at this sample size.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5C0A"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Optimal Battery Configuration — DOE Recommendation</w:t>
            </w:r>
          </w:p>
          <w:p>
            <w:pPr>
              <w:spacing w:after="36" w:before="36"/>
            </w:pPr>
            <w:r>
              <w:rPr>
                <w:rFonts w:ascii="Arial" w:cs="Arial" w:eastAsia="Arial" w:hAnsi="Arial"/>
                <w:color w:val="FFFFFF"/>
                <w:sz w:val="20"/>
                <w:szCs w:val="20"/>
              </w:rPr>
              <w:t xml:space="preserve">Enhanced electrolyte formulation  +  96-hour extended formation cycle</w:t>
            </w:r>
          </w:p>
          <w:p>
            <w:pPr>
              <w:spacing w:after="36" w:before="36"/>
            </w:pPr>
            <w:r>
              <w:rPr>
                <w:rFonts w:ascii="Arial" w:cs="Arial" w:eastAsia="Arial" w:hAnsi="Arial"/>
                <w:color w:val="FFFFFF"/>
                <w:sz w:val="20"/>
                <w:szCs w:val="20"/>
              </w:rPr>
              <w:t xml:space="preserve">Predicted satisfaction score:  9.1 / 10  (vs. 6.1 baseline)</w:t>
            </w:r>
          </w:p>
          <w:p>
            <w:pPr>
              <w:spacing w:after="36" w:before="36"/>
            </w:pPr>
            <w:r>
              <w:rPr>
                <w:rFonts w:ascii="Arial" w:cs="Arial" w:eastAsia="Arial" w:hAnsi="Arial"/>
                <w:color w:val="FFFFFF"/>
                <w:sz w:val="20"/>
                <w:szCs w:val="20"/>
              </w:rPr>
              <w:t xml:space="preserve">Additional manufacturing cost:  ~$4.20/unit</w:t>
            </w:r>
          </w:p>
          <w:p>
            <w:pPr>
              <w:spacing w:after="36" w:before="36"/>
            </w:pPr>
            <w:r>
              <w:rPr>
                <w:rFonts w:ascii="Arial" w:cs="Arial" w:eastAsia="Arial" w:hAnsi="Arial"/>
                <w:color w:val="FFFFFF"/>
                <w:sz w:val="20"/>
                <w:szCs w:val="20"/>
              </w:rPr>
              <w:t xml:space="preserve">DOE-justified price premium opportunity:  $18–25/unit based on satisfaction uplift</w:t>
            </w:r>
          </w:p>
          <w:p>
            <w:pPr>
              <w:spacing w:after="36" w:before="36"/>
            </w:pPr>
            <w:r>
              <w:rPr>
                <w:rFonts w:ascii="Arial" w:cs="Arial" w:eastAsia="Arial" w:hAnsi="Arial"/>
                <w:color w:val="FFFFFF"/>
                <w:sz w:val="20"/>
                <w:szCs w:val="20"/>
              </w:rPr>
              <w:t xml:space="preserve">Net margin improvement per unit:  $13.80–20.80</w:t>
            </w:r>
          </w:p>
        </w:tc>
      </w:tr>
    </w:tbl>
    <w:p>
      <w:pPr>
        <w:spacing w:after="0" w:before="10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4.2  Real Estate Renovation Scope DOE</w:t>
      </w:r>
    </w:p>
    <w:p>
      <w:pPr>
        <w:spacing w:after="80" w:before="60"/>
      </w:pPr>
      <w:r>
        <w:rPr>
          <w:rFonts w:ascii="Arial" w:cs="Arial" w:eastAsia="Arial" w:hAnsi="Arial"/>
          <w:color w:val="1A1A2E"/>
          <w:sz w:val="22"/>
          <w:szCs w:val="22"/>
        </w:rPr>
        <w:t xml:space="preserve">Kevin applies the same logic to his real estate portfolio — finding the optimal renovation scope combination that maximises the sale price uplift relative to renovation spend on fix-and-hold properties.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Low Level (−)</w:t>
            </w:r>
          </w:p>
        </w:tc>
        <w:tc>
          <w:tcPr>
            <w:tcW w:type="dxa" w:w="338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High Level (+)</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  Kitchen Specification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Basic refresh ($4K)</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Full remodel ($18K)</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B:  Bathroom Count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bathroom renovated</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All bathrooms renovated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  Kerb Appeal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Paint + tidy only</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Landscaping + driveway ($6K)</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D:  Flooring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Carpet throughout</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LVP throughout</w:t>
            </w:r>
          </w:p>
        </w:tc>
      </w:tr>
    </w:tbl>
    <w:p>
      <w:pPr>
        <w:spacing w:after="0" w:before="80"/>
      </w:pPr>
      <w:r>
        <w:t xml:space="preserve"/>
      </w:r>
    </w:p>
    <w:p>
      <w:pPr>
        <w:spacing w:after="80" w:before="60"/>
      </w:pPr>
      <w:r>
        <w:rPr>
          <w:rFonts w:ascii="Arial" w:cs="Arial" w:eastAsia="Arial" w:hAnsi="Arial"/>
          <w:color w:val="1A1A2E"/>
          <w:sz w:val="22"/>
          <w:szCs w:val="22"/>
        </w:rPr>
        <w:t xml:space="preserve">Response variable: Sale price uplift as a percentage above the post-renovation ARV baseline, averaged across 16 comparable properties in Kevin's portfolio. Data pulled from IdeaVault deal records and SigmaVault project history.</w:t>
      </w:r>
    </w:p>
    <w:p>
      <w:pPr>
        <w:spacing w:after="0" w:before="80"/>
      </w:pPr>
      <w:r>
        <w:t xml:space="preserve"/>
      </w:r>
    </w:p>
    <w:p>
      <w:pPr>
        <w:spacing w:after="80" w:before="60"/>
      </w:pPr>
      <w:r>
        <w:rPr>
          <w:rFonts w:ascii="Arial" w:cs="Arial" w:eastAsia="Arial" w:hAnsi="Arial"/>
          <w:color w:val="1A1A2E"/>
          <w:sz w:val="22"/>
          <w:szCs w:val="22"/>
        </w:rPr>
        <w:t xml:space="preserve">The DOE result for this use case reveals the most practically impactful finding: a strong negative interaction between Factor A (full kitchen remodel) and Factor D (LVP flooring). Full kitchen + LVP together produces a lower return than either factor alone — buyers in Kevin's target price bracket perceive the combination as over-specified for the area, reducing the return on investment. The optimal combination is mid-spec kitchen + LVP + all bathrooms + kerb appeal investment — producing 14.3% above ARV vs. the full-spec combination's 11.8%.</w:t>
      </w:r>
    </w:p>
    <w:p>
      <w:r>
        <w:br w:type="page"/>
      </w:r>
    </w:p>
    <w:p>
      <w:pPr>
        <w:pStyle w:val="Heading1"/>
        <w:spacing w:after="180" w:before="360"/>
      </w:pPr>
      <w:r>
        <w:rPr>
          <w:rFonts w:ascii="Arial" w:cs="Arial" w:eastAsia="Arial" w:hAnsi="Arial"/>
          <w:b/>
          <w:bCs/>
          <w:color w:val="1F4E79"/>
          <w:sz w:val="32"/>
          <w:szCs w:val="32"/>
        </w:rPr>
        <w:t xml:space="preserve">5.  Use Case 3 — Idea &amp; Pitch Validation DOE</w:t>
      </w:r>
    </w:p>
    <w:p>
      <w:pPr>
        <w:spacing w:after="80" w:before="60"/>
      </w:pPr>
      <w:r>
        <w:rPr>
          <w:rFonts w:ascii="Arial" w:cs="Arial" w:eastAsia="Arial" w:hAnsi="Arial"/>
          <w:color w:val="1A1A2E"/>
          <w:sz w:val="22"/>
          <w:szCs w:val="22"/>
        </w:rPr>
        <w:t xml:space="preserve">DOE can also be applied to the structure of pitches, proposals, and innovation presentations. When Kevin is pitching a new product concept, a real estate deal, or a business case to multiple stakeholders, the DOE Optimiser helps identify which combination of pitch elements generates the strongest positive response.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Pitch Factor Tested</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Levels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Opening frame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Problem-first vs. Opportunity-first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Evidence type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Customer testimonial vs. Statistical data</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Financial presentation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ROI upfront vs. Cost-of-inaction first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Call to action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Specific next step vs. Open question</w:t>
            </w:r>
          </w:p>
        </w:tc>
      </w:tr>
    </w:tbl>
    <w:p>
      <w:pPr>
        <w:spacing w:after="0" w:before="80"/>
      </w:pPr>
      <w:r>
        <w:t xml:space="preserve"/>
      </w:r>
    </w:p>
    <w:p>
      <w:pPr>
        <w:spacing w:after="80" w:before="60"/>
      </w:pPr>
      <w:r>
        <w:rPr>
          <w:rFonts w:ascii="Arial" w:cs="Arial" w:eastAsia="Arial" w:hAnsi="Arial"/>
          <w:color w:val="1A1A2E"/>
          <w:sz w:val="22"/>
          <w:szCs w:val="22"/>
        </w:rPr>
        <w:t xml:space="preserve">Kevin pitches the same concept to 16 different prospects or stakeholders — each hears a different combination of the four factors. SalesForge assigns conditions, VoxTrans AI records each pitch, SigmaVault measures the response (verbal commitment, follow-up request, or next-meeting agreement) as the binary outcome. After 16 pitches, the optimal structure is identified — and becomes the standard pitch format for that concept going forward.</w:t>
      </w:r>
    </w:p>
    <w:p>
      <w:pPr>
        <w:spacing w:after="0" w:before="80"/>
      </w:pPr>
      <w:r>
        <w:t xml:space="preserve"/>
      </w:r>
    </w:p>
    <w:p>
      <w:pPr>
        <w:spacing w:after="80" w:before="60"/>
      </w:pPr>
      <w:r>
        <w:rPr>
          <w:rFonts w:ascii="Arial" w:cs="Arial" w:eastAsia="Arial" w:hAnsi="Arial"/>
          <w:i/>
          <w:iCs/>
          <w:color w:val="555555"/>
          <w:sz w:val="22"/>
          <w:szCs w:val="22"/>
        </w:rPr>
        <w:t xml:space="preserve">This is the application that transforms IdeaVault from an idea storage system into an idea validation engine. Ideas are not just captured and developed — they are experimentally optimised before significant resources are committed.</w:t>
      </w:r>
    </w:p>
    <w:p>
      <w:r>
        <w:br w:type="page"/>
      </w:r>
    </w:p>
    <w:p>
      <w:pPr>
        <w:pStyle w:val="Heading1"/>
        <w:spacing w:after="180" w:before="360"/>
      </w:pPr>
      <w:r>
        <w:rPr>
          <w:rFonts w:ascii="Arial" w:cs="Arial" w:eastAsia="Arial" w:hAnsi="Arial"/>
          <w:b/>
          <w:bCs/>
          <w:color w:val="1F4E79"/>
          <w:sz w:val="32"/>
          <w:szCs w:val="32"/>
        </w:rPr>
        <w:t xml:space="preserve">6.  DOE Design Types Available in the Optimiser</w:t>
      </w:r>
    </w:p>
    <w:p>
      <w:pPr>
        <w:spacing w:after="80" w:before="60"/>
      </w:pPr>
      <w:r>
        <w:rPr>
          <w:rFonts w:ascii="Arial" w:cs="Arial" w:eastAsia="Arial" w:hAnsi="Arial"/>
          <w:color w:val="1A1A2E"/>
          <w:sz w:val="22"/>
          <w:szCs w:val="22"/>
        </w:rPr>
        <w:t xml:space="preserve">The AI selects the most appropriate design for each experiment automatically based on the number of factors, available runs, and the type of response variable. Kevin can override the recommendation if he has a specific design preference.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Design Type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When AI Recommends It</w:t>
            </w:r>
          </w:p>
        </w:tc>
        <w:tc>
          <w:tcPr>
            <w:tcW w:type="dxa" w:w="27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Typical Run Count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2² Full Factorial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 factors to test — complete analysis of all combinations and interaction</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4 runs + replicates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2³ Full Factorial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 factors — Kevin's most common scenario for sales approach testing</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8 runs + centre points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2⁴ Full Factorial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4 factors — full resolution, all interactions estimable</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16–20 runs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2⁴⁻¹ Half Fraction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4 factors but fewer runs available — resolution IV, main effects clear</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8–12 runs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2⁵⁻² Quarter Fraction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 factors, limited run budget — main effects only, screen for key factors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8–12 runs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Plackett-Burman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6–12 factors to screen — identify the vital few for a follow-up full factorial</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12–20 runs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Central Composite (RSM)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After factorial confirms key factors — find the optimal point precisely</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14–20 runs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Box-Behnken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3–4 continuous factors — response surface without corner-point risk</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13–17 runs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Taguchi L8 / L16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Robust parameter design — find settings that minimise response variance</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8 or 16 runs</w:t>
            </w:r>
          </w:p>
        </w:tc>
      </w:tr>
    </w:tbl>
    <w:p>
      <w:pPr>
        <w:spacing w:after="0" w:before="80"/>
      </w:pPr>
      <w:r>
        <w:t xml:space="preserve"/>
      </w:r>
    </w:p>
    <w:p>
      <w:pPr>
        <w:spacing w:after="80" w:before="60"/>
      </w:pPr>
      <w:r>
        <w:rPr>
          <w:rFonts w:ascii="Arial" w:cs="Arial" w:eastAsia="Arial" w:hAnsi="Arial"/>
          <w:color w:val="1A1A2E"/>
          <w:sz w:val="22"/>
          <w:szCs w:val="22"/>
        </w:rPr>
        <w:t xml:space="preserve">For most sales and business decisions Kevin will encounter, the 2³ or 2⁴ full factorial is the right tool — it is powerful, interpretable, and feasible within realistic call volumes. The AI presents a plain-language explanation of whichever design it selects before Kevin approves it.</w:t>
      </w:r>
    </w:p>
    <w:p>
      <w:r>
        <w:br w:type="page"/>
      </w:r>
    </w:p>
    <w:p>
      <w:pPr>
        <w:pStyle w:val="Heading1"/>
        <w:spacing w:after="180" w:before="360"/>
      </w:pPr>
      <w:r>
        <w:rPr>
          <w:rFonts w:ascii="Arial" w:cs="Arial" w:eastAsia="Arial" w:hAnsi="Arial"/>
          <w:b/>
          <w:bCs/>
          <w:color w:val="1F4E79"/>
          <w:sz w:val="32"/>
          <w:szCs w:val="32"/>
        </w:rPr>
        <w:t xml:space="preserve">7.  The AI Interpretation Engine — Making Results Actionable</w:t>
      </w:r>
    </w:p>
    <w:p>
      <w:pPr>
        <w:spacing w:after="80" w:before="60"/>
      </w:pPr>
      <w:r>
        <w:rPr>
          <w:rFonts w:ascii="Arial" w:cs="Arial" w:eastAsia="Arial" w:hAnsi="Arial"/>
          <w:color w:val="1A1A2E"/>
          <w:sz w:val="22"/>
          <w:szCs w:val="22"/>
        </w:rPr>
        <w:t xml:space="preserve">Statistical output from a DOE is meaningless if it cannot be translated into a clear decision. The DOE Optimiser's interpretation engine is designed specifically to bridge the gap between the factorial analysis and the business action Kevin needs to take.</w:t>
      </w:r>
    </w:p>
    <w:p>
      <w:pPr>
        <w:spacing w:after="0" w:before="8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7.1  The Four-Part Interpretation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Report Section</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What It Contains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1.  What We Tested</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Plain English summary of the experiment — factors, levels, runs, and response variable — written for a non-technical reader (for sharing with a sales team)</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2.  What Mattered</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Ranked list of significant factors with their effect sizes and p-values. Effect bar chart. Clear statement: 'These 3 factors had a real effect; this 1 factor did not.'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3.  What to Watch Out For</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All significant interaction effects explained in plain language. Tables showing how each interaction plays out across combinations. The non-obvious findings.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4.  The Optimal Solution</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Single clear recommendation: the factor combination that maximises the response. Predicted performance at optimal settings. Confidence interval. Recommended confirmation run count.</w:t>
            </w:r>
          </w:p>
        </w:tc>
      </w:tr>
    </w:tbl>
    <w:p>
      <w:pPr>
        <w:spacing w:after="0" w:before="100"/>
      </w:pPr>
      <w:r>
        <w:t xml:space="preserve"/>
      </w:r>
    </w:p>
    <w:p>
      <w:pPr>
        <w:pStyle w:val="Heading2"/>
        <w:pBdr>
          <w:bottom w:val="single" w:color="00C853" w:sz="4" w:space="4"/>
        </w:pBdr>
        <w:spacing w:after="120" w:before="280"/>
      </w:pPr>
      <w:r>
        <w:rPr>
          <w:rFonts w:ascii="Arial" w:cs="Arial" w:eastAsia="Arial" w:hAnsi="Arial"/>
          <w:b/>
          <w:bCs/>
          <w:color w:val="2E75B6"/>
          <w:sz w:val="26"/>
          <w:szCs w:val="26"/>
        </w:rPr>
        <w:t xml:space="preserve">7.2  Confirmation Run Protocol</w:t>
      </w:r>
    </w:p>
    <w:p>
      <w:pPr>
        <w:spacing w:after="80" w:before="60"/>
      </w:pPr>
      <w:r>
        <w:rPr>
          <w:rFonts w:ascii="Arial" w:cs="Arial" w:eastAsia="Arial" w:hAnsi="Arial"/>
          <w:color w:val="1A1A2E"/>
          <w:sz w:val="22"/>
          <w:szCs w:val="22"/>
        </w:rPr>
        <w:t xml:space="preserve">DOE best practice requires a confirmation run — implementing the optimal settings and verifying that the predicted response is achieved. The AI manages this automatically:</w:t>
      </w:r>
    </w:p>
    <w:p>
      <w:pPr>
        <w:spacing w:after="0" w:before="60"/>
      </w:pPr>
      <w:r>
        <w:t xml:space="preserve"/>
      </w:r>
    </w:p>
    <w:p>
      <w:pPr>
        <w:pStyle w:val="ListParagraph"/>
        <w:numPr>
          <w:ilvl w:val="0"/>
          <w:numId w:val="2"/>
        </w:numPr>
        <w:spacing w:after="44" w:before="44"/>
      </w:pPr>
      <w:r>
        <w:rPr>
          <w:rFonts w:ascii="Arial" w:cs="Arial" w:eastAsia="Arial" w:hAnsi="Arial"/>
          <w:b w:val="false"/>
          <w:bCs w:val="false"/>
          <w:color w:val="1A1A2E"/>
          <w:sz w:val="22"/>
          <w:szCs w:val="22"/>
        </w:rPr>
        <w:t xml:space="preserve">After deploying the optimal combination, SalesForge tracks the next 10 calls at the new settings</w:t>
      </w:r>
    </w:p>
    <w:p>
      <w:pPr>
        <w:pStyle w:val="ListParagraph"/>
        <w:numPr>
          <w:ilvl w:val="0"/>
          <w:numId w:val="2"/>
        </w:numPr>
        <w:spacing w:after="44" w:before="44"/>
      </w:pPr>
      <w:r>
        <w:rPr>
          <w:rFonts w:ascii="Arial" w:cs="Arial" w:eastAsia="Arial" w:hAnsi="Arial"/>
          <w:b w:val="false"/>
          <w:bCs w:val="false"/>
          <w:color w:val="1A1A2E"/>
          <w:sz w:val="22"/>
          <w:szCs w:val="22"/>
        </w:rPr>
        <w:t xml:space="preserve">Actual conversion rate is compared to the predicted rate using a 1-Sample T-Test</w:t>
      </w:r>
    </w:p>
    <w:p>
      <w:pPr>
        <w:pStyle w:val="ListParagraph"/>
        <w:numPr>
          <w:ilvl w:val="0"/>
          <w:numId w:val="2"/>
        </w:numPr>
        <w:spacing w:after="44" w:before="44"/>
      </w:pPr>
      <w:r>
        <w:rPr>
          <w:rFonts w:ascii="Arial" w:cs="Arial" w:eastAsia="Arial" w:hAnsi="Arial"/>
          <w:b w:val="false"/>
          <w:bCs w:val="false"/>
          <w:color w:val="1A1A2E"/>
          <w:sz w:val="22"/>
          <w:szCs w:val="22"/>
        </w:rPr>
        <w:t xml:space="preserve">If actual performance is within the confidence interval of the prediction, the DOE is confirmed and the settings become the permanent standard</w:t>
      </w:r>
    </w:p>
    <w:p>
      <w:pPr>
        <w:pStyle w:val="ListParagraph"/>
        <w:numPr>
          <w:ilvl w:val="0"/>
          <w:numId w:val="2"/>
        </w:numPr>
        <w:spacing w:after="44" w:before="44"/>
      </w:pPr>
      <w:r>
        <w:rPr>
          <w:rFonts w:ascii="Arial" w:cs="Arial" w:eastAsia="Arial" w:hAnsi="Arial"/>
          <w:b w:val="false"/>
          <w:bCs w:val="false"/>
          <w:color w:val="1A1A2E"/>
          <w:sz w:val="22"/>
          <w:szCs w:val="22"/>
        </w:rPr>
        <w:t xml:space="preserve">If actual performance falls outside the interval, the AI flags a potential confounding variable and recommends a follow-up investigation — either a new DOE or a targeted 5 Whys session in SigmaVault</w:t>
      </w:r>
    </w:p>
    <w:p>
      <w:pPr>
        <w:pStyle w:val="ListParagraph"/>
        <w:numPr>
          <w:ilvl w:val="0"/>
          <w:numId w:val="2"/>
        </w:numPr>
        <w:spacing w:after="44" w:before="44"/>
      </w:pPr>
      <w:r>
        <w:rPr>
          <w:rFonts w:ascii="Arial" w:cs="Arial" w:eastAsia="Arial" w:hAnsi="Arial"/>
          <w:b w:val="false"/>
          <w:bCs w:val="false"/>
          <w:color w:val="1A1A2E"/>
          <w:sz w:val="22"/>
          <w:szCs w:val="22"/>
        </w:rPr>
        <w:t xml:space="preserve">Every confirmation result is stored in the experiment archive — building a long-term record of what has been validated in Kevin's specific context</w:t>
      </w:r>
    </w:p>
    <w:p>
      <w:pPr>
        <w:spacing w:after="0" w:before="200"/>
      </w:pPr>
      <w:r>
        <w:t xml:space="preserve"/>
      </w:r>
    </w:p>
    <w:p>
      <w:pPr>
        <w:pStyle w:val="Heading1"/>
        <w:spacing w:after="180" w:before="360"/>
      </w:pPr>
      <w:r>
        <w:rPr>
          <w:rFonts w:ascii="Arial" w:cs="Arial" w:eastAsia="Arial" w:hAnsi="Arial"/>
          <w:b/>
          <w:bCs/>
          <w:color w:val="1F4E79"/>
          <w:sz w:val="32"/>
          <w:szCs w:val="32"/>
        </w:rPr>
        <w:t xml:space="preserve">8.  Integration With SalesForge, SigmaVault, and IdeaVault</w:t>
      </w:r>
    </w:p>
    <w:p>
      <w:pPr>
        <w:spacing w:after="80" w:before="60"/>
      </w:pPr>
      <w:r>
        <w:rPr>
          <w:rFonts w:ascii="Arial" w:cs="Arial" w:eastAsia="Arial" w:hAnsi="Arial"/>
          <w:color w:val="1A1A2E"/>
          <w:sz w:val="22"/>
          <w:szCs w:val="22"/>
        </w:rPr>
        <w:t xml:space="preserve">The DOE Optimiser does not operate in isolation. It is deeply wired into the rest of the platform — feeding results back into every other module and consuming data from all of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Integration Point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What Happens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  SalesForge Script Library</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Optimal factor settings auto-update the Standard Approach script. Old approach archived. Live coaching panel updated for all reps immediately.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  SigmaVault 2-Sample T-Test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Confirmation run result is fed into a 1-Sample T-Test to verify the predicted performance. Full statistical audit trail maintained.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  SigmaVault Control Charts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Post-deployment performance is tracked on an I-MR control chart. Any out-of-control signal triggers an automatic alert to Kevin.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  IdeaVault Idea Cards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DOE findings that reveal unexpected insights are auto-filed as Idea Cards — e.g., the discovery that 24h follow-up dramatically amplifies TCO-led openers becomes a product insight about customer psychology.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  VOC Engine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DOC interaction effects that suggest customer preference patterns are cross-referenced with VOC card themes — connecting experimental results with customer language.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  DMAIC Pipeline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DOE results become the Improve phase evidence in any active DMAIC project. The confirmed optimal settings become the new standard in the Control phase.</w:t>
            </w:r>
          </w:p>
        </w:tc>
      </w:tr>
    </w:tbl>
    <w:p>
      <w:pPr>
        <w:spacing w:after="0" w:before="200"/>
      </w:pPr>
      <w:r>
        <w:t xml:space="preserve"/>
      </w:r>
    </w:p>
    <w:p>
      <w:pPr>
        <w:pStyle w:val="Heading1"/>
        <w:spacing w:after="180" w:before="360"/>
      </w:pPr>
      <w:r>
        <w:rPr>
          <w:rFonts w:ascii="Arial" w:cs="Arial" w:eastAsia="Arial" w:hAnsi="Arial"/>
          <w:b/>
          <w:bCs/>
          <w:color w:val="1F4E79"/>
          <w:sz w:val="32"/>
          <w:szCs w:val="32"/>
        </w:rPr>
        <w:t xml:space="preserve">9.  Commercial Value — Why This Is the Killer Feature</w:t>
      </w:r>
    </w:p>
    <w:p>
      <w:pPr>
        <w:spacing w:after="80" w:before="60"/>
      </w:pPr>
      <w:r>
        <w:rPr>
          <w:rFonts w:ascii="Arial" w:cs="Arial" w:eastAsia="Arial" w:hAnsi="Arial"/>
          <w:color w:val="1A1A2E"/>
          <w:sz w:val="22"/>
          <w:szCs w:val="22"/>
        </w:rPr>
        <w:t xml:space="preserve">Kevin, DOE applied to sales optimisation does not exist anywhere in the commercial software market. Sales enablement platforms (Gong, Chorus, Salesforce Einstein) use AI pattern matching on large datasets. What they cannot do is design and run controlled experiments to establish causal relationships between sales approach variables and outcomes. That is what DOE does. The distinction matters enormously.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Pattern Matching vs. Causal Proof</w:t>
            </w:r>
          </w:p>
          <w:p>
            <w:pPr>
              <w:spacing w:after="36" w:before="36"/>
            </w:pPr>
            <w:r>
              <w:rPr>
                <w:rFonts w:ascii="Arial" w:cs="Arial" w:eastAsia="Arial" w:hAnsi="Arial"/>
                <w:color w:val="FFFFFF"/>
                <w:sz w:val="20"/>
                <w:szCs w:val="20"/>
              </w:rPr>
              <w:t xml:space="preserve">Gong tells you: 'Top performers use TCO language more often.'</w:t>
            </w:r>
          </w:p>
          <w:p>
            <w:pPr>
              <w:spacing w:after="36" w:before="36"/>
            </w:pPr>
            <w:r>
              <w:rPr>
                <w:rFonts w:ascii="Arial" w:cs="Arial" w:eastAsia="Arial" w:hAnsi="Arial"/>
                <w:color w:val="FFFFFF"/>
                <w:sz w:val="20"/>
                <w:szCs w:val="20"/>
              </w:rPr>
              <w:t xml:space="preserve">DOE Optimiser tells you: 'TCO language, when combined with deferred pricing and 24-hour follow-up,</w:t>
            </w:r>
          </w:p>
          <w:p>
            <w:pPr>
              <w:spacing w:after="36" w:before="36"/>
            </w:pPr>
            <w:r>
              <w:rPr>
                <w:rFonts w:ascii="Arial" w:cs="Arial" w:eastAsia="Arial" w:hAnsi="Arial"/>
                <w:color w:val="FFFFFF"/>
                <w:sz w:val="20"/>
                <w:szCs w:val="20"/>
              </w:rPr>
              <w:t xml:space="preserve">causes a 66 percentage point improvement in conversion rate with 97.4% statistical confidence.'</w:t>
            </w:r>
          </w:p>
          <w:p>
            <w:pPr>
              <w:spacing w:after="36" w:before="36"/>
            </w:pPr>
            <w:r>
              <w:rPr>
                <w:rFonts w:ascii="Arial" w:cs="Arial" w:eastAsia="Arial" w:hAnsi="Arial"/>
                <w:color w:val="FFFFFF"/>
                <w:sz w:val="20"/>
                <w:szCs w:val="20"/>
              </w:rPr>
              <w:t xml:space="preserve"/>
            </w:r>
          </w:p>
          <w:p>
            <w:pPr>
              <w:spacing w:after="36" w:before="36"/>
            </w:pPr>
            <w:r>
              <w:rPr>
                <w:rFonts w:ascii="Arial" w:cs="Arial" w:eastAsia="Arial" w:hAnsi="Arial"/>
                <w:color w:val="FFFFFF"/>
                <w:sz w:val="20"/>
                <w:szCs w:val="20"/>
              </w:rPr>
              <w:t xml:space="preserve">One is a correlation observed in a large dataset. The other is a controlled experiment.</w:t>
            </w:r>
          </w:p>
          <w:p>
            <w:pPr>
              <w:spacing w:after="36" w:before="36"/>
            </w:pPr>
            <w:r>
              <w:rPr>
                <w:rFonts w:ascii="Arial" w:cs="Arial" w:eastAsia="Arial" w:hAnsi="Arial"/>
                <w:color w:val="FFFFFF"/>
                <w:sz w:val="20"/>
                <w:szCs w:val="20"/>
              </w:rPr>
              <w:t xml:space="preserve">A Six Sigma Black Belt knows exactly which one to trust — and so do the enterprise buyers</w:t>
            </w:r>
          </w:p>
          <w:p>
            <w:pPr>
              <w:spacing w:after="36" w:before="36"/>
            </w:pPr>
            <w:r>
              <w:rPr>
                <w:rFonts w:ascii="Arial" w:cs="Arial" w:eastAsia="Arial" w:hAnsi="Arial"/>
                <w:color w:val="FFFFFF"/>
                <w:sz w:val="20"/>
                <w:szCs w:val="20"/>
              </w:rPr>
              <w:t xml:space="preserve">who will pay serious money for tools that deliver causal insight, not pattern-matching.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Buyer</w:t>
            </w:r>
          </w:p>
        </w:tc>
        <w:tc>
          <w:tcPr>
            <w:tcW w:type="dxa" w:w="4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Why They Pay Premium for DOE</w:t>
            </w:r>
          </w:p>
        </w:tc>
        <w:tc>
          <w:tcPr>
            <w:tcW w:type="dxa" w:w="25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Price Sensitivity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Sales Directors / VPs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Proof-of-causality for board-level decisions. 'Our data shows X' vs 'our DOE proves X'.</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Low — outcome worth 10–100× the tool cost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Six Sigma Practitioners in Sales Ops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Familiar with DOE. Currently doing this in Minitab or Excel. A mobile, voice-native, sales-connected version is transformative.</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Low — $400–600/year feels cheap vs Minitab</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Training &amp; L&amp;D Teams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DOE-validated scripts eliminate the debate about what to teach. Evidence replaces opinion.</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Medium — institutional budget cycle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Management Consultants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Run DOEs for clients as a service. SalesForge DOE is the delivery infrastructure.</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Low — billed through to client</w:t>
            </w:r>
          </w:p>
        </w:tc>
      </w:tr>
    </w:tbl>
    <w:p>
      <w:pPr>
        <w:spacing w:after="0" w:before="200"/>
      </w:pPr>
      <w:r>
        <w:t xml:space="preserve"/>
      </w:r>
    </w:p>
    <w:p>
      <w:pPr>
        <w:pStyle w:val="Heading1"/>
        <w:spacing w:after="180" w:before="360"/>
      </w:pPr>
      <w:r>
        <w:rPr>
          <w:rFonts w:ascii="Arial" w:cs="Arial" w:eastAsia="Arial" w:hAnsi="Arial"/>
          <w:b/>
          <w:bCs/>
          <w:color w:val="1F4E79"/>
          <w:sz w:val="32"/>
          <w:szCs w:val="32"/>
        </w:rPr>
        <w:t xml:space="preserve">10.  Next Steps — Implementing DOE Optimiser</w:t>
      </w:r>
    </w:p>
    <w:p>
      <w:pPr>
        <w:spacing w:after="0" w:before="60"/>
      </w:pPr>
      <w:r>
        <w:t xml:space="preserve"/>
      </w:r>
    </w:p>
    <w:p>
      <w:pPr>
        <w:pStyle w:val="ListParagraph"/>
        <w:numPr>
          <w:ilvl w:val="0"/>
          <w:numId w:val="3"/>
        </w:numPr>
        <w:spacing w:after="44" w:before="44"/>
      </w:pPr>
      <w:r>
        <w:rPr>
          <w:rFonts w:ascii="Arial" w:cs="Arial" w:eastAsia="Arial" w:hAnsi="Arial"/>
          <w:b/>
          <w:bCs/>
          <w:color w:val="1A1A2E"/>
          <w:sz w:val="22"/>
          <w:szCs w:val="22"/>
        </w:rPr>
        <w:t xml:space="preserve">Build the 2³ Full Factorial first</w:t>
      </w:r>
      <w:r>
        <w:rPr>
          <w:rFonts w:ascii="Arial" w:cs="Arial" w:eastAsia="Arial" w:hAnsi="Arial"/>
          <w:color w:val="1A1A2E"/>
          <w:sz w:val="22"/>
          <w:szCs w:val="22"/>
        </w:rPr>
        <w:t xml:space="preserve"> — three factors, eight runs. This covers the majority of Kevin's immediate use cases and is the simplest to implement and validate. Full UI: factor entry, matrix display, run assignment, results analysis, interpretation report.</w:t>
      </w:r>
    </w:p>
    <w:p>
      <w:pPr>
        <w:pStyle w:val="ListParagraph"/>
        <w:numPr>
          <w:ilvl w:val="0"/>
          <w:numId w:val="3"/>
        </w:numPr>
        <w:spacing w:after="44" w:before="44"/>
      </w:pPr>
      <w:r>
        <w:rPr>
          <w:rFonts w:ascii="Arial" w:cs="Arial" w:eastAsia="Arial" w:hAnsi="Arial"/>
          <w:b/>
          <w:bCs/>
          <w:color w:val="1A1A2E"/>
          <w:sz w:val="22"/>
          <w:szCs w:val="22"/>
        </w:rPr>
        <w:t xml:space="preserve">Add the half-fraction and Plackett-Burman designs second</w:t>
      </w:r>
      <w:r>
        <w:rPr>
          <w:rFonts w:ascii="Arial" w:cs="Arial" w:eastAsia="Arial" w:hAnsi="Arial"/>
          <w:color w:val="1A1A2E"/>
          <w:sz w:val="22"/>
          <w:szCs w:val="22"/>
        </w:rPr>
        <w:t xml:space="preserve"> — for experiments where Kevin has more factors than available runs. The AI design selection logic handles this automatically once the 2³ core is built.</w:t>
      </w:r>
    </w:p>
    <w:p>
      <w:pPr>
        <w:pStyle w:val="ListParagraph"/>
        <w:numPr>
          <w:ilvl w:val="0"/>
          <w:numId w:val="3"/>
        </w:numPr>
        <w:spacing w:after="44" w:before="44"/>
      </w:pPr>
      <w:r>
        <w:rPr>
          <w:rFonts w:ascii="Arial" w:cs="Arial" w:eastAsia="Arial" w:hAnsi="Arial"/>
          <w:b/>
          <w:bCs/>
          <w:color w:val="1A1A2E"/>
          <w:sz w:val="22"/>
          <w:szCs w:val="22"/>
        </w:rPr>
        <w:t xml:space="preserve">Integrate SalesForge script auto-update third</w:t>
      </w:r>
      <w:r>
        <w:rPr>
          <w:rFonts w:ascii="Arial" w:cs="Arial" w:eastAsia="Arial" w:hAnsi="Arial"/>
          <w:color w:val="1A1A2E"/>
          <w:sz w:val="22"/>
          <w:szCs w:val="22"/>
        </w:rPr>
        <w:t xml:space="preserve"> — the most commercially visible feature. When a DOE confirms an optimal sales combination, the script library updates with zero manual intervention.</w:t>
      </w:r>
    </w:p>
    <w:p>
      <w:pPr>
        <w:pStyle w:val="ListParagraph"/>
        <w:numPr>
          <w:ilvl w:val="0"/>
          <w:numId w:val="3"/>
        </w:numPr>
        <w:spacing w:after="44" w:before="44"/>
      </w:pPr>
      <w:r>
        <w:rPr>
          <w:rFonts w:ascii="Arial" w:cs="Arial" w:eastAsia="Arial" w:hAnsi="Arial"/>
          <w:b/>
          <w:bCs/>
          <w:color w:val="1A1A2E"/>
          <w:sz w:val="22"/>
          <w:szCs w:val="22"/>
        </w:rPr>
        <w:t xml:space="preserve">Build the Response Surface Methodology (RSM) module last</w:t>
      </w:r>
      <w:r>
        <w:rPr>
          <w:rFonts w:ascii="Arial" w:cs="Arial" w:eastAsia="Arial" w:hAnsi="Arial"/>
          <w:color w:val="1A1A2E"/>
          <w:sz w:val="22"/>
          <w:szCs w:val="22"/>
        </w:rPr>
        <w:t xml:space="preserve"> — for continuous factor levels and fine-grained optimisation. This is the advanced tier, requiring the full factorial infrastructure as a foundation.</w:t>
      </w:r>
    </w:p>
    <w:p>
      <w:pPr>
        <w:pStyle w:val="ListParagraph"/>
        <w:numPr>
          <w:ilvl w:val="0"/>
          <w:numId w:val="3"/>
        </w:numPr>
        <w:spacing w:after="44" w:before="44"/>
      </w:pPr>
      <w:r>
        <w:rPr>
          <w:rFonts w:ascii="Arial" w:cs="Arial" w:eastAsia="Arial" w:hAnsi="Arial"/>
          <w:b/>
          <w:bCs/>
          <w:color w:val="1A1A2E"/>
          <w:sz w:val="22"/>
          <w:szCs w:val="22"/>
        </w:rPr>
        <w:t xml:space="preserve">Run Kevin's first DOE as a live product case study</w:t>
      </w:r>
      <w:r>
        <w:rPr>
          <w:rFonts w:ascii="Arial" w:cs="Arial" w:eastAsia="Arial" w:hAnsi="Arial"/>
          <w:color w:val="1A1A2E"/>
          <w:sz w:val="22"/>
          <w:szCs w:val="22"/>
        </w:rPr>
        <w:t xml:space="preserve"> — use real sales calls, real factors, real outcomes. The documented result becomes the primary sales and marketing asset for this module.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2B"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Claude Code Prompt to Start Building the DOE Optimiser</w:t>
            </w:r>
          </w:p>
          <w:p>
            <w:pPr>
              <w:spacing w:after="36" w:before="36"/>
            </w:pPr>
            <w:r>
              <w:rPr>
                <w:rFonts w:ascii="Arial" w:cs="Arial" w:eastAsia="Arial" w:hAnsi="Arial"/>
                <w:color w:val="FFFFFF"/>
                <w:sz w:val="20"/>
                <w:szCs w:val="20"/>
              </w:rPr>
              <w:t xml:space="preserve">"In the VoxTrans iOS app, add a DOE Optimiser screen under the SigmaVault menu. The screen</w:t>
            </w:r>
          </w:p>
          <w:p>
            <w:pPr>
              <w:spacing w:after="36" w:before="36"/>
            </w:pPr>
            <w:r>
              <w:rPr>
                <w:rFonts w:ascii="Arial" w:cs="Arial" w:eastAsia="Arial" w:hAnsi="Arial"/>
                <w:color w:val="FFFFFF"/>
                <w:sz w:val="20"/>
                <w:szCs w:val="20"/>
              </w:rPr>
              <w:t xml:space="preserve">has three tabs: Design, Track, and Results. In the Design tab, the user enters 2–5 factor</w:t>
            </w:r>
          </w:p>
          <w:p>
            <w:pPr>
              <w:spacing w:after="36" w:before="36"/>
            </w:pPr>
            <w:r>
              <w:rPr>
                <w:rFonts w:ascii="Arial" w:cs="Arial" w:eastAsia="Arial" w:hAnsi="Arial"/>
                <w:color w:val="FFFFFF"/>
                <w:sz w:val="20"/>
                <w:szCs w:val="20"/>
              </w:rPr>
              <w:t xml:space="preserve">names and their high/low settings via a form. The app calls the Claude API to generate the</w:t>
            </w:r>
          </w:p>
          <w:p>
            <w:pPr>
              <w:spacing w:after="36" w:before="36"/>
            </w:pPr>
            <w:r>
              <w:rPr>
                <w:rFonts w:ascii="Arial" w:cs="Arial" w:eastAsia="Arial" w:hAnsi="Arial"/>
                <w:color w:val="FFFFFF"/>
                <w:sz w:val="20"/>
                <w:szCs w:val="20"/>
              </w:rPr>
              <w:t xml:space="preserve">optimal factorial design matrix as a JSON array, then renders it as a colour-coded table</w:t>
            </w:r>
          </w:p>
          <w:p>
            <w:pPr>
              <w:spacing w:after="36" w:before="36"/>
            </w:pPr>
            <w:r>
              <w:rPr>
                <w:rFonts w:ascii="Arial" w:cs="Arial" w:eastAsia="Arial" w:hAnsi="Arial"/>
                <w:color w:val="FFFFFF"/>
                <w:sz w:val="20"/>
                <w:szCs w:val="20"/>
              </w:rPr>
              <w:t xml:space="preserve">(green cells for + levels, red cells for − levels). Each row has a 'Run complete' toggle.</w:t>
            </w:r>
          </w:p>
          <w:p>
            <w:pPr>
              <w:spacing w:after="36" w:before="36"/>
            </w:pPr>
            <w:r>
              <w:rPr>
                <w:rFonts w:ascii="Arial" w:cs="Arial" w:eastAsia="Arial" w:hAnsi="Arial"/>
                <w:color w:val="FFFFFF"/>
                <w:sz w:val="20"/>
                <w:szCs w:val="20"/>
              </w:rPr>
              <w:t xml:space="preserve">When the user marks a run complete, they speak or enter the response value. When all runs</w:t>
            </w:r>
          </w:p>
          <w:p>
            <w:pPr>
              <w:spacing w:after="36" w:before="36"/>
            </w:pPr>
            <w:r>
              <w:rPr>
                <w:rFonts w:ascii="Arial" w:cs="Arial" w:eastAsia="Arial" w:hAnsi="Arial"/>
                <w:color w:val="FFFFFF"/>
                <w:sz w:val="20"/>
                <w:szCs w:val="20"/>
              </w:rPr>
              <w:t xml:space="preserve">are complete, a Generate Analysis button appears. This calls Claude API with the full matrix</w:t>
            </w:r>
          </w:p>
          <w:p>
            <w:pPr>
              <w:spacing w:after="36" w:before="36"/>
            </w:pPr>
            <w:r>
              <w:rPr>
                <w:rFonts w:ascii="Arial" w:cs="Arial" w:eastAsia="Arial" w:hAnsi="Arial"/>
                <w:color w:val="FFFFFF"/>
                <w:sz w:val="20"/>
                <w:szCs w:val="20"/>
              </w:rPr>
              <w:t xml:space="preserve">and response values, requesting a structured JSON analysis: main effects, interaction effects,</w:t>
            </w:r>
          </w:p>
          <w:p>
            <w:pPr>
              <w:spacing w:after="36" w:before="36"/>
            </w:pPr>
            <w:r>
              <w:rPr>
                <w:rFonts w:ascii="Arial" w:cs="Arial" w:eastAsia="Arial" w:hAnsi="Arial"/>
                <w:color w:val="FFFFFF"/>
                <w:sz w:val="20"/>
                <w:szCs w:val="20"/>
              </w:rPr>
              <w:t xml:space="preserve">p-values, and optimal factor settings. The Results tab renders this as an effects bar chart</w:t>
            </w:r>
          </w:p>
          <w:p>
            <w:pPr>
              <w:spacing w:after="36" w:before="36"/>
            </w:pPr>
            <w:r>
              <w:rPr>
                <w:rFonts w:ascii="Arial" w:cs="Arial" w:eastAsia="Arial" w:hAnsi="Arial"/>
                <w:color w:val="FFFFFF"/>
                <w:sz w:val="20"/>
                <w:szCs w:val="20"/>
              </w:rPr>
              <w:t xml:space="preserve">and an Optimal Solution card. All results are saved to the IdeaVault library as a DOE record."</w:t>
            </w:r>
          </w:p>
        </w:tc>
      </w:tr>
    </w:tbl>
    <w:p>
      <w:pPr>
        <w:spacing w:after="0" w:before="200"/>
      </w:pPr>
      <w:r>
        <w:t xml:space="preserve"/>
      </w:r>
    </w:p>
    <w:p>
      <w:pPr>
        <w:jc w:val="center"/>
      </w:pPr>
      <w:r>
        <w:rPr>
          <w:rFonts w:ascii="Arial" w:cs="Arial" w:eastAsia="Arial" w:hAnsi="Arial"/>
          <w:i/>
          <w:iCs/>
          <w:color w:val="555555"/>
          <w:sz w:val="22"/>
          <w:szCs w:val="22"/>
        </w:rPr>
        <w:t xml:space="preserve">— End of DOE Optimiser Specification —</w:t>
      </w:r>
    </w:p>
    <w:p>
      <w:pPr>
        <w:spacing w:before="80"/>
        <w:jc w:val="center"/>
      </w:pPr>
      <w:r>
        <w:rPr>
          <w:rFonts w:ascii="Arial" w:cs="Arial" w:eastAsia="Arial" w:hAnsi="Arial"/>
          <w:color w:val="CCCCCC"/>
          <w:sz w:val="18"/>
          <w:szCs w:val="18"/>
        </w:rPr>
        <w:t xml:space="preserve">Produced by Claude Sonnet 4.6  |  Anthropic  |  May 2026</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853" w:sz="6" w:space="4"/>
      </w:pBdr>
      <w:tabs>
        <w:tab w:val="right" w:pos="9026"/>
      </w:tabs>
    </w:pPr>
    <w:r>
      <w:rPr>
        <w:rFonts w:ascii="Arial" w:cs="Arial" w:eastAsia="Arial" w:hAnsi="Arial"/>
        <w:color w:val="555555"/>
        <w:sz w:val="18"/>
        <w:szCs w:val="18"/>
      </w:rPr>
      <w:t xml:space="preserve">Confidential  |  Kevin</w:t>
    </w:r>
    <w:r>
      <w:rPr>
        <w:rFonts w:ascii="Arial" w:cs="Arial" w:eastAsia="Arial" w:hAnsi="Arial"/>
        <w:color w:val="555555"/>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53" w:sz="6" w:space="4"/>
      </w:pBdr>
    </w:pPr>
    <w:r>
      <w:rPr>
        <w:rFonts w:ascii="Arial" w:cs="Arial" w:eastAsia="Arial" w:hAnsi="Arial"/>
        <w:color w:val="555555"/>
        <w:sz w:val="18"/>
        <w:szCs w:val="18"/>
      </w:rPr>
      <w:t xml:space="preserve">DOE Optimiser  |  Design of Experiments Module  |  Kevin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2026-05-21T06:18:16.186Z</dcterms:created>
  <dcterms:modified xsi:type="dcterms:W3CDTF">2026-05-21T06:18:16.200Z</dcterms:modified>
</cp:coreProperties>
</file>

<file path=docProps/custom.xml><?xml version="1.0" encoding="utf-8"?>
<Properties xmlns="http://schemas.openxmlformats.org/officeDocument/2006/custom-properties" xmlns:vt="http://schemas.openxmlformats.org/officeDocument/2006/docPropsVTypes"/>
</file>