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PLANTILLA — Oficio / despacho a ministro ejecutor (ejecución laboral)</w:t>
      </w:r>
    </w:p>
    <w:p>
      <w:r>
        <w:t xml:space="preserve">Juzgado: {{JUZGADO}} · Expediente: {{EXPEDIENTE_JUDICIAL}}</w:t>
      </w:r>
    </w:p>
    <w:p>
      <w:r>
        <w:t xml:space="preserve"/>
      </w:r>
    </w:p>
    <w:p>
      <w:r>
        <w:t xml:space="preserve">{{CUERPO_OFICIO}}</w:t>
      </w:r>
    </w:p>
    <w:p>
      <w:r>
        <w:t xml:space="preserve">Monto: {{MONTO}} · Dirección ejecución: {{DIRECCION}}</w:t>
      </w:r>
    </w:p>
    <w:p>
      <w:r>
        <w:t xml:space="preserve"/>
      </w:r>
    </w:p>
    <w:p>
      <w:r>
        <w:t xml:space="preserve">(Ministro ejecutor actúa en diligencia externa; firma en acta propia: ministro_ejecutor)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