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Resolución / auto (juzgado 1.ª instancia laboral)</w:t>
      </w:r>
    </w:p>
    <w:p>
      <w:r>
        <w:t xml:space="preserve">Juzgado: {{JUZGADO}} · Expediente: {{EXPEDIENTE_JUDICIAL}} · Oficio: {{OFICIO}}</w:t>
      </w:r>
    </w:p>
    <w:p>
      <w:r>
        <w:t xml:space="preserve"/>
      </w:r>
    </w:p>
    <w:p>
      <w:r>
        <w:t xml:space="preserve">{{VISTOS_CONSIDERANDOS}}</w:t>
      </w:r>
    </w:p>
    <w:p>
      <w:r>
        <w:t xml:space="preserve"/>
      </w:r>
    </w:p>
    <w:p>
      <w:r>
        <w:t xml:space="preserve">RESUELVE / AUTO:</w:t>
      </w:r>
    </w:p>
    <w:p>
      <w:r>
        <w:t xml:space="preserve">{{FALLO}}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{{FIRMA_JUEZ}}  → rol sistema: juez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{{FIRMA_SECRETARIO}}  → rol sistema: secretario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