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Auto / resolución (Sala de Apelaciones)</w:t>
      </w:r>
    </w:p>
    <w:p>
      <w:r>
        <w:t xml:space="preserve">Sala: {{SALA}} · Recurso: {{REFERENCIA_RECURSO}}</w:t>
      </w:r>
    </w:p>
    <w:p>
      <w:r>
        <w:t xml:space="preserve"/>
      </w:r>
    </w:p>
    <w:p>
      <w:r>
        <w:t xml:space="preserve">{{CONSIDERANDOS_SALA}}</w:t>
      </w:r>
    </w:p>
    <w:p>
      <w:r>
        <w:t xml:space="preserve"/>
      </w:r>
    </w:p>
    <w:p>
      <w:r>
        <w:t xml:space="preserve">RESUELVE:</w:t>
      </w:r>
    </w:p>
    <w:p>
      <w:r>
        <w:t xml:space="preserve">{{FALLO_SALA}}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{{FIRMA_MAGISTRADO}}  → rol sistema: magistrado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{{FIRMA_SECRETARIO}}  → rol sistema: secretario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