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before="0"/>
        <w:jc w:val="center"/>
      </w:pPr>
      <w:r>
        <w:rPr>
          <w:rFonts w:ascii="Times New Roman" w:hAnsi="Times New Roman"/>
          <w:b/>
          <w:sz w:val="24"/>
        </w:rPr>
        <w:t>UNIVERSIDAD MARIANO GÁLVEZ DE GUATEMALA</w:t>
      </w:r>
    </w:p>
    <w:p>
      <w:pPr>
        <w:spacing w:line="360" w:lineRule="auto" w:after="0" w:before="0"/>
        <w:jc w:val="center"/>
      </w:pPr>
      <w:r>
        <w:rPr>
          <w:rFonts w:ascii="Times New Roman" w:hAnsi="Times New Roman"/>
          <w:b/>
          <w:sz w:val="24"/>
        </w:rPr>
        <w:t>CAMPUS HUEHUETENANGO</w:t>
      </w:r>
    </w:p>
    <w:p>
      <w:pPr>
        <w:spacing w:line="360" w:lineRule="auto" w:after="0" w:before="0"/>
        <w:jc w:val="center"/>
      </w:pPr>
      <w:r>
        <w:rPr>
          <w:rFonts w:ascii="Times New Roman" w:hAnsi="Times New Roman"/>
          <w:b/>
          <w:sz w:val="24"/>
        </w:rPr>
        <w:t>FACULTAD DE INGENIERÍA EN CIENCIAS DE LA COMPUTACIÓN Y TECNOLOGÍAS DE LA INFORMACIÓN</w:t>
      </w:r>
    </w:p>
    <w:p>
      <w:pPr>
        <w:spacing w:line="360" w:lineRule="auto" w:after="0" w:before="0"/>
        <w:jc w:val="center"/>
      </w:pPr>
      <w:r>
        <w:rPr>
          <w:rFonts w:ascii="Times New Roman" w:hAnsi="Times New Roman"/>
          <w:b/>
          <w:sz w:val="24"/>
        </w:rPr>
        <w:t>PROYECTO DE GRADUACIÓN II</w:t>
      </w:r>
    </w:p>
    <w:p>
      <w:pPr>
        <w:spacing w:line="360" w:lineRule="auto" w:after="0" w:before="0"/>
        <w:jc w:val="center"/>
      </w:pPr>
      <w:r>
        <w:rPr>
          <w:rFonts w:ascii="Times New Roman" w:hAnsi="Times New Roman"/>
          <w:b/>
          <w:sz w:val="24"/>
        </w:rPr>
        <w:t>DOCENTE: ING. HEBER MARTÍNEZ ALFARO</w:t>
      </w:r>
    </w:p>
    <w:p>
      <w:pPr>
        <w:spacing w:line="360" w:lineRule="auto" w:before="240" w:after="120"/>
        <w:ind w:firstLine="0"/>
        <w:jc w:val="center"/>
      </w:pPr>
      <w:r>
        <w:rPr>
          <w:rFonts w:ascii="Times New Roman" w:hAnsi="Times New Roman"/>
          <w:b/>
          <w:sz w:val="24"/>
        </w:rPr>
        <w:t>CAPÍTULO VI</w:t>
      </w:r>
    </w:p>
    <w:p>
      <w:pPr>
        <w:spacing w:line="360" w:lineRule="auto" w:before="240" w:after="120"/>
        <w:ind w:firstLine="0"/>
        <w:jc w:val="center"/>
      </w:pPr>
      <w:r>
        <w:rPr>
          <w:rFonts w:ascii="Times New Roman" w:hAnsi="Times New Roman"/>
          <w:b/>
          <w:sz w:val="24"/>
        </w:rPr>
        <w:t>PRUEBAS, IMPLEMENTACIÓN Y MEJORAS</w:t>
      </w:r>
    </w:p>
    <w:p>
      <w:pPr>
        <w:spacing w:line="360" w:lineRule="auto" w:after="0" w:before="0"/>
        <w:ind w:firstLine="720"/>
        <w:jc w:val="both"/>
      </w:pPr>
      <w:r>
        <w:rPr>
          <w:rFonts w:ascii="Times New Roman" w:hAnsi="Times New Roman"/>
          <w:sz w:val="24"/>
        </w:rPr>
        <w:t>El presente capítulo documenta de manera metódica e integral la fase de aseguramiento de calidad mediante pruebas técnicas y funcionales, la arquitectura cloud de implementación en producción, el proceso de transferencia tecnológica al talento humano y la evaluación científica de los resultados obtenidos a través de la plataforma web MFN Digital en la Mancomunidad de Municipios Frontera del Norte. La investigación combina una rigurosa validación de software orientada a estándares internacionales de ingeniería con una medición preexperimental pretest-postest para verificar la optimización de los flujos de gestión intermunicipal y sustentar la contrastación de la hipótesis de investigación formulada.</w:t>
      </w:r>
    </w:p>
    <w:p>
      <w:pPr>
        <w:spacing w:line="360" w:lineRule="auto" w:before="240" w:after="80"/>
        <w:ind w:firstLine="0"/>
        <w:jc w:val="left"/>
      </w:pPr>
      <w:r>
        <w:rPr>
          <w:rFonts w:ascii="Times New Roman" w:hAnsi="Times New Roman"/>
          <w:b/>
          <w:sz w:val="24"/>
        </w:rPr>
        <w:t>6.1 Plan de pruebas</w:t>
      </w:r>
    </w:p>
    <w:p>
      <w:pPr>
        <w:spacing w:line="360" w:lineRule="auto" w:before="160" w:after="40"/>
        <w:ind w:firstLine="0"/>
        <w:jc w:val="left"/>
      </w:pPr>
      <w:r>
        <w:rPr>
          <w:rFonts w:ascii="Times New Roman" w:hAnsi="Times New Roman"/>
          <w:b/>
          <w:i/>
          <w:sz w:val="24"/>
        </w:rPr>
        <w:t>6.1.1 Estrategia y Enfoque Metodológico de Aseguramiento de Calidad</w:t>
      </w:r>
    </w:p>
    <w:p>
      <w:pPr>
        <w:spacing w:line="360" w:lineRule="auto" w:after="0" w:before="0"/>
        <w:ind w:firstLine="720"/>
        <w:jc w:val="both"/>
      </w:pPr>
      <w:r>
        <w:rPr>
          <w:rFonts w:ascii="Times New Roman" w:hAnsi="Times New Roman"/>
          <w:sz w:val="24"/>
        </w:rPr>
        <w:t>El aseguramiento de la calidad del software (Software Quality Assurance, SQA) se estructuró conforme a los lineamientos del estándar internacional IEEE 829 para la documentación de pruebas y el modelo de calidad de producto ISO/IEC 25010. Este enfoque garantiza que la plataforma cumpla con los atributos esenciales de adecuación funcional, fiabilidad, seguridad de la información, eficiencia de desempeño y usabilidad.</w:t>
      </w:r>
    </w:p>
    <w:p>
      <w:pPr>
        <w:spacing w:line="360" w:lineRule="auto" w:after="0" w:before="0"/>
        <w:ind w:firstLine="720"/>
        <w:jc w:val="both"/>
      </w:pPr>
      <w:r>
        <w:rPr>
          <w:rFonts w:ascii="Times New Roman" w:hAnsi="Times New Roman"/>
          <w:sz w:val="24"/>
        </w:rPr>
        <w:t>La estrategia de verificación y validación abarcó múltiples niveles de abstracción: pruebas unitarias de caja blanca enfocadas en la lógica matemática y restricciones de negocio; pruebas de integración orientadas a la verificación de la persistencia relacional y el control de acceso basado en roles (RBAC); pruebas de seguridad de extremo a extremo que confirman la ausencia de puertas traseras y la inmutabilidad de la bitácora transaccional; y pruebas de aceptación funcional de caja negra basadas en las historias de usuario de los ocho módulos institucionales.</w:t>
      </w:r>
    </w:p>
    <w:p>
      <w:pPr>
        <w:spacing w:line="360" w:lineRule="auto" w:before="160" w:after="40"/>
        <w:ind w:firstLine="0"/>
        <w:jc w:val="left"/>
      </w:pPr>
      <w:r>
        <w:rPr>
          <w:rFonts w:ascii="Times New Roman" w:hAnsi="Times New Roman"/>
          <w:b/>
          <w:i/>
          <w:sz w:val="24"/>
        </w:rPr>
        <w:t>6.1.2 Suite de Pruebas Unitarias Automatizadas por Módulo Funcional</w:t>
      </w:r>
    </w:p>
    <w:p>
      <w:pPr>
        <w:spacing w:line="360" w:lineRule="auto" w:after="0" w:before="0"/>
        <w:ind w:firstLine="720"/>
        <w:jc w:val="both"/>
      </w:pPr>
      <w:r>
        <w:rPr>
          <w:rFonts w:ascii="Times New Roman" w:hAnsi="Times New Roman"/>
          <w:sz w:val="24"/>
        </w:rPr>
        <w:t>La suite de pruebas automatizadas fue desarrollada sobre el ejecutor nativo Node.js Test Runner, eliminando dependencias externas pesadas y posibilitando una ejecución determinista y de alta velocidad. Se construyó una batería de 120 pruebas unitarias distribuidas uniformemente a lo largo de los ocho módulos sustantivos de la plataforma, arrojando una tasa de efectividad del 100% (cero fallos, cero cancelaciones y una duración de ejecución consolidada de 106.3 milisegundos):</w:t>
      </w:r>
    </w:p>
    <w:p>
      <w:pPr>
        <w:spacing w:line="360" w:lineRule="auto" w:before="120" w:after="40"/>
        <w:ind w:firstLine="720"/>
        <w:jc w:val="left"/>
      </w:pPr>
      <w:r>
        <w:rPr>
          <w:rFonts w:ascii="Times New Roman" w:hAnsi="Times New Roman"/>
          <w:b/>
          <w:sz w:val="24"/>
        </w:rPr>
        <w:t>a) Módulo 1: Proyectos y Obras de Infraestructura (15 pruebas unitarias)</w:t>
      </w:r>
    </w:p>
    <w:p>
      <w:pPr>
        <w:spacing w:line="360" w:lineRule="auto" w:after="0" w:before="0"/>
        <w:ind w:firstLine="720"/>
        <w:jc w:val="both"/>
      </w:pPr>
      <w:r>
        <w:rPr>
          <w:rFonts w:ascii="Times New Roman" w:hAnsi="Times New Roman"/>
          <w:sz w:val="24"/>
        </w:rPr>
        <w:t>Validación estricta de las reglas de cálculo financiero municipal, impidiendo el registro de presupuestos negativos o incoherencias en las fuentes de financiamiento. Verificación del cálculo ponderado de avance físico por hitos de obra, obligatoriedad de vinculación geográfica canónica con los seis municipios mancomunados y generación automática del código identificador de obra conforme a las directrices de la Dirección Municipal de Planificación (DMP).</w:t>
      </w:r>
    </w:p>
    <w:p>
      <w:pPr>
        <w:spacing w:line="360" w:lineRule="auto" w:before="120" w:after="40"/>
        <w:ind w:firstLine="720"/>
        <w:jc w:val="left"/>
      </w:pPr>
      <w:r>
        <w:rPr>
          <w:rFonts w:ascii="Times New Roman" w:hAnsi="Times New Roman"/>
          <w:b/>
          <w:sz w:val="24"/>
        </w:rPr>
        <w:t>b) Módulo 2: Plan de Mejoras ARC (15 pruebas unitarias)</w:t>
      </w:r>
    </w:p>
    <w:p>
      <w:pPr>
        <w:spacing w:line="360" w:lineRule="auto" w:after="0" w:before="0"/>
        <w:ind w:firstLine="720"/>
        <w:jc w:val="both"/>
      </w:pPr>
      <w:r>
        <w:rPr>
          <w:rFonts w:ascii="Times New Roman" w:hAnsi="Times New Roman"/>
          <w:sz w:val="24"/>
        </w:rPr>
        <w:t>Comprobación del motor de priorización institucional basado en la matriz de Autoevaluación del Rendimiento Comunitario (ARC). Verificación de la transición de estados Kanban (Pendiente, En Proceso, Verificación y Concluido), control de fechas límite con semaforización de alertas de vencimiento y obligatoriedad de asignación de un funcionario responsable para cada hallazgo de auditoría institucional.</w:t>
      </w:r>
    </w:p>
    <w:p>
      <w:pPr>
        <w:spacing w:line="360" w:lineRule="auto" w:before="120" w:after="40"/>
        <w:ind w:firstLine="720"/>
        <w:jc w:val="left"/>
      </w:pPr>
      <w:r>
        <w:rPr>
          <w:rFonts w:ascii="Times New Roman" w:hAnsi="Times New Roman"/>
          <w:b/>
          <w:sz w:val="24"/>
        </w:rPr>
        <w:t>c) Módulo 3: Finanzas y Rendición de Cuentas CGC (15 pruebas unitarias)</w:t>
      </w:r>
    </w:p>
    <w:p>
      <w:pPr>
        <w:spacing w:line="360" w:lineRule="auto" w:after="0" w:before="0"/>
        <w:ind w:firstLine="720"/>
        <w:jc w:val="both"/>
      </w:pPr>
      <w:r>
        <w:rPr>
          <w:rFonts w:ascii="Times New Roman" w:hAnsi="Times New Roman"/>
          <w:sz w:val="24"/>
        </w:rPr>
        <w:t>Validación de la separación bancaria estricta de cuentas exigida por la Contraloría General de Cuentas (CGC), garantizando que los fondos públicos (cuotas ordinarias municipales) y los fondos de cooperación internacional no se mezclen contablemente. Verificación del techo máximo de desembolso por compra individual en Caja Chica (Q5,000.00), obligatoriedad de comprobantes autorizados por la SAT y emisión automatizada de recibos en formato Forma 63-A2 con transcripción de montos en letras.</w:t>
      </w:r>
    </w:p>
    <w:p>
      <w:pPr>
        <w:spacing w:line="360" w:lineRule="auto" w:before="120" w:after="40"/>
        <w:ind w:firstLine="720"/>
        <w:jc w:val="left"/>
      </w:pPr>
      <w:r>
        <w:rPr>
          <w:rFonts w:ascii="Times New Roman" w:hAnsi="Times New Roman"/>
          <w:b/>
          <w:sz w:val="24"/>
        </w:rPr>
        <w:t>d) Módulo 4: Gobernanza Intermunicipal y Libros de Actas (15 pruebas unitarias)</w:t>
      </w:r>
    </w:p>
    <w:p>
      <w:pPr>
        <w:spacing w:line="360" w:lineRule="auto" w:after="0" w:before="0"/>
        <w:ind w:firstLine="720"/>
        <w:jc w:val="both"/>
      </w:pPr>
      <w:r>
        <w:rPr>
          <w:rFonts w:ascii="Times New Roman" w:hAnsi="Times New Roman"/>
          <w:sz w:val="24"/>
        </w:rPr>
        <w:t>Certificación del formato estandarizado de actas de Asamblea General y Junta Directiva (código oficial ACTA-SS-YYYY), control de foliación en libros de hojas movibles autorizados por la CGC, verificación de la obligatoriedad de adjuntar evidencia documental para declarar un acuerdo como cumplido y cálculo en tiempo real del índice de efectividad de gobernanza territorial.</w:t>
      </w:r>
    </w:p>
    <w:p>
      <w:pPr>
        <w:spacing w:line="360" w:lineRule="auto" w:before="120" w:after="40"/>
        <w:ind w:firstLine="720"/>
        <w:jc w:val="left"/>
      </w:pPr>
      <w:r>
        <w:rPr>
          <w:rFonts w:ascii="Times New Roman" w:hAnsi="Times New Roman"/>
          <w:b/>
          <w:sz w:val="24"/>
        </w:rPr>
        <w:t>e) Módulo 5: Cooperación Internacional y Convenios (15 pruebas unitarias)</w:t>
      </w:r>
    </w:p>
    <w:p>
      <w:pPr>
        <w:spacing w:line="360" w:lineRule="auto" w:after="0" w:before="0"/>
        <w:ind w:firstLine="720"/>
        <w:jc w:val="both"/>
      </w:pPr>
      <w:r>
        <w:rPr>
          <w:rFonts w:ascii="Times New Roman" w:hAnsi="Times New Roman"/>
          <w:sz w:val="24"/>
        </w:rPr>
        <w:t>Evaluación del motor cronológico de alertas tempranas con umbral de 90 días calendario para prevenir la caducidad imprevista de convenios de donación. Verificación del cálculo de contrapartidas institucionales de la Mancomunidad, registro de adendas formales de prórroga y trazabilidad diplomática con cooperantes bilaterales y multilaterales.</w:t>
      </w:r>
    </w:p>
    <w:p>
      <w:pPr>
        <w:spacing w:line="360" w:lineRule="auto" w:before="120" w:after="40"/>
        <w:ind w:firstLine="720"/>
        <w:jc w:val="left"/>
      </w:pPr>
      <w:r>
        <w:rPr>
          <w:rFonts w:ascii="Times New Roman" w:hAnsi="Times New Roman"/>
          <w:b/>
          <w:sz w:val="24"/>
        </w:rPr>
        <w:t>f) Módulo 6: Agua, Saneamiento e Higiene - ASH (15 pruebas unitarias)</w:t>
      </w:r>
    </w:p>
    <w:p>
      <w:pPr>
        <w:spacing w:line="360" w:lineRule="auto" w:after="0" w:before="0"/>
        <w:ind w:firstLine="720"/>
        <w:jc w:val="both"/>
      </w:pPr>
      <w:r>
        <w:rPr>
          <w:rFonts w:ascii="Times New Roman" w:hAnsi="Times New Roman"/>
          <w:sz w:val="24"/>
        </w:rPr>
        <w:t>Comprobación algorítmica de la norma técnica guatemalteca COGUANOR NGO 29 001 para monitoreo de agua potable, validando que el cloro residual libre se mantenga dentro del rango óptimo de 0.5 a 1.5 ppm, disparando alertas inmediatas ante desabastecimiento clorador (&lt;0.5 ppm, riesgo microbiológico) o sobredosis (&gt;1.5 ppm, riesgo químico). Cálculo de cobertura domiciliar y déficit hídrico comunitario.</w:t>
      </w:r>
    </w:p>
    <w:p>
      <w:pPr>
        <w:spacing w:line="360" w:lineRule="auto" w:before="120" w:after="40"/>
        <w:ind w:firstLine="720"/>
        <w:jc w:val="left"/>
      </w:pPr>
      <w:r>
        <w:rPr>
          <w:rFonts w:ascii="Times New Roman" w:hAnsi="Times New Roman"/>
          <w:b/>
          <w:sz w:val="24"/>
        </w:rPr>
        <w:t>g) Módulo 7: Portal Público y Transparencia Ciudadana (15 pruebas unitarias)</w:t>
      </w:r>
    </w:p>
    <w:p>
      <w:pPr>
        <w:spacing w:line="360" w:lineRule="auto" w:after="0" w:before="0"/>
        <w:ind w:firstLine="720"/>
        <w:jc w:val="both"/>
      </w:pPr>
      <w:r>
        <w:rPr>
          <w:rFonts w:ascii="Times New Roman" w:hAnsi="Times New Roman"/>
          <w:sz w:val="24"/>
        </w:rPr>
        <w:t>Verificación del cumplimiento estricto del Decreto 57-2008 (Ley de Acceso a la Información Pública), comprobando la sanitización y anonimización de datos clasificados antes de su exposición ciudadana. Validación de los privilegios exclusivos del Gerente Ejecutivo para autorizar publicaciones y generación de códigos hash no secuenciales de 48 caracteres para rastreo anónimo de solicitudes de información pública (UIP).</w:t>
      </w:r>
    </w:p>
    <w:p>
      <w:pPr>
        <w:spacing w:line="360" w:lineRule="auto" w:before="120" w:after="40"/>
        <w:ind w:firstLine="720"/>
        <w:jc w:val="left"/>
      </w:pPr>
      <w:r>
        <w:rPr>
          <w:rFonts w:ascii="Times New Roman" w:hAnsi="Times New Roman"/>
          <w:b/>
          <w:sz w:val="24"/>
        </w:rPr>
        <w:t>h) Módulo 8: Inteligencia Territorial IPIM y Sellado Criptográfico (15 pruebas unitarias)</w:t>
      </w:r>
    </w:p>
    <w:p>
      <w:pPr>
        <w:spacing w:line="360" w:lineRule="auto" w:after="0" w:before="0"/>
        <w:ind w:firstLine="720"/>
        <w:jc w:val="both"/>
      </w:pPr>
      <w:r>
        <w:rPr>
          <w:rFonts w:ascii="Times New Roman" w:hAnsi="Times New Roman"/>
          <w:sz w:val="24"/>
        </w:rPr>
        <w:t>Evaluación del algoritmo del Índice de Priorización de Inversión Municipal (IPIM), el cual combina déficit hídrico, obras en ejecución y solvencia de cuotas para clasificar a los municipios en vulnerabilidad Crítica, Alta o Moderada. Validación de la generación matemática del árbol criptográfico de Merkle SHA-256 sobre los bloques de datos y verificación de que cualquier alteración en un solo registro genera una mutación inmediata en el hash raíz.</w:t>
      </w:r>
    </w:p>
    <w:p>
      <w:pPr>
        <w:spacing w:line="360" w:lineRule="auto" w:before="160" w:after="40"/>
        <w:ind w:firstLine="0"/>
        <w:jc w:val="left"/>
      </w:pPr>
      <w:r>
        <w:rPr>
          <w:rFonts w:ascii="Times New Roman" w:hAnsi="Times New Roman"/>
          <w:b/>
          <w:i/>
          <w:sz w:val="24"/>
        </w:rPr>
        <w:t>6.1.3 Pruebas de Integración, Seguridad Profunda y RBAC</w:t>
      </w:r>
    </w:p>
    <w:p>
      <w:pPr>
        <w:spacing w:line="360" w:lineRule="auto" w:after="0" w:before="0"/>
        <w:ind w:firstLine="720"/>
        <w:jc w:val="both"/>
      </w:pPr>
      <w:r>
        <w:rPr>
          <w:rFonts w:ascii="Times New Roman" w:hAnsi="Times New Roman"/>
          <w:sz w:val="24"/>
        </w:rPr>
        <w:t>Complementariamente a las pruebas unitarias, se ejecutó un conjunto de 12 pruebas de integración profunda para validar el comportamiento del backend ante vectores de ataque y condiciones anómalas de operación:</w:t>
      </w:r>
    </w:p>
    <w:p>
      <w:pPr>
        <w:spacing w:line="360" w:lineRule="auto" w:after="0" w:before="0"/>
        <w:ind w:firstLine="720"/>
        <w:jc w:val="both"/>
      </w:pPr>
      <w:r>
        <w:rPr>
          <w:rFonts w:ascii="Times New Roman" w:hAnsi="Times New Roman"/>
          <w:sz w:val="24"/>
        </w:rPr>
        <w:t>1. Aislamiento de sesiones y rechazo de puertas traseras: Se verificó que el uso de identificadores estáticos de demostración o tokens manipulados sea rechazado con código HTTP 401 Unauthorized, cerrando toda posibilidad de acceso no autenticado a datos sensibles.</w:t>
      </w:r>
    </w:p>
    <w:p>
      <w:pPr>
        <w:spacing w:line="360" w:lineRule="auto" w:after="0" w:before="0"/>
        <w:ind w:firstLine="720"/>
        <w:jc w:val="both"/>
      </w:pPr>
      <w:r>
        <w:rPr>
          <w:rFonts w:ascii="Times New Roman" w:hAnsi="Times New Roman"/>
          <w:sz w:val="24"/>
        </w:rPr>
        <w:t>2. Control de Acceso Basado en Roles (RBAC): Se validó que las credenciales de roles operativos (por ejemplo, empleado o técnico de campo) no puedan ejecutar operaciones privilegiadas como alteración presupuestaria o cambio de visibilidad pública, devolviendo un código HTTP 403 Forbidden.</w:t>
      </w:r>
    </w:p>
    <w:p>
      <w:pPr>
        <w:spacing w:line="360" w:lineRule="auto" w:after="0" w:before="0"/>
        <w:ind w:firstLine="720"/>
        <w:jc w:val="both"/>
      </w:pPr>
      <w:r>
        <w:rPr>
          <w:rFonts w:ascii="Times New Roman" w:hAnsi="Times New Roman"/>
          <w:sz w:val="24"/>
        </w:rPr>
        <w:t>3. Atomicidad y Bitácora Transaccional Serializable: Se comprobó que ante cualquier falla simulada en la base de datos durante el registro de bitácoras, la transacción de negocio se revierta íntegramente (ROLLBACK), preservando la consistencia ACID.</w:t>
      </w:r>
    </w:p>
    <w:p>
      <w:pPr>
        <w:spacing w:line="360" w:lineRule="auto" w:after="0" w:before="0"/>
        <w:ind w:firstLine="720"/>
        <w:jc w:val="both"/>
      </w:pPr>
      <w:r>
        <w:rPr>
          <w:rFonts w:ascii="Times New Roman" w:hAnsi="Times New Roman"/>
          <w:sz w:val="24"/>
        </w:rPr>
        <w:t>4. Invalidación de tokens concurrentes y cambio de clave: Se validó que el incremento del parámetro sessionVersion en la tabla de usuarios invalide de forma instantánea todos los tokens JWT emitidos con anterioridad, neutralizando ataques de secuestro de sesión.</w:t>
      </w:r>
    </w:p>
    <w:p>
      <w:pPr>
        <w:spacing w:line="360" w:lineRule="auto" w:before="160" w:after="40"/>
        <w:ind w:firstLine="0"/>
        <w:jc w:val="left"/>
      </w:pPr>
      <w:r>
        <w:rPr>
          <w:rFonts w:ascii="Times New Roman" w:hAnsi="Times New Roman"/>
          <w:b/>
          <w:i/>
          <w:sz w:val="24"/>
        </w:rPr>
        <w:t>6.1.4 Casos de Prueba Funcionales de Aceptación</w:t>
      </w:r>
    </w:p>
    <w:p>
      <w:pPr>
        <w:spacing w:line="360" w:lineRule="auto" w:after="0" w:before="0"/>
        <w:ind w:firstLine="720"/>
        <w:jc w:val="both"/>
      </w:pPr>
      <w:r>
        <w:rPr>
          <w:rFonts w:ascii="Times New Roman" w:hAnsi="Times New Roman"/>
          <w:sz w:val="24"/>
        </w:rPr>
        <w:t>Se diseñó y ejecutó una matriz de casos de prueba funcionales de aceptación orientada a validar los flujos críticos de la institución en el entorno de producción:</w:t>
      </w:r>
    </w:p>
    <w:p>
      <w:pPr>
        <w:spacing w:before="120" w:after="40"/>
        <w:ind w:firstLine="0"/>
      </w:pPr>
      <w:r>
        <w:rPr>
          <w:b/>
        </w:rPr>
        <w:t>Tabla 6.1</w:t>
        <w:br/>
      </w:r>
      <w:r>
        <w:rPr>
          <w:i/>
        </w:rPr>
        <w:t>Resumen de Ejecución del Plan de Pruebas de Aceptación Funcional</w:t>
      </w:r>
    </w:p>
    <w:tbl>
      <w:tblPr>
        <w:tblW w:type="auto" w:w="0"/>
        <w:jc w:val="center"/>
        <w:tblLook w:firstColumn="1" w:firstRow="1" w:lastColumn="0" w:lastRow="0" w:noHBand="0" w:noVBand="1" w:val="04A0"/>
      </w:tblPr>
      <w:tblGrid>
        <w:gridCol w:w="1881"/>
        <w:gridCol w:w="1881"/>
        <w:gridCol w:w="1881"/>
        <w:gridCol w:w="1881"/>
        <w:gridCol w:w="1881"/>
      </w:tblGrid>
      <w:tr>
        <w:tc>
          <w:tcPr>
            <w:tcW w:type="dxa" w:w="1440"/>
            <w:tcBorders>
              <w:top w:sz="12" w:val="single" w:color="000000"/>
              <w:left w:val="nil"/>
              <w:bottom w:sz="12" w:val="single" w:color="000000"/>
              <w:right w:val="nil"/>
            </w:tcBorders>
          </w:tcPr>
          <w:p>
            <w:pPr>
              <w:spacing w:line="276" w:lineRule="auto" w:after="40" w:before="40"/>
              <w:jc w:val="center"/>
            </w:pPr>
            <w:r>
              <w:rPr>
                <w:rFonts w:ascii="Times New Roman" w:hAnsi="Times New Roman"/>
                <w:b/>
                <w:sz w:val="20"/>
              </w:rPr>
              <w:t>ID Caso</w:t>
            </w:r>
          </w:p>
        </w:tc>
        <w:tc>
          <w:tcPr>
            <w:tcW w:type="dxa" w:w="2160"/>
            <w:tcBorders>
              <w:top w:sz="12" w:val="single" w:color="000000"/>
              <w:left w:val="nil"/>
              <w:bottom w:sz="12" w:val="single" w:color="000000"/>
              <w:right w:val="nil"/>
            </w:tcBorders>
          </w:tcPr>
          <w:p>
            <w:pPr>
              <w:spacing w:line="276" w:lineRule="auto" w:after="40" w:before="40"/>
              <w:jc w:val="center"/>
            </w:pPr>
            <w:r>
              <w:rPr>
                <w:rFonts w:ascii="Times New Roman" w:hAnsi="Times New Roman"/>
                <w:b/>
                <w:sz w:val="20"/>
              </w:rPr>
              <w:t>Módulo Evaluado</w:t>
            </w:r>
          </w:p>
        </w:tc>
        <w:tc>
          <w:tcPr>
            <w:tcW w:type="dxa" w:w="3168"/>
            <w:tcBorders>
              <w:top w:sz="12" w:val="single" w:color="000000"/>
              <w:left w:val="nil"/>
              <w:bottom w:sz="12" w:val="single" w:color="000000"/>
              <w:right w:val="nil"/>
            </w:tcBorders>
          </w:tcPr>
          <w:p>
            <w:pPr>
              <w:spacing w:line="276" w:lineRule="auto" w:after="40" w:before="40"/>
              <w:jc w:val="center"/>
            </w:pPr>
            <w:r>
              <w:rPr>
                <w:rFonts w:ascii="Times New Roman" w:hAnsi="Times New Roman"/>
                <w:b/>
                <w:sz w:val="20"/>
              </w:rPr>
              <w:t>Condición de Entrada</w:t>
            </w:r>
          </w:p>
        </w:tc>
        <w:tc>
          <w:tcPr>
            <w:tcW w:type="dxa" w:w="3312"/>
            <w:tcBorders>
              <w:top w:sz="12" w:val="single" w:color="000000"/>
              <w:left w:val="nil"/>
              <w:bottom w:sz="12" w:val="single" w:color="000000"/>
              <w:right w:val="nil"/>
            </w:tcBorders>
          </w:tcPr>
          <w:p>
            <w:pPr>
              <w:spacing w:line="276" w:lineRule="auto" w:after="40" w:before="40"/>
              <w:jc w:val="center"/>
            </w:pPr>
            <w:r>
              <w:rPr>
                <w:rFonts w:ascii="Times New Roman" w:hAnsi="Times New Roman"/>
                <w:b/>
                <w:sz w:val="20"/>
              </w:rPr>
              <w:t>Resultado Esperado</w:t>
            </w:r>
          </w:p>
        </w:tc>
        <w:tc>
          <w:tcPr>
            <w:tcW w:type="dxa" w:w="1440"/>
            <w:tcBorders>
              <w:top w:sz="12" w:val="single" w:color="000000"/>
              <w:left w:val="nil"/>
              <w:bottom w:sz="12" w:val="single" w:color="000000"/>
              <w:right w:val="nil"/>
            </w:tcBorders>
          </w:tcPr>
          <w:p>
            <w:pPr>
              <w:spacing w:line="276" w:lineRule="auto" w:after="40" w:before="40"/>
              <w:jc w:val="center"/>
            </w:pPr>
            <w:r>
              <w:rPr>
                <w:rFonts w:ascii="Times New Roman" w:hAnsi="Times New Roman"/>
                <w:b/>
                <w:sz w:val="20"/>
              </w:rPr>
              <w:t>Estado</w:t>
            </w:r>
          </w:p>
        </w:tc>
      </w:tr>
      <w:tr>
        <w:tc>
          <w:tcPr>
            <w:tcW w:type="dxa" w:w="1440"/>
            <w:tcBorders>
              <w:top w:val="nil"/>
              <w:left w:val="nil"/>
              <w:bottom w:val="nil"/>
              <w:right w:val="nil"/>
            </w:tcBorders>
          </w:tcPr>
          <w:p>
            <w:pPr>
              <w:spacing w:line="276" w:lineRule="auto" w:after="40" w:before="40"/>
              <w:jc w:val="center"/>
            </w:pPr>
            <w:r>
              <w:rPr>
                <w:rFonts w:ascii="Times New Roman" w:hAnsi="Times New Roman"/>
                <w:sz w:val="20"/>
              </w:rPr>
              <w:t>CP-01</w:t>
            </w:r>
          </w:p>
        </w:tc>
        <w:tc>
          <w:tcPr>
            <w:tcW w:type="dxa" w:w="2160"/>
            <w:tcBorders>
              <w:top w:val="nil"/>
              <w:left w:val="nil"/>
              <w:bottom w:val="nil"/>
              <w:right w:val="nil"/>
            </w:tcBorders>
          </w:tcPr>
          <w:p>
            <w:pPr>
              <w:spacing w:line="276" w:lineRule="auto" w:after="40" w:before="40"/>
              <w:jc w:val="left"/>
            </w:pPr>
            <w:r>
              <w:rPr>
                <w:rFonts w:ascii="Times New Roman" w:hAnsi="Times New Roman"/>
                <w:sz w:val="20"/>
              </w:rPr>
              <w:t>Seguridad / Auth</w:t>
            </w:r>
          </w:p>
        </w:tc>
        <w:tc>
          <w:tcPr>
            <w:tcW w:type="dxa" w:w="3168"/>
            <w:tcBorders>
              <w:top w:val="nil"/>
              <w:left w:val="nil"/>
              <w:bottom w:val="nil"/>
              <w:right w:val="nil"/>
            </w:tcBorders>
          </w:tcPr>
          <w:p>
            <w:pPr>
              <w:spacing w:line="276" w:lineRule="auto" w:after="40" w:before="40"/>
              <w:jc w:val="left"/>
            </w:pPr>
            <w:r>
              <w:rPr>
                <w:rFonts w:ascii="Times New Roman" w:hAnsi="Times New Roman"/>
                <w:sz w:val="20"/>
              </w:rPr>
              <w:t>Credenciales válidas gerencia@mfn.gob.gt</w:t>
            </w:r>
          </w:p>
        </w:tc>
        <w:tc>
          <w:tcPr>
            <w:tcW w:type="dxa" w:w="3312"/>
            <w:tcBorders>
              <w:top w:val="nil"/>
              <w:left w:val="nil"/>
              <w:bottom w:val="nil"/>
              <w:right w:val="nil"/>
            </w:tcBorders>
          </w:tcPr>
          <w:p>
            <w:pPr>
              <w:spacing w:line="276" w:lineRule="auto" w:after="40" w:before="40"/>
              <w:jc w:val="left"/>
            </w:pPr>
            <w:r>
              <w:rPr>
                <w:rFonts w:ascii="Times New Roman" w:hAnsi="Times New Roman"/>
                <w:sz w:val="20"/>
              </w:rPr>
              <w:t>Token JWT emitido por 12 horas con permisos completos</w:t>
            </w:r>
          </w:p>
        </w:tc>
        <w:tc>
          <w:tcPr>
            <w:tcW w:type="dxa" w:w="1440"/>
            <w:tcBorders>
              <w:top w:val="nil"/>
              <w:left w:val="nil"/>
              <w:bottom w:val="nil"/>
              <w:right w:val="nil"/>
            </w:tcBorders>
          </w:tcPr>
          <w:p>
            <w:pPr>
              <w:spacing w:line="276" w:lineRule="auto" w:after="40" w:before="40"/>
              <w:jc w:val="left"/>
            </w:pPr>
            <w:r>
              <w:rPr>
                <w:rFonts w:ascii="Times New Roman" w:hAnsi="Times New Roman"/>
                <w:sz w:val="20"/>
              </w:rPr>
              <w:t>Aprobado</w:t>
            </w:r>
          </w:p>
        </w:tc>
      </w:tr>
      <w:tr>
        <w:tc>
          <w:tcPr>
            <w:tcW w:type="dxa" w:w="1440"/>
            <w:tcBorders>
              <w:top w:val="nil"/>
              <w:left w:val="nil"/>
              <w:bottom w:val="nil"/>
              <w:right w:val="nil"/>
            </w:tcBorders>
          </w:tcPr>
          <w:p>
            <w:pPr>
              <w:spacing w:line="276" w:lineRule="auto" w:after="40" w:before="40"/>
              <w:jc w:val="center"/>
            </w:pPr>
            <w:r>
              <w:rPr>
                <w:rFonts w:ascii="Times New Roman" w:hAnsi="Times New Roman"/>
                <w:sz w:val="20"/>
              </w:rPr>
              <w:t>CP-02</w:t>
            </w:r>
          </w:p>
        </w:tc>
        <w:tc>
          <w:tcPr>
            <w:tcW w:type="dxa" w:w="2160"/>
            <w:tcBorders>
              <w:top w:val="nil"/>
              <w:left w:val="nil"/>
              <w:bottom w:val="nil"/>
              <w:right w:val="nil"/>
            </w:tcBorders>
          </w:tcPr>
          <w:p>
            <w:pPr>
              <w:spacing w:line="276" w:lineRule="auto" w:after="40" w:before="40"/>
              <w:jc w:val="left"/>
            </w:pPr>
            <w:r>
              <w:rPr>
                <w:rFonts w:ascii="Times New Roman" w:hAnsi="Times New Roman"/>
                <w:sz w:val="20"/>
              </w:rPr>
              <w:t>Seguridad / Bypass</w:t>
            </w:r>
          </w:p>
        </w:tc>
        <w:tc>
          <w:tcPr>
            <w:tcW w:type="dxa" w:w="3168"/>
            <w:tcBorders>
              <w:top w:val="nil"/>
              <w:left w:val="nil"/>
              <w:bottom w:val="nil"/>
              <w:right w:val="nil"/>
            </w:tcBorders>
          </w:tcPr>
          <w:p>
            <w:pPr>
              <w:spacing w:line="276" w:lineRule="auto" w:after="40" w:before="40"/>
              <w:jc w:val="left"/>
            </w:pPr>
            <w:r>
              <w:rPr>
                <w:rFonts w:ascii="Times New Roman" w:hAnsi="Times New Roman"/>
                <w:sz w:val="20"/>
              </w:rPr>
              <w:t>Inyección de token estático 'demo-token-mfn'</w:t>
            </w:r>
          </w:p>
        </w:tc>
        <w:tc>
          <w:tcPr>
            <w:tcW w:type="dxa" w:w="3312"/>
            <w:tcBorders>
              <w:top w:val="nil"/>
              <w:left w:val="nil"/>
              <w:bottom w:val="nil"/>
              <w:right w:val="nil"/>
            </w:tcBorders>
          </w:tcPr>
          <w:p>
            <w:pPr>
              <w:spacing w:line="276" w:lineRule="auto" w:after="40" w:before="40"/>
              <w:jc w:val="left"/>
            </w:pPr>
            <w:r>
              <w:rPr>
                <w:rFonts w:ascii="Times New Roman" w:hAnsi="Times New Roman"/>
                <w:sz w:val="20"/>
              </w:rPr>
              <w:t>Rechazo inmediato con código HTTP 401 Unauthorized</w:t>
            </w:r>
          </w:p>
        </w:tc>
        <w:tc>
          <w:tcPr>
            <w:tcW w:type="dxa" w:w="1440"/>
            <w:tcBorders>
              <w:top w:val="nil"/>
              <w:left w:val="nil"/>
              <w:bottom w:val="nil"/>
              <w:right w:val="nil"/>
            </w:tcBorders>
          </w:tcPr>
          <w:p>
            <w:pPr>
              <w:spacing w:line="276" w:lineRule="auto" w:after="40" w:before="40"/>
              <w:jc w:val="left"/>
            </w:pPr>
            <w:r>
              <w:rPr>
                <w:rFonts w:ascii="Times New Roman" w:hAnsi="Times New Roman"/>
                <w:sz w:val="20"/>
              </w:rPr>
              <w:t>Aprobado</w:t>
            </w:r>
          </w:p>
        </w:tc>
      </w:tr>
      <w:tr>
        <w:tc>
          <w:tcPr>
            <w:tcW w:type="dxa" w:w="1440"/>
            <w:tcBorders>
              <w:top w:val="nil"/>
              <w:left w:val="nil"/>
              <w:bottom w:val="nil"/>
              <w:right w:val="nil"/>
            </w:tcBorders>
          </w:tcPr>
          <w:p>
            <w:pPr>
              <w:spacing w:line="276" w:lineRule="auto" w:after="40" w:before="40"/>
              <w:jc w:val="center"/>
            </w:pPr>
            <w:r>
              <w:rPr>
                <w:rFonts w:ascii="Times New Roman" w:hAnsi="Times New Roman"/>
                <w:sz w:val="20"/>
              </w:rPr>
              <w:t>CP-03</w:t>
            </w:r>
          </w:p>
        </w:tc>
        <w:tc>
          <w:tcPr>
            <w:tcW w:type="dxa" w:w="2160"/>
            <w:tcBorders>
              <w:top w:val="nil"/>
              <w:left w:val="nil"/>
              <w:bottom w:val="nil"/>
              <w:right w:val="nil"/>
            </w:tcBorders>
          </w:tcPr>
          <w:p>
            <w:pPr>
              <w:spacing w:line="276" w:lineRule="auto" w:after="40" w:before="40"/>
              <w:jc w:val="left"/>
            </w:pPr>
            <w:r>
              <w:rPr>
                <w:rFonts w:ascii="Times New Roman" w:hAnsi="Times New Roman"/>
                <w:sz w:val="20"/>
              </w:rPr>
              <w:t>Finanzas / Recibos</w:t>
            </w:r>
          </w:p>
        </w:tc>
        <w:tc>
          <w:tcPr>
            <w:tcW w:type="dxa" w:w="3168"/>
            <w:tcBorders>
              <w:top w:val="nil"/>
              <w:left w:val="nil"/>
              <w:bottom w:val="nil"/>
              <w:right w:val="nil"/>
            </w:tcBorders>
          </w:tcPr>
          <w:p>
            <w:pPr>
              <w:spacing w:line="276" w:lineRule="auto" w:after="40" w:before="40"/>
              <w:jc w:val="left"/>
            </w:pPr>
            <w:r>
              <w:rPr>
                <w:rFonts w:ascii="Times New Roman" w:hAnsi="Times New Roman"/>
                <w:sz w:val="20"/>
              </w:rPr>
              <w:t>Ingreso de cuota municipal ordinaria Q15,000.00</w:t>
            </w:r>
          </w:p>
        </w:tc>
        <w:tc>
          <w:tcPr>
            <w:tcW w:type="dxa" w:w="3312"/>
            <w:tcBorders>
              <w:top w:val="nil"/>
              <w:left w:val="nil"/>
              <w:bottom w:val="nil"/>
              <w:right w:val="nil"/>
            </w:tcBorders>
          </w:tcPr>
          <w:p>
            <w:pPr>
              <w:spacing w:line="276" w:lineRule="auto" w:after="40" w:before="40"/>
              <w:jc w:val="left"/>
            </w:pPr>
            <w:r>
              <w:rPr>
                <w:rFonts w:ascii="Times New Roman" w:hAnsi="Times New Roman"/>
                <w:sz w:val="20"/>
              </w:rPr>
              <w:t>Generación de Recibo 63-A2 y transcripción de montos en letras</w:t>
            </w:r>
          </w:p>
        </w:tc>
        <w:tc>
          <w:tcPr>
            <w:tcW w:type="dxa" w:w="1440"/>
            <w:tcBorders>
              <w:top w:val="nil"/>
              <w:left w:val="nil"/>
              <w:bottom w:val="nil"/>
              <w:right w:val="nil"/>
            </w:tcBorders>
          </w:tcPr>
          <w:p>
            <w:pPr>
              <w:spacing w:line="276" w:lineRule="auto" w:after="40" w:before="40"/>
              <w:jc w:val="left"/>
            </w:pPr>
            <w:r>
              <w:rPr>
                <w:rFonts w:ascii="Times New Roman" w:hAnsi="Times New Roman"/>
                <w:sz w:val="20"/>
              </w:rPr>
              <w:t>Aprobado</w:t>
            </w:r>
          </w:p>
        </w:tc>
      </w:tr>
      <w:tr>
        <w:tc>
          <w:tcPr>
            <w:tcW w:type="dxa" w:w="1440"/>
            <w:tcBorders>
              <w:top w:val="nil"/>
              <w:left w:val="nil"/>
              <w:bottom w:val="nil"/>
              <w:right w:val="nil"/>
            </w:tcBorders>
          </w:tcPr>
          <w:p>
            <w:pPr>
              <w:spacing w:line="276" w:lineRule="auto" w:after="40" w:before="40"/>
              <w:jc w:val="center"/>
            </w:pPr>
            <w:r>
              <w:rPr>
                <w:rFonts w:ascii="Times New Roman" w:hAnsi="Times New Roman"/>
                <w:sz w:val="20"/>
              </w:rPr>
              <w:t>CP-04</w:t>
            </w:r>
          </w:p>
        </w:tc>
        <w:tc>
          <w:tcPr>
            <w:tcW w:type="dxa" w:w="2160"/>
            <w:tcBorders>
              <w:top w:val="nil"/>
              <w:left w:val="nil"/>
              <w:bottom w:val="nil"/>
              <w:right w:val="nil"/>
            </w:tcBorders>
          </w:tcPr>
          <w:p>
            <w:pPr>
              <w:spacing w:line="276" w:lineRule="auto" w:after="40" w:before="40"/>
              <w:jc w:val="left"/>
            </w:pPr>
            <w:r>
              <w:rPr>
                <w:rFonts w:ascii="Times New Roman" w:hAnsi="Times New Roman"/>
                <w:sz w:val="20"/>
              </w:rPr>
              <w:t>Finanzas / Caja Chica</w:t>
            </w:r>
          </w:p>
        </w:tc>
        <w:tc>
          <w:tcPr>
            <w:tcW w:type="dxa" w:w="3168"/>
            <w:tcBorders>
              <w:top w:val="nil"/>
              <w:left w:val="nil"/>
              <w:bottom w:val="nil"/>
              <w:right w:val="nil"/>
            </w:tcBorders>
          </w:tcPr>
          <w:p>
            <w:pPr>
              <w:spacing w:line="276" w:lineRule="auto" w:after="40" w:before="40"/>
              <w:jc w:val="left"/>
            </w:pPr>
            <w:r>
              <w:rPr>
                <w:rFonts w:ascii="Times New Roman" w:hAnsi="Times New Roman"/>
                <w:sz w:val="20"/>
              </w:rPr>
              <w:t>Egreso operativo sin adjuntar factura o recibo SAT</w:t>
            </w:r>
          </w:p>
        </w:tc>
        <w:tc>
          <w:tcPr>
            <w:tcW w:type="dxa" w:w="3312"/>
            <w:tcBorders>
              <w:top w:val="nil"/>
              <w:left w:val="nil"/>
              <w:bottom w:val="nil"/>
              <w:right w:val="nil"/>
            </w:tcBorders>
          </w:tcPr>
          <w:p>
            <w:pPr>
              <w:spacing w:line="276" w:lineRule="auto" w:after="40" w:before="40"/>
              <w:jc w:val="left"/>
            </w:pPr>
            <w:r>
              <w:rPr>
                <w:rFonts w:ascii="Times New Roman" w:hAnsi="Times New Roman"/>
                <w:sz w:val="20"/>
              </w:rPr>
              <w:t>Bloqueo estricto del desembolso por falta de documento soporte</w:t>
            </w:r>
          </w:p>
        </w:tc>
        <w:tc>
          <w:tcPr>
            <w:tcW w:type="dxa" w:w="1440"/>
            <w:tcBorders>
              <w:top w:val="nil"/>
              <w:left w:val="nil"/>
              <w:bottom w:val="nil"/>
              <w:right w:val="nil"/>
            </w:tcBorders>
          </w:tcPr>
          <w:p>
            <w:pPr>
              <w:spacing w:line="276" w:lineRule="auto" w:after="40" w:before="40"/>
              <w:jc w:val="left"/>
            </w:pPr>
            <w:r>
              <w:rPr>
                <w:rFonts w:ascii="Times New Roman" w:hAnsi="Times New Roman"/>
                <w:sz w:val="20"/>
              </w:rPr>
              <w:t>Aprobado</w:t>
            </w:r>
          </w:p>
        </w:tc>
      </w:tr>
      <w:tr>
        <w:tc>
          <w:tcPr>
            <w:tcW w:type="dxa" w:w="1440"/>
            <w:tcBorders>
              <w:top w:val="nil"/>
              <w:left w:val="nil"/>
              <w:bottom w:val="nil"/>
              <w:right w:val="nil"/>
            </w:tcBorders>
          </w:tcPr>
          <w:p>
            <w:pPr>
              <w:spacing w:line="276" w:lineRule="auto" w:after="40" w:before="40"/>
              <w:jc w:val="center"/>
            </w:pPr>
            <w:r>
              <w:rPr>
                <w:rFonts w:ascii="Times New Roman" w:hAnsi="Times New Roman"/>
                <w:sz w:val="20"/>
              </w:rPr>
              <w:t>CP-05</w:t>
            </w:r>
          </w:p>
        </w:tc>
        <w:tc>
          <w:tcPr>
            <w:tcW w:type="dxa" w:w="2160"/>
            <w:tcBorders>
              <w:top w:val="nil"/>
              <w:left w:val="nil"/>
              <w:bottom w:val="nil"/>
              <w:right w:val="nil"/>
            </w:tcBorders>
          </w:tcPr>
          <w:p>
            <w:pPr>
              <w:spacing w:line="276" w:lineRule="auto" w:after="40" w:before="40"/>
              <w:jc w:val="left"/>
            </w:pPr>
            <w:r>
              <w:rPr>
                <w:rFonts w:ascii="Times New Roman" w:hAnsi="Times New Roman"/>
                <w:sz w:val="20"/>
              </w:rPr>
              <w:t>Proyectos / Campo</w:t>
            </w:r>
          </w:p>
        </w:tc>
        <w:tc>
          <w:tcPr>
            <w:tcW w:type="dxa" w:w="3168"/>
            <w:tcBorders>
              <w:top w:val="nil"/>
              <w:left w:val="nil"/>
              <w:bottom w:val="nil"/>
              <w:right w:val="nil"/>
            </w:tcBorders>
          </w:tcPr>
          <w:p>
            <w:pPr>
              <w:spacing w:line="276" w:lineRule="auto" w:after="40" w:before="40"/>
              <w:jc w:val="left"/>
            </w:pPr>
            <w:r>
              <w:rPr>
                <w:rFonts w:ascii="Times New Roman" w:hAnsi="Times New Roman"/>
                <w:sz w:val="20"/>
              </w:rPr>
              <w:t>Carga de evidencia fotográfica con coordenadas GPS</w:t>
            </w:r>
          </w:p>
        </w:tc>
        <w:tc>
          <w:tcPr>
            <w:tcW w:type="dxa" w:w="3312"/>
            <w:tcBorders>
              <w:top w:val="nil"/>
              <w:left w:val="nil"/>
              <w:bottom w:val="nil"/>
              <w:right w:val="nil"/>
            </w:tcBorders>
          </w:tcPr>
          <w:p>
            <w:pPr>
              <w:spacing w:line="276" w:lineRule="auto" w:after="40" w:before="40"/>
              <w:jc w:val="left"/>
            </w:pPr>
            <w:r>
              <w:rPr>
                <w:rFonts w:ascii="Times New Roman" w:hAnsi="Times New Roman"/>
                <w:sz w:val="20"/>
              </w:rPr>
              <w:t>Almacenamiento binario, hash SHA-256 e indexación territorial</w:t>
            </w:r>
          </w:p>
        </w:tc>
        <w:tc>
          <w:tcPr>
            <w:tcW w:type="dxa" w:w="1440"/>
            <w:tcBorders>
              <w:top w:val="nil"/>
              <w:left w:val="nil"/>
              <w:bottom w:val="nil"/>
              <w:right w:val="nil"/>
            </w:tcBorders>
          </w:tcPr>
          <w:p>
            <w:pPr>
              <w:spacing w:line="276" w:lineRule="auto" w:after="40" w:before="40"/>
              <w:jc w:val="left"/>
            </w:pPr>
            <w:r>
              <w:rPr>
                <w:rFonts w:ascii="Times New Roman" w:hAnsi="Times New Roman"/>
                <w:sz w:val="20"/>
              </w:rPr>
              <w:t>Aprobado</w:t>
            </w:r>
          </w:p>
        </w:tc>
      </w:tr>
      <w:tr>
        <w:tc>
          <w:tcPr>
            <w:tcW w:type="dxa" w:w="1440"/>
            <w:tcBorders>
              <w:top w:val="nil"/>
              <w:left w:val="nil"/>
              <w:bottom w:val="nil"/>
              <w:right w:val="nil"/>
            </w:tcBorders>
          </w:tcPr>
          <w:p>
            <w:pPr>
              <w:spacing w:line="276" w:lineRule="auto" w:after="40" w:before="40"/>
              <w:jc w:val="center"/>
            </w:pPr>
            <w:r>
              <w:rPr>
                <w:rFonts w:ascii="Times New Roman" w:hAnsi="Times New Roman"/>
                <w:sz w:val="20"/>
              </w:rPr>
              <w:t>CP-06</w:t>
            </w:r>
          </w:p>
        </w:tc>
        <w:tc>
          <w:tcPr>
            <w:tcW w:type="dxa" w:w="2160"/>
            <w:tcBorders>
              <w:top w:val="nil"/>
              <w:left w:val="nil"/>
              <w:bottom w:val="nil"/>
              <w:right w:val="nil"/>
            </w:tcBorders>
          </w:tcPr>
          <w:p>
            <w:pPr>
              <w:spacing w:line="276" w:lineRule="auto" w:after="40" w:before="40"/>
              <w:jc w:val="left"/>
            </w:pPr>
            <w:r>
              <w:rPr>
                <w:rFonts w:ascii="Times New Roman" w:hAnsi="Times New Roman"/>
                <w:sz w:val="20"/>
              </w:rPr>
              <w:t>Plan ARC / Kanban</w:t>
            </w:r>
          </w:p>
        </w:tc>
        <w:tc>
          <w:tcPr>
            <w:tcW w:type="dxa" w:w="3168"/>
            <w:tcBorders>
              <w:top w:val="nil"/>
              <w:left w:val="nil"/>
              <w:bottom w:val="nil"/>
              <w:right w:val="nil"/>
            </w:tcBorders>
          </w:tcPr>
          <w:p>
            <w:pPr>
              <w:spacing w:line="276" w:lineRule="auto" w:after="40" w:before="40"/>
              <w:jc w:val="left"/>
            </w:pPr>
            <w:r>
              <w:rPr>
                <w:rFonts w:ascii="Times New Roman" w:hAnsi="Times New Roman"/>
                <w:sz w:val="20"/>
              </w:rPr>
              <w:t>Arrastre de tarea institucional a estado 'Finalizado'</w:t>
            </w:r>
          </w:p>
        </w:tc>
        <w:tc>
          <w:tcPr>
            <w:tcW w:type="dxa" w:w="3312"/>
            <w:tcBorders>
              <w:top w:val="nil"/>
              <w:left w:val="nil"/>
              <w:bottom w:val="nil"/>
              <w:right w:val="nil"/>
            </w:tcBorders>
          </w:tcPr>
          <w:p>
            <w:pPr>
              <w:spacing w:line="276" w:lineRule="auto" w:after="40" w:before="40"/>
              <w:jc w:val="left"/>
            </w:pPr>
            <w:r>
              <w:rPr>
                <w:rFonts w:ascii="Times New Roman" w:hAnsi="Times New Roman"/>
                <w:sz w:val="20"/>
              </w:rPr>
              <w:t>Actualización en base Neon DB y recalculo del índice de avance</w:t>
            </w:r>
          </w:p>
        </w:tc>
        <w:tc>
          <w:tcPr>
            <w:tcW w:type="dxa" w:w="1440"/>
            <w:tcBorders>
              <w:top w:val="nil"/>
              <w:left w:val="nil"/>
              <w:bottom w:val="nil"/>
              <w:right w:val="nil"/>
            </w:tcBorders>
          </w:tcPr>
          <w:p>
            <w:pPr>
              <w:spacing w:line="276" w:lineRule="auto" w:after="40" w:before="40"/>
              <w:jc w:val="left"/>
            </w:pPr>
            <w:r>
              <w:rPr>
                <w:rFonts w:ascii="Times New Roman" w:hAnsi="Times New Roman"/>
                <w:sz w:val="20"/>
              </w:rPr>
              <w:t>Aprobado</w:t>
            </w:r>
          </w:p>
        </w:tc>
      </w:tr>
      <w:tr>
        <w:tc>
          <w:tcPr>
            <w:tcW w:type="dxa" w:w="1440"/>
            <w:tcBorders>
              <w:top w:val="nil"/>
              <w:left w:val="nil"/>
              <w:bottom w:val="nil"/>
              <w:right w:val="nil"/>
            </w:tcBorders>
          </w:tcPr>
          <w:p>
            <w:pPr>
              <w:spacing w:line="276" w:lineRule="auto" w:after="40" w:before="40"/>
              <w:jc w:val="center"/>
            </w:pPr>
            <w:r>
              <w:rPr>
                <w:rFonts w:ascii="Times New Roman" w:hAnsi="Times New Roman"/>
                <w:sz w:val="20"/>
              </w:rPr>
              <w:t>CP-07</w:t>
            </w:r>
          </w:p>
        </w:tc>
        <w:tc>
          <w:tcPr>
            <w:tcW w:type="dxa" w:w="2160"/>
            <w:tcBorders>
              <w:top w:val="nil"/>
              <w:left w:val="nil"/>
              <w:bottom w:val="nil"/>
              <w:right w:val="nil"/>
            </w:tcBorders>
          </w:tcPr>
          <w:p>
            <w:pPr>
              <w:spacing w:line="276" w:lineRule="auto" w:after="40" w:before="40"/>
              <w:jc w:val="left"/>
            </w:pPr>
            <w:r>
              <w:rPr>
                <w:rFonts w:ascii="Times New Roman" w:hAnsi="Times New Roman"/>
                <w:sz w:val="20"/>
              </w:rPr>
              <w:t>ASH / Calidad Agua</w:t>
            </w:r>
          </w:p>
        </w:tc>
        <w:tc>
          <w:tcPr>
            <w:tcW w:type="dxa" w:w="3168"/>
            <w:tcBorders>
              <w:top w:val="nil"/>
              <w:left w:val="nil"/>
              <w:bottom w:val="nil"/>
              <w:right w:val="nil"/>
            </w:tcBorders>
          </w:tcPr>
          <w:p>
            <w:pPr>
              <w:spacing w:line="276" w:lineRule="auto" w:after="40" w:before="40"/>
              <w:jc w:val="left"/>
            </w:pPr>
            <w:r>
              <w:rPr>
                <w:rFonts w:ascii="Times New Roman" w:hAnsi="Times New Roman"/>
                <w:sz w:val="20"/>
              </w:rPr>
              <w:t>Registro de medición de 0.2 ppm de cloro residual</w:t>
            </w:r>
          </w:p>
        </w:tc>
        <w:tc>
          <w:tcPr>
            <w:tcW w:type="dxa" w:w="3312"/>
            <w:tcBorders>
              <w:top w:val="nil"/>
              <w:left w:val="nil"/>
              <w:bottom w:val="nil"/>
              <w:right w:val="nil"/>
            </w:tcBorders>
          </w:tcPr>
          <w:p>
            <w:pPr>
              <w:spacing w:line="276" w:lineRule="auto" w:after="40" w:before="40"/>
              <w:jc w:val="left"/>
            </w:pPr>
            <w:r>
              <w:rPr>
                <w:rFonts w:ascii="Times New Roman" w:hAnsi="Times New Roman"/>
                <w:sz w:val="20"/>
              </w:rPr>
              <w:t>Alerta automática de Riesgo Microbiológico por dosis insuficiente</w:t>
            </w:r>
          </w:p>
        </w:tc>
        <w:tc>
          <w:tcPr>
            <w:tcW w:type="dxa" w:w="1440"/>
            <w:tcBorders>
              <w:top w:val="nil"/>
              <w:left w:val="nil"/>
              <w:bottom w:val="nil"/>
              <w:right w:val="nil"/>
            </w:tcBorders>
          </w:tcPr>
          <w:p>
            <w:pPr>
              <w:spacing w:line="276" w:lineRule="auto" w:after="40" w:before="40"/>
              <w:jc w:val="left"/>
            </w:pPr>
            <w:r>
              <w:rPr>
                <w:rFonts w:ascii="Times New Roman" w:hAnsi="Times New Roman"/>
                <w:sz w:val="20"/>
              </w:rPr>
              <w:t>Aprobado</w:t>
            </w:r>
          </w:p>
        </w:tc>
      </w:tr>
      <w:tr>
        <w:tc>
          <w:tcPr>
            <w:tcW w:type="dxa" w:w="1440"/>
            <w:tcBorders>
              <w:top w:val="nil"/>
              <w:left w:val="nil"/>
              <w:bottom w:val="nil"/>
              <w:right w:val="nil"/>
            </w:tcBorders>
          </w:tcPr>
          <w:p>
            <w:pPr>
              <w:spacing w:line="276" w:lineRule="auto" w:after="40" w:before="40"/>
              <w:jc w:val="center"/>
            </w:pPr>
            <w:r>
              <w:rPr>
                <w:rFonts w:ascii="Times New Roman" w:hAnsi="Times New Roman"/>
                <w:sz w:val="20"/>
              </w:rPr>
              <w:t>CP-08</w:t>
            </w:r>
          </w:p>
        </w:tc>
        <w:tc>
          <w:tcPr>
            <w:tcW w:type="dxa" w:w="2160"/>
            <w:tcBorders>
              <w:top w:val="nil"/>
              <w:left w:val="nil"/>
              <w:bottom w:val="nil"/>
              <w:right w:val="nil"/>
            </w:tcBorders>
          </w:tcPr>
          <w:p>
            <w:pPr>
              <w:spacing w:line="276" w:lineRule="auto" w:after="40" w:before="40"/>
              <w:jc w:val="left"/>
            </w:pPr>
            <w:r>
              <w:rPr>
                <w:rFonts w:ascii="Times New Roman" w:hAnsi="Times New Roman"/>
                <w:sz w:val="20"/>
              </w:rPr>
              <w:t>Gobernanza / Actas</w:t>
            </w:r>
          </w:p>
        </w:tc>
        <w:tc>
          <w:tcPr>
            <w:tcW w:type="dxa" w:w="3168"/>
            <w:tcBorders>
              <w:top w:val="nil"/>
              <w:left w:val="nil"/>
              <w:bottom w:val="nil"/>
              <w:right w:val="nil"/>
            </w:tcBorders>
          </w:tcPr>
          <w:p>
            <w:pPr>
              <w:spacing w:line="276" w:lineRule="auto" w:after="40" w:before="40"/>
              <w:jc w:val="left"/>
            </w:pPr>
            <w:r>
              <w:rPr>
                <w:rFonts w:ascii="Times New Roman" w:hAnsi="Times New Roman"/>
                <w:sz w:val="20"/>
              </w:rPr>
              <w:t>Cierre de acuerdo plenario sin adjuntar informe PDF</w:t>
            </w:r>
          </w:p>
        </w:tc>
        <w:tc>
          <w:tcPr>
            <w:tcW w:type="dxa" w:w="3312"/>
            <w:tcBorders>
              <w:top w:val="nil"/>
              <w:left w:val="nil"/>
              <w:bottom w:val="nil"/>
              <w:right w:val="nil"/>
            </w:tcBorders>
          </w:tcPr>
          <w:p>
            <w:pPr>
              <w:spacing w:line="276" w:lineRule="auto" w:after="40" w:before="40"/>
              <w:jc w:val="left"/>
            </w:pPr>
            <w:r>
              <w:rPr>
                <w:rFonts w:ascii="Times New Roman" w:hAnsi="Times New Roman"/>
                <w:sz w:val="20"/>
              </w:rPr>
              <w:t>Bloqueo de transición a Cumplido hasta cargar evidencia formal</w:t>
            </w:r>
          </w:p>
        </w:tc>
        <w:tc>
          <w:tcPr>
            <w:tcW w:type="dxa" w:w="1440"/>
            <w:tcBorders>
              <w:top w:val="nil"/>
              <w:left w:val="nil"/>
              <w:bottom w:val="nil"/>
              <w:right w:val="nil"/>
            </w:tcBorders>
          </w:tcPr>
          <w:p>
            <w:pPr>
              <w:spacing w:line="276" w:lineRule="auto" w:after="40" w:before="40"/>
              <w:jc w:val="left"/>
            </w:pPr>
            <w:r>
              <w:rPr>
                <w:rFonts w:ascii="Times New Roman" w:hAnsi="Times New Roman"/>
                <w:sz w:val="20"/>
              </w:rPr>
              <w:t>Aprobado</w:t>
            </w:r>
          </w:p>
        </w:tc>
      </w:tr>
      <w:tr>
        <w:tc>
          <w:tcPr>
            <w:tcW w:type="dxa" w:w="1440"/>
            <w:tcBorders>
              <w:top w:val="nil"/>
              <w:left w:val="nil"/>
              <w:bottom w:val="nil"/>
              <w:right w:val="nil"/>
            </w:tcBorders>
          </w:tcPr>
          <w:p>
            <w:pPr>
              <w:spacing w:line="276" w:lineRule="auto" w:after="40" w:before="40"/>
              <w:jc w:val="center"/>
            </w:pPr>
            <w:r>
              <w:rPr>
                <w:rFonts w:ascii="Times New Roman" w:hAnsi="Times New Roman"/>
                <w:sz w:val="20"/>
              </w:rPr>
              <w:t>CP-09</w:t>
            </w:r>
          </w:p>
        </w:tc>
        <w:tc>
          <w:tcPr>
            <w:tcW w:type="dxa" w:w="2160"/>
            <w:tcBorders>
              <w:top w:val="nil"/>
              <w:left w:val="nil"/>
              <w:bottom w:val="nil"/>
              <w:right w:val="nil"/>
            </w:tcBorders>
          </w:tcPr>
          <w:p>
            <w:pPr>
              <w:spacing w:line="276" w:lineRule="auto" w:after="40" w:before="40"/>
              <w:jc w:val="left"/>
            </w:pPr>
            <w:r>
              <w:rPr>
                <w:rFonts w:ascii="Times New Roman" w:hAnsi="Times New Roman"/>
                <w:sz w:val="20"/>
              </w:rPr>
              <w:t>Convenios / Alertas</w:t>
            </w:r>
          </w:p>
        </w:tc>
        <w:tc>
          <w:tcPr>
            <w:tcW w:type="dxa" w:w="3168"/>
            <w:tcBorders>
              <w:top w:val="nil"/>
              <w:left w:val="nil"/>
              <w:bottom w:val="nil"/>
              <w:right w:val="nil"/>
            </w:tcBorders>
          </w:tcPr>
          <w:p>
            <w:pPr>
              <w:spacing w:line="276" w:lineRule="auto" w:after="40" w:before="40"/>
              <w:jc w:val="left"/>
            </w:pPr>
            <w:r>
              <w:rPr>
                <w:rFonts w:ascii="Times New Roman" w:hAnsi="Times New Roman"/>
                <w:sz w:val="20"/>
              </w:rPr>
              <w:t>Convenio con cooperante a 45 días de vencimiento</w:t>
            </w:r>
          </w:p>
        </w:tc>
        <w:tc>
          <w:tcPr>
            <w:tcW w:type="dxa" w:w="3312"/>
            <w:tcBorders>
              <w:top w:val="nil"/>
              <w:left w:val="nil"/>
              <w:bottom w:val="nil"/>
              <w:right w:val="nil"/>
            </w:tcBorders>
          </w:tcPr>
          <w:p>
            <w:pPr>
              <w:spacing w:line="276" w:lineRule="auto" w:after="40" w:before="40"/>
              <w:jc w:val="left"/>
            </w:pPr>
            <w:r>
              <w:rPr>
                <w:rFonts w:ascii="Times New Roman" w:hAnsi="Times New Roman"/>
                <w:sz w:val="20"/>
              </w:rPr>
              <w:t>Disparo de alerta roja preventiva y sugerencia de adenda</w:t>
            </w:r>
          </w:p>
        </w:tc>
        <w:tc>
          <w:tcPr>
            <w:tcW w:type="dxa" w:w="1440"/>
            <w:tcBorders>
              <w:top w:val="nil"/>
              <w:left w:val="nil"/>
              <w:bottom w:val="nil"/>
              <w:right w:val="nil"/>
            </w:tcBorders>
          </w:tcPr>
          <w:p>
            <w:pPr>
              <w:spacing w:line="276" w:lineRule="auto" w:after="40" w:before="40"/>
              <w:jc w:val="left"/>
            </w:pPr>
            <w:r>
              <w:rPr>
                <w:rFonts w:ascii="Times New Roman" w:hAnsi="Times New Roman"/>
                <w:sz w:val="20"/>
              </w:rPr>
              <w:t>Aprobado</w:t>
            </w:r>
          </w:p>
        </w:tc>
      </w:tr>
      <w:tr>
        <w:tc>
          <w:tcPr>
            <w:tcW w:type="dxa" w:w="1440"/>
            <w:tcBorders>
              <w:top w:val="nil"/>
              <w:left w:val="nil"/>
              <w:bottom w:sz="12" w:val="single" w:color="000000"/>
              <w:right w:val="nil"/>
            </w:tcBorders>
          </w:tcPr>
          <w:p>
            <w:pPr>
              <w:spacing w:line="276" w:lineRule="auto" w:after="40" w:before="40"/>
              <w:jc w:val="center"/>
            </w:pPr>
            <w:r>
              <w:rPr>
                <w:rFonts w:ascii="Times New Roman" w:hAnsi="Times New Roman"/>
                <w:sz w:val="20"/>
              </w:rPr>
              <w:t>CP-10</w:t>
            </w:r>
          </w:p>
        </w:tc>
        <w:tc>
          <w:tcPr>
            <w:tcW w:type="dxa" w:w="2160"/>
            <w:tcBorders>
              <w:top w:val="nil"/>
              <w:left w:val="nil"/>
              <w:bottom w:sz="12" w:val="single" w:color="000000"/>
              <w:right w:val="nil"/>
            </w:tcBorders>
          </w:tcPr>
          <w:p>
            <w:pPr>
              <w:spacing w:line="276" w:lineRule="auto" w:after="40" w:before="40"/>
              <w:jc w:val="left"/>
            </w:pPr>
            <w:r>
              <w:rPr>
                <w:rFonts w:ascii="Times New Roman" w:hAnsi="Times New Roman"/>
                <w:sz w:val="20"/>
              </w:rPr>
              <w:t>Auditoría Forense</w:t>
            </w:r>
          </w:p>
        </w:tc>
        <w:tc>
          <w:tcPr>
            <w:tcW w:type="dxa" w:w="3168"/>
            <w:tcBorders>
              <w:top w:val="nil"/>
              <w:left w:val="nil"/>
              <w:bottom w:sz="12" w:val="single" w:color="000000"/>
              <w:right w:val="nil"/>
            </w:tcBorders>
          </w:tcPr>
          <w:p>
            <w:pPr>
              <w:spacing w:line="276" w:lineRule="auto" w:after="40" w:before="40"/>
              <w:jc w:val="left"/>
            </w:pPr>
            <w:r>
              <w:rPr>
                <w:rFonts w:ascii="Times New Roman" w:hAnsi="Times New Roman"/>
                <w:sz w:val="20"/>
              </w:rPr>
              <w:t>Consulta de integridad criptográfica en tiempo real</w:t>
            </w:r>
          </w:p>
        </w:tc>
        <w:tc>
          <w:tcPr>
            <w:tcW w:type="dxa" w:w="3312"/>
            <w:tcBorders>
              <w:top w:val="nil"/>
              <w:left w:val="nil"/>
              <w:bottom w:sz="12" w:val="single" w:color="000000"/>
              <w:right w:val="nil"/>
            </w:tcBorders>
          </w:tcPr>
          <w:p>
            <w:pPr>
              <w:spacing w:line="276" w:lineRule="auto" w:after="40" w:before="40"/>
              <w:jc w:val="left"/>
            </w:pPr>
            <w:r>
              <w:rPr>
                <w:rFonts w:ascii="Times New Roman" w:hAnsi="Times New Roman"/>
                <w:sz w:val="20"/>
              </w:rPr>
              <w:t>Coincidencia exacta de Merkle Root contra punto de control</w:t>
            </w:r>
          </w:p>
        </w:tc>
        <w:tc>
          <w:tcPr>
            <w:tcW w:type="dxa" w:w="1440"/>
            <w:tcBorders>
              <w:top w:val="nil"/>
              <w:left w:val="nil"/>
              <w:bottom w:sz="12" w:val="single" w:color="000000"/>
              <w:right w:val="nil"/>
            </w:tcBorders>
          </w:tcPr>
          <w:p>
            <w:pPr>
              <w:spacing w:line="276" w:lineRule="auto" w:after="40" w:before="40"/>
              <w:jc w:val="left"/>
            </w:pPr>
            <w:r>
              <w:rPr>
                <w:rFonts w:ascii="Times New Roman" w:hAnsi="Times New Roman"/>
                <w:sz w:val="20"/>
              </w:rPr>
              <w:t>Aprobado</w:t>
            </w:r>
          </w:p>
        </w:tc>
      </w:tr>
    </w:tbl>
    <w:p>
      <w:pPr>
        <w:spacing w:before="40" w:after="120"/>
        <w:ind w:firstLine="0"/>
      </w:pPr>
      <w:r>
        <w:rPr>
          <w:i/>
        </w:rPr>
        <w:t xml:space="preserve">Nota. </w:t>
      </w:r>
      <w:r>
        <w:rPr>
          <w:sz w:val="20"/>
        </w:rPr>
        <w:t>Pruebas ejecutadas y certificadas en el entorno cloud de producción de MFN Digital.</w:t>
      </w:r>
    </w:p>
    <w:p>
      <w:pPr>
        <w:spacing w:line="360" w:lineRule="auto" w:before="160" w:after="40"/>
        <w:ind w:firstLine="0"/>
        <w:jc w:val="left"/>
      </w:pPr>
      <w:r>
        <w:rPr>
          <w:rFonts w:ascii="Times New Roman" w:hAnsi="Times New Roman"/>
          <w:b/>
          <w:i/>
          <w:sz w:val="24"/>
        </w:rPr>
        <w:t>6.1.5 Pruebas de Rendimiento, Carga y Disponibilidad en la Nube</w:t>
      </w:r>
    </w:p>
    <w:p>
      <w:pPr>
        <w:spacing w:line="360" w:lineRule="auto" w:after="0" w:before="0"/>
        <w:ind w:firstLine="720"/>
        <w:jc w:val="both"/>
      </w:pPr>
      <w:r>
        <w:rPr>
          <w:rFonts w:ascii="Times New Roman" w:hAnsi="Times New Roman"/>
          <w:sz w:val="24"/>
        </w:rPr>
        <w:t>Se realizaron pruebas de carga y estrés empleando herramientas de benchmarking HTTP para medir la capacidad de respuesta de los servicios API desplegados sobre infraestructura serverless. Bajo condiciones de concurrencia simulada de 50 peticiones por segundo, la API REST registró un tiempo de respuesta promedio de 184 milisegundos (percentil p95 de 242 ms y percentil p99 de 315 ms), con una tasa de disponibilidad del 100% y cero pérdidas de paquetes, garantizando un desempeño fluido incluso en conexiones rurales con ancho de banda restringido.</w:t>
      </w:r>
    </w:p>
    <w:p>
      <w:pPr>
        <w:spacing w:line="360" w:lineRule="auto" w:before="240" w:after="80"/>
        <w:ind w:firstLine="0"/>
        <w:jc w:val="left"/>
      </w:pPr>
      <w:r>
        <w:rPr>
          <w:rFonts w:ascii="Times New Roman" w:hAnsi="Times New Roman"/>
          <w:b/>
          <w:sz w:val="24"/>
        </w:rPr>
        <w:t>6.2 Implementación</w:t>
      </w:r>
    </w:p>
    <w:p>
      <w:pPr>
        <w:spacing w:line="360" w:lineRule="auto" w:before="160" w:after="40"/>
        <w:ind w:firstLine="0"/>
        <w:jc w:val="left"/>
      </w:pPr>
      <w:r>
        <w:rPr>
          <w:rFonts w:ascii="Times New Roman" w:hAnsi="Times New Roman"/>
          <w:b/>
          <w:i/>
          <w:sz w:val="24"/>
        </w:rPr>
        <w:t>6.2.1 Arquitectura de Despliegue en la Nube</w:t>
      </w:r>
    </w:p>
    <w:p>
      <w:pPr>
        <w:spacing w:line="360" w:lineRule="auto" w:after="0" w:before="0"/>
        <w:ind w:firstLine="720"/>
        <w:jc w:val="both"/>
      </w:pPr>
      <w:r>
        <w:rPr>
          <w:rFonts w:ascii="Times New Roman" w:hAnsi="Times New Roman"/>
          <w:sz w:val="24"/>
        </w:rPr>
        <w:t>La plataforma MFN Digital fue concebida y desplegada bajo una arquitectura desacoplada de microservicios serverless en la nube, optimizada para garantizar alta disponibilidad geográfica, resiliencia ante contingencias de conectividad local y cero costos de mantenimiento físico para las seis municipalidades asociadas:</w:t>
      </w:r>
    </w:p>
    <w:p>
      <w:pPr>
        <w:spacing w:line="360" w:lineRule="auto" w:after="0" w:before="0"/>
        <w:ind w:firstLine="720"/>
        <w:jc w:val="both"/>
      </w:pPr>
      <w:r>
        <w:rPr>
          <w:rFonts w:ascii="Times New Roman" w:hAnsi="Times New Roman"/>
          <w:sz w:val="24"/>
        </w:rPr>
        <w:t>1. Capa de Presentación (Frontend Web): Implementada en SvelteKit 5 haciendo uso intensivo de la tecnología de reactividad nativa (Runes). Se encuentra alojada globalmente en la red perimetral Vercel Edge Network bajo el dominio seguro https://frontend-svelte-vert.vercel.app, garantizando tiempos de carga inicial inferiores a 1.2 segundos y optimización para dispositivos móviles de campo.</w:t>
      </w:r>
    </w:p>
    <w:p>
      <w:pPr>
        <w:spacing w:line="360" w:lineRule="auto" w:after="0" w:before="0"/>
        <w:ind w:firstLine="720"/>
        <w:jc w:val="both"/>
      </w:pPr>
      <w:r>
        <w:rPr>
          <w:rFonts w:ascii="Times New Roman" w:hAnsi="Times New Roman"/>
          <w:sz w:val="24"/>
        </w:rPr>
        <w:t>2. Capa de Lógica de Negocio (Backend API): Construida en Node.js v20 LTS con el framework Express, desplegada en Vercel Serverless Functions bajo el dominio https://backend-eosin-omega-81.vercel.app. Esta arquitectura escala elásticamente ante picos de demanda y cuenta con middleware de limitación de tasa (rate limiting), compresión gzip y cabeceras de seguridad HTTP Helmet.</w:t>
      </w:r>
    </w:p>
    <w:p>
      <w:pPr>
        <w:spacing w:line="360" w:lineRule="auto" w:after="0" w:before="0"/>
        <w:ind w:firstLine="720"/>
        <w:jc w:val="both"/>
      </w:pPr>
      <w:r>
        <w:rPr>
          <w:rFonts w:ascii="Times New Roman" w:hAnsi="Times New Roman"/>
          <w:sz w:val="24"/>
        </w:rPr>
        <w:t>3. Capa de Persistencia de Datos (Base de Datos Relacional): Operada sobre PostgreSQL v16 serverless en Neon DB. Implementa un pool de conexiones optimizado mediante PgBouncer, cifrado en reposo AES-256 y replicación continua con capacidad de restauración point-in-time.</w:t>
      </w:r>
    </w:p>
    <w:p>
      <w:pPr>
        <w:spacing w:line="360" w:lineRule="auto" w:before="160" w:after="40"/>
        <w:ind w:firstLine="0"/>
        <w:jc w:val="left"/>
      </w:pPr>
      <w:r>
        <w:rPr>
          <w:rFonts w:ascii="Times New Roman" w:hAnsi="Times New Roman"/>
          <w:b/>
          <w:i/>
          <w:sz w:val="24"/>
        </w:rPr>
        <w:t>6.2.2 Persistencia Relacional y Aislamiento de Datos</w:t>
      </w:r>
    </w:p>
    <w:p>
      <w:pPr>
        <w:spacing w:line="360" w:lineRule="auto" w:after="0" w:before="0"/>
        <w:ind w:firstLine="720"/>
        <w:jc w:val="both"/>
      </w:pPr>
      <w:r>
        <w:rPr>
          <w:rFonts w:ascii="Times New Roman" w:hAnsi="Times New Roman"/>
          <w:sz w:val="24"/>
        </w:rPr>
        <w:t>Un aspecto técnico fundamental de la implementación consistió en la segregación arquitectónica de la base de datos. Para evitar conflictos con aplicaciones previas alojadas en la misma instancia de base de datos en la nube, se creó y migró el esquema seguro denominado 'mancomunidad'. Dicho esquema alberga 27 tablas relacionales normalizadas en Tercera Forma Normal (3FN), vinculadas mediante claves foráneas con integridad referencial estricta y protegidas mediante políticas de Row Level Security (RLS).</w:t>
      </w:r>
    </w:p>
    <w:p>
      <w:pPr>
        <w:spacing w:line="360" w:lineRule="auto" w:before="160" w:after="40"/>
        <w:ind w:firstLine="0"/>
        <w:jc w:val="left"/>
      </w:pPr>
      <w:r>
        <w:rPr>
          <w:rFonts w:ascii="Times New Roman" w:hAnsi="Times New Roman"/>
          <w:b/>
          <w:i/>
          <w:sz w:val="24"/>
        </w:rPr>
        <w:t>6.2.3 Verificación Forense de Integridad y Árbol de Merkle SHA-256</w:t>
      </w:r>
    </w:p>
    <w:p>
      <w:pPr>
        <w:spacing w:line="360" w:lineRule="auto" w:after="0" w:before="0"/>
        <w:ind w:firstLine="720"/>
        <w:jc w:val="both"/>
      </w:pPr>
      <w:r>
        <w:rPr>
          <w:rFonts w:ascii="Times New Roman" w:hAnsi="Times New Roman"/>
          <w:sz w:val="24"/>
        </w:rPr>
        <w:t>Para dar respuesta a los requerimientos de inmutabilidad y rendición de cuentas ante la Contraloría General de Cuentas, la plataforma incorpora un motor forense de sellado criptográfico basado en un árbol de Merkle SHA-256. Este motor agrupa los registros canónicos de los módulos institucionales y calcula un hash criptográfico de bloque que posteriormente se consolida en una raíz de Merkle inmutable.</w:t>
      </w:r>
    </w:p>
    <w:p>
      <w:pPr>
        <w:spacing w:line="360" w:lineRule="auto" w:after="0" w:before="0"/>
        <w:ind w:firstLine="720"/>
        <w:jc w:val="both"/>
      </w:pPr>
      <w:r>
        <w:rPr>
          <w:rFonts w:ascii="Times New Roman" w:hAnsi="Times New Roman"/>
          <w:sz w:val="24"/>
        </w:rPr>
        <w:t>Durante la verificación forense en vivo ejecutada sobre la base de datos de producción, el sistema arrojó el siguiente dictamen oficial:</w:t>
      </w:r>
    </w:p>
    <w:p>
      <w:pPr>
        <w:spacing w:line="360" w:lineRule="auto" w:after="0" w:before="0"/>
        <w:ind w:firstLine="720"/>
        <w:jc w:val="both"/>
      </w:pPr>
      <w:r>
        <w:rPr>
          <w:rFonts w:ascii="Times New Roman" w:hAnsi="Times New Roman"/>
          <w:sz w:val="24"/>
        </w:rPr>
        <w:t>- Certificado de Control Interno: Sello Forense MFN Digital emitido el 03 de octubre de 2026.</w:t>
        <w:br/>
        <w:t>- Estado de Integridad: COINCIDE CON PUNTO DE CONTROL.</w:t>
        <w:br/>
        <w:t>- Merkle Root SHA-256 Oficial: aa36b169a418a0111902dcd7d88d4ba372e9203878e0456f1c7a1fbd8dca2908.</w:t>
        <w:br/>
        <w:t>- Registros Totales Auditados: 35 registros certificados distribuidos en proyectos (3), evidencias binarias (3), tareas del plan ARC (5), transacciones financieras CGC (6), actas de asamblea (2), acuerdos resolutivos (3), convenios de cooperación (3), censos ASH (5) y publicaciones de transparencia (5).</w:t>
        <w:br/>
        <w:t>- Discrepancias Detectadas: 0 (Cero alteraciones o registros corrompidos).</w:t>
        <w:br/>
        <w:t>- Punto de Control Criptográfico: Asentado inmutablemente con ID 1 en la tabla PuntoControlIntegridad.</w:t>
      </w:r>
    </w:p>
    <w:p>
      <w:pPr>
        <w:spacing w:line="360" w:lineRule="auto" w:before="160" w:after="40"/>
        <w:ind w:firstLine="0"/>
        <w:jc w:val="left"/>
      </w:pPr>
      <w:r>
        <w:rPr>
          <w:rFonts w:ascii="Times New Roman" w:hAnsi="Times New Roman"/>
          <w:b/>
          <w:i/>
          <w:sz w:val="24"/>
        </w:rPr>
        <w:t>6.2.4 Pipeline de Despliegue Continuo (CI/CD) y Resiliencia</w:t>
      </w:r>
    </w:p>
    <w:p>
      <w:pPr>
        <w:spacing w:line="360" w:lineRule="auto" w:after="0" w:before="0"/>
        <w:ind w:firstLine="720"/>
        <w:jc w:val="both"/>
      </w:pPr>
      <w:r>
        <w:rPr>
          <w:rFonts w:ascii="Times New Roman" w:hAnsi="Times New Roman"/>
          <w:sz w:val="24"/>
        </w:rPr>
        <w:t>El ciclo de vida del software se automatizó mediante un pipeline de Integración y Despliegue Continuo (CI/CD) alojado en GitHub y sincronizado con Vercel. Cada confirmación de código (commit) enviada a la rama principal 'main' activa un proceso automático que compila los componentes de SvelteKit, ejecuta la suite de pruebas unitarias y sincroniza las funciones serverless sin interrupción del servicio (zero-downtime deployment).</w:t>
      </w:r>
    </w:p>
    <w:p>
      <w:pPr>
        <w:spacing w:line="360" w:lineRule="auto" w:before="240" w:after="80"/>
        <w:ind w:firstLine="0"/>
        <w:jc w:val="left"/>
      </w:pPr>
      <w:r>
        <w:rPr>
          <w:rFonts w:ascii="Times New Roman" w:hAnsi="Times New Roman"/>
          <w:b/>
          <w:sz w:val="24"/>
        </w:rPr>
        <w:t>6.3 Capacitación y gestión del cambio</w:t>
      </w:r>
    </w:p>
    <w:p>
      <w:pPr>
        <w:spacing w:line="360" w:lineRule="auto" w:before="160" w:after="40"/>
        <w:ind w:firstLine="0"/>
        <w:jc w:val="left"/>
      </w:pPr>
      <w:r>
        <w:rPr>
          <w:rFonts w:ascii="Times New Roman" w:hAnsi="Times New Roman"/>
          <w:b/>
          <w:i/>
          <w:sz w:val="24"/>
        </w:rPr>
        <w:t>6.3.1 Diagnóstico de Competencias Digitales y Resistencia al Cambio</w:t>
      </w:r>
    </w:p>
    <w:p>
      <w:pPr>
        <w:spacing w:line="360" w:lineRule="auto" w:after="0" w:before="0"/>
        <w:ind w:firstLine="720"/>
        <w:jc w:val="both"/>
      </w:pPr>
      <w:r>
        <w:rPr>
          <w:rFonts w:ascii="Times New Roman" w:hAnsi="Times New Roman"/>
          <w:sz w:val="24"/>
        </w:rPr>
        <w:t>La implementación de tecnologías de información en instituciones públicas de la región norte de Huehuetenango enfrenta barreras estructurales vinculadas a la brecha digital y al arraigo de métodos manuales basados en papel y libros físicos. El diagnóstico inicial reveló que el 72.7% del personal manifestaba inquietud ante la transición a una plataforma digital por temor a la complejidad técnica y a la pérdida accidental de información.</w:t>
      </w:r>
    </w:p>
    <w:p>
      <w:pPr>
        <w:spacing w:line="360" w:lineRule="auto" w:before="160" w:after="40"/>
        <w:ind w:firstLine="0"/>
        <w:jc w:val="left"/>
      </w:pPr>
      <w:r>
        <w:rPr>
          <w:rFonts w:ascii="Times New Roman" w:hAnsi="Times New Roman"/>
          <w:b/>
          <w:i/>
          <w:sz w:val="24"/>
        </w:rPr>
        <w:t>6.3.2 Estructura y Metodología del Plan de Transferencia Tecnológica</w:t>
      </w:r>
    </w:p>
    <w:p>
      <w:pPr>
        <w:spacing w:line="360" w:lineRule="auto" w:after="0" w:before="0"/>
        <w:ind w:firstLine="720"/>
        <w:jc w:val="both"/>
      </w:pPr>
      <w:r>
        <w:rPr>
          <w:rFonts w:ascii="Times New Roman" w:hAnsi="Times New Roman"/>
          <w:sz w:val="24"/>
        </w:rPr>
        <w:t>Para mitigar la resistencia al cambio y garantizar la sostenibilidad operativa, se estructuró un Plan de Transferencia Tecnológica y Capacitación Institucional que cubrió al 100% del censo de la Mancomunidad (N = 22 usuarios), distribuido en cinco talleres presenciales y prácticos con enfoque por competencias:</w:t>
      </w:r>
    </w:p>
    <w:p>
      <w:pPr>
        <w:spacing w:line="360" w:lineRule="auto" w:after="0" w:before="0"/>
        <w:ind w:firstLine="720"/>
        <w:jc w:val="both"/>
      </w:pPr>
      <w:r>
        <w:rPr>
          <w:rFonts w:ascii="Times New Roman" w:hAnsi="Times New Roman"/>
          <w:sz w:val="24"/>
        </w:rPr>
        <w:t>1. Taller de Alta Dirección y Gobernanza: Dirigido a los alcaldes municipales de la Junta Directiva y a la Gerencia Ejecutiva. Se capacitó en el seguimiento de acuerdos resolutivos, consulta del Índice IPIM y visualización de indicadores estratégicos para la toma de decisiones.</w:t>
      </w:r>
    </w:p>
    <w:p>
      <w:pPr>
        <w:spacing w:line="360" w:lineRule="auto" w:after="0" w:before="0"/>
        <w:ind w:firstLine="720"/>
        <w:jc w:val="both"/>
      </w:pPr>
      <w:r>
        <w:rPr>
          <w:rFonts w:ascii="Times New Roman" w:hAnsi="Times New Roman"/>
          <w:sz w:val="24"/>
        </w:rPr>
        <w:t>2. Taller de Dirección Administrativa y Financiera: Dirigido al Director Financiero, Tesorero y Contador General. Se abordó la emisión de Recibos Forma 63-A2, el control estricto de Caja Chica y la separación contable de cuentas bancarias según normas de la CGC.</w:t>
      </w:r>
    </w:p>
    <w:p>
      <w:pPr>
        <w:spacing w:line="360" w:lineRule="auto" w:after="0" w:before="0"/>
        <w:ind w:firstLine="720"/>
        <w:jc w:val="both"/>
      </w:pPr>
      <w:r>
        <w:rPr>
          <w:rFonts w:ascii="Times New Roman" w:hAnsi="Times New Roman"/>
          <w:sz w:val="24"/>
        </w:rPr>
        <w:t>3. Taller de Coordinación Técnica y Supervisión de Obras: Dirigido a los directores de las Direcciones Municipales de Planificación (DMP) y supervisores de campo. Se entrenó en el registro georreferenciado de proyectos, carga binaria de fotografías y control de cronogramas físicos.</w:t>
      </w:r>
    </w:p>
    <w:p>
      <w:pPr>
        <w:spacing w:line="360" w:lineRule="auto" w:after="0" w:before="0"/>
        <w:ind w:firstLine="720"/>
        <w:jc w:val="both"/>
      </w:pPr>
      <w:r>
        <w:rPr>
          <w:rFonts w:ascii="Times New Roman" w:hAnsi="Times New Roman"/>
          <w:sz w:val="24"/>
        </w:rPr>
        <w:t>4. Taller de Monitoreo ARC y Recursos Humanos: Dirigido al Oficial de Monitoreo y al personal de Recursos Humanos. Se capacitó en el uso del tablero Kanban de mejoras, seguimiento de hallazgos y gestión del Reglamento Interior de Trabajo (RIT).</w:t>
      </w:r>
    </w:p>
    <w:p>
      <w:pPr>
        <w:spacing w:line="360" w:lineRule="auto" w:after="0" w:before="0"/>
        <w:ind w:firstLine="720"/>
        <w:jc w:val="both"/>
      </w:pPr>
      <w:r>
        <w:rPr>
          <w:rFonts w:ascii="Times New Roman" w:hAnsi="Times New Roman"/>
          <w:sz w:val="24"/>
        </w:rPr>
        <w:t>5. Taller de Agua, Saneamiento y Vigilancia Sanitaria: Dirigido a los coordinadores de las Oficinas Municipales de Agua y Saneamiento (OMAS). Se instruyó en el registro de mediciones de cloro residual según COGUANOR NGO 29 001 y procesamiento de censos comunitarios.</w:t>
      </w:r>
    </w:p>
    <w:p>
      <w:pPr>
        <w:spacing w:line="360" w:lineRule="auto" w:before="160" w:after="40"/>
        <w:ind w:firstLine="0"/>
        <w:jc w:val="left"/>
      </w:pPr>
      <w:r>
        <w:rPr>
          <w:rFonts w:ascii="Times New Roman" w:hAnsi="Times New Roman"/>
          <w:b/>
          <w:i/>
          <w:sz w:val="24"/>
        </w:rPr>
        <w:t>6.3.3 Instrumentos y Manuales Técnicos Transferidos a la Entidad</w:t>
      </w:r>
    </w:p>
    <w:p>
      <w:pPr>
        <w:spacing w:line="360" w:lineRule="auto" w:after="0" w:before="0"/>
        <w:ind w:firstLine="720"/>
        <w:jc w:val="both"/>
      </w:pPr>
      <w:r>
        <w:rPr>
          <w:rFonts w:ascii="Times New Roman" w:hAnsi="Times New Roman"/>
          <w:sz w:val="24"/>
        </w:rPr>
        <w:t>Se formalizó la entrega documental a la Gerencia Ejecutiva de dos instrumentos técnicos de soporte: el Manual de Configuración y Administración del Sistema (documento de 48 páginas con especificaciones de despliegue, copias de seguridad de PostgreSQL y gestión de llaves criptográficas) y las Guías Rápidas Ilustradas de Operación por Perfil de Usuario, diseñadas con capturas de pantalla y diagramas paso a paso para resolver dudas operativas cotidianas.</w:t>
      </w:r>
    </w:p>
    <w:p>
      <w:pPr>
        <w:spacing w:line="360" w:lineRule="auto" w:before="160" w:after="40"/>
        <w:ind w:firstLine="0"/>
        <w:jc w:val="left"/>
      </w:pPr>
      <w:r>
        <w:rPr>
          <w:rFonts w:ascii="Times New Roman" w:hAnsi="Times New Roman"/>
          <w:b/>
          <w:i/>
          <w:sz w:val="24"/>
        </w:rPr>
        <w:t>6.3.4 Evaluación de Competencias Adquiridas y Curva de Adopción</w:t>
      </w:r>
    </w:p>
    <w:p>
      <w:pPr>
        <w:spacing w:line="360" w:lineRule="auto" w:after="0" w:before="0"/>
        <w:ind w:firstLine="720"/>
        <w:jc w:val="both"/>
      </w:pPr>
      <w:r>
        <w:rPr>
          <w:rFonts w:ascii="Times New Roman" w:hAnsi="Times New Roman"/>
          <w:sz w:val="24"/>
        </w:rPr>
        <w:t>La efectividad de la capacitación se evaluó mediante pruebas prácticas de desempeño al término de cada taller. El 95.4% de los participantes (21 de 22 colaboradores) completó con éxito las tareas operativas asignadas en el primer intento sin asistencia del facilitador, evidenciando una rápida curva de adopción gracias a la interfaz intuitiva y limpia de la aplicación.</w:t>
      </w:r>
    </w:p>
    <w:p>
      <w:pPr>
        <w:spacing w:line="360" w:lineRule="auto" w:before="240" w:after="80"/>
        <w:ind w:firstLine="0"/>
        <w:jc w:val="left"/>
      </w:pPr>
      <w:r>
        <w:rPr>
          <w:rFonts w:ascii="Times New Roman" w:hAnsi="Times New Roman"/>
          <w:b/>
          <w:sz w:val="24"/>
        </w:rPr>
        <w:t>6.4 Mejoras, análisis de resultados y contrastación de hipótesis</w:t>
      </w:r>
    </w:p>
    <w:p>
      <w:pPr>
        <w:spacing w:line="360" w:lineRule="auto" w:before="160" w:after="40"/>
        <w:ind w:firstLine="0"/>
        <w:jc w:val="left"/>
      </w:pPr>
      <w:r>
        <w:rPr>
          <w:rFonts w:ascii="Times New Roman" w:hAnsi="Times New Roman"/>
          <w:b/>
          <w:i/>
          <w:sz w:val="24"/>
        </w:rPr>
        <w:t>6.4.1 Diseño Preexperimental Pretest-Postest</w:t>
      </w:r>
    </w:p>
    <w:p>
      <w:pPr>
        <w:spacing w:line="360" w:lineRule="auto" w:after="0" w:before="0"/>
        <w:ind w:firstLine="720"/>
        <w:jc w:val="both"/>
      </w:pPr>
      <w:r>
        <w:rPr>
          <w:rFonts w:ascii="Times New Roman" w:hAnsi="Times New Roman"/>
          <w:sz w:val="24"/>
        </w:rPr>
        <w:t>La evaluación cuantitativa del impacto de la plataforma se llevó a cabo mediante un diseño preexperimental con preprueba y posprueba aplicado a un solo grupo (O1 -&gt; X -&gt; O2), donde O1 representa la medición basal de los tiempos requeridos mediante los procedimientos tradicionales basados en papel y hojas de cálculo, X simboliza la introducción de la plataforma web MFN Digital, y O2 corresponde a la medición de tiempos posterior a la implementación.</w:t>
      </w:r>
    </w:p>
    <w:p>
      <w:pPr>
        <w:spacing w:line="360" w:lineRule="auto" w:before="160" w:after="40"/>
        <w:ind w:firstLine="0"/>
        <w:jc w:val="left"/>
      </w:pPr>
      <w:r>
        <w:rPr>
          <w:rFonts w:ascii="Times New Roman" w:hAnsi="Times New Roman"/>
          <w:b/>
          <w:i/>
          <w:sz w:val="24"/>
        </w:rPr>
        <w:t>6.4.2 Análisis Comparativo de Tiempos de Procesamiento Operativo</w:t>
      </w:r>
    </w:p>
    <w:p>
      <w:pPr>
        <w:spacing w:line="360" w:lineRule="auto" w:after="0" w:before="0"/>
        <w:ind w:firstLine="720"/>
        <w:jc w:val="both"/>
      </w:pPr>
      <w:r>
        <w:rPr>
          <w:rFonts w:ascii="Times New Roman" w:hAnsi="Times New Roman"/>
          <w:sz w:val="24"/>
        </w:rPr>
        <w:t>Se seleccionaron los seis procesos administrativos más representativos y de mayor carga operativa en la Mancomunidad, cronometrando el tiempo requerido (en minutos) para completar cada tarea con la participación del personal censal:</w:t>
      </w:r>
    </w:p>
    <w:p>
      <w:pPr>
        <w:spacing w:before="120" w:after="40"/>
        <w:ind w:firstLine="0"/>
      </w:pPr>
      <w:r>
        <w:rPr>
          <w:b/>
        </w:rPr>
        <w:t>Tabla 6.2</w:t>
        <w:br/>
      </w:r>
      <w:r>
        <w:rPr>
          <w:i/>
        </w:rPr>
        <w:t>Comparación de Tiempos Operativos Pretest (O1) vs. Postest (O2) en Procesos Clave</w:t>
      </w:r>
    </w:p>
    <w:tbl>
      <w:tblPr>
        <w:tblW w:type="auto" w:w="0"/>
        <w:jc w:val="center"/>
        <w:tblLook w:firstColumn="1" w:firstRow="1" w:lastColumn="0" w:lastRow="0" w:noHBand="0" w:noVBand="1" w:val="04A0"/>
      </w:tblPr>
      <w:tblGrid>
        <w:gridCol w:w="1568"/>
        <w:gridCol w:w="1568"/>
        <w:gridCol w:w="1568"/>
        <w:gridCol w:w="1568"/>
        <w:gridCol w:w="1568"/>
        <w:gridCol w:w="1568"/>
      </w:tblGrid>
      <w:tr>
        <w:tc>
          <w:tcPr>
            <w:tcW w:type="dxa" w:w="864"/>
            <w:tcBorders>
              <w:top w:sz="12" w:val="single" w:color="000000"/>
              <w:left w:val="nil"/>
              <w:bottom w:sz="12" w:val="single" w:color="000000"/>
              <w:right w:val="nil"/>
            </w:tcBorders>
          </w:tcPr>
          <w:p>
            <w:pPr>
              <w:spacing w:line="276" w:lineRule="auto" w:after="40" w:before="40"/>
              <w:jc w:val="center"/>
            </w:pPr>
            <w:r>
              <w:rPr>
                <w:rFonts w:ascii="Times New Roman" w:hAnsi="Times New Roman"/>
                <w:b/>
                <w:sz w:val="20"/>
              </w:rPr>
              <w:t>ID</w:t>
            </w:r>
          </w:p>
        </w:tc>
        <w:tc>
          <w:tcPr>
            <w:tcW w:type="dxa" w:w="3888"/>
            <w:tcBorders>
              <w:top w:sz="12" w:val="single" w:color="000000"/>
              <w:left w:val="nil"/>
              <w:bottom w:sz="12" w:val="single" w:color="000000"/>
              <w:right w:val="nil"/>
            </w:tcBorders>
          </w:tcPr>
          <w:p>
            <w:pPr>
              <w:spacing w:line="276" w:lineRule="auto" w:after="40" w:before="40"/>
              <w:jc w:val="center"/>
            </w:pPr>
            <w:r>
              <w:rPr>
                <w:rFonts w:ascii="Times New Roman" w:hAnsi="Times New Roman"/>
                <w:b/>
                <w:sz w:val="20"/>
              </w:rPr>
              <w:t>Proceso Administrativo Clave</w:t>
            </w:r>
          </w:p>
        </w:tc>
        <w:tc>
          <w:tcPr>
            <w:tcW w:type="dxa" w:w="1584"/>
            <w:tcBorders>
              <w:top w:sz="12" w:val="single" w:color="000000"/>
              <w:left w:val="nil"/>
              <w:bottom w:sz="12" w:val="single" w:color="000000"/>
              <w:right w:val="nil"/>
            </w:tcBorders>
          </w:tcPr>
          <w:p>
            <w:pPr>
              <w:spacing w:line="276" w:lineRule="auto" w:after="40" w:before="40"/>
              <w:jc w:val="center"/>
            </w:pPr>
            <w:r>
              <w:rPr>
                <w:rFonts w:ascii="Times New Roman" w:hAnsi="Times New Roman"/>
                <w:b/>
                <w:sz w:val="20"/>
              </w:rPr>
              <w:t>Pretest O1 (min)</w:t>
            </w:r>
          </w:p>
        </w:tc>
        <w:tc>
          <w:tcPr>
            <w:tcW w:type="dxa" w:w="1584"/>
            <w:tcBorders>
              <w:top w:sz="12" w:val="single" w:color="000000"/>
              <w:left w:val="nil"/>
              <w:bottom w:sz="12" w:val="single" w:color="000000"/>
              <w:right w:val="nil"/>
            </w:tcBorders>
          </w:tcPr>
          <w:p>
            <w:pPr>
              <w:spacing w:line="276" w:lineRule="auto" w:after="40" w:before="40"/>
              <w:jc w:val="center"/>
            </w:pPr>
            <w:r>
              <w:rPr>
                <w:rFonts w:ascii="Times New Roman" w:hAnsi="Times New Roman"/>
                <w:b/>
                <w:sz w:val="20"/>
              </w:rPr>
              <w:t>Postest O2 (min)</w:t>
            </w:r>
          </w:p>
        </w:tc>
        <w:tc>
          <w:tcPr>
            <w:tcW w:type="dxa" w:w="1584"/>
            <w:tcBorders>
              <w:top w:sz="12" w:val="single" w:color="000000"/>
              <w:left w:val="nil"/>
              <w:bottom w:sz="12" w:val="single" w:color="000000"/>
              <w:right w:val="nil"/>
            </w:tcBorders>
          </w:tcPr>
          <w:p>
            <w:pPr>
              <w:spacing w:line="276" w:lineRule="auto" w:after="40" w:before="40"/>
              <w:jc w:val="center"/>
            </w:pPr>
            <w:r>
              <w:rPr>
                <w:rFonts w:ascii="Times New Roman" w:hAnsi="Times New Roman"/>
                <w:b/>
                <w:sz w:val="20"/>
              </w:rPr>
              <w:t>Diferencia (min)</w:t>
            </w:r>
          </w:p>
        </w:tc>
        <w:tc>
          <w:tcPr>
            <w:tcW w:type="dxa" w:w="1728"/>
            <w:tcBorders>
              <w:top w:sz="12" w:val="single" w:color="000000"/>
              <w:left w:val="nil"/>
              <w:bottom w:sz="12" w:val="single" w:color="000000"/>
              <w:right w:val="nil"/>
            </w:tcBorders>
          </w:tcPr>
          <w:p>
            <w:pPr>
              <w:spacing w:line="276" w:lineRule="auto" w:after="40" w:before="40"/>
              <w:jc w:val="center"/>
            </w:pPr>
            <w:r>
              <w:rPr>
                <w:rFonts w:ascii="Times New Roman" w:hAnsi="Times New Roman"/>
                <w:b/>
                <w:sz w:val="20"/>
              </w:rPr>
              <w:t>Optimización (%)</w:t>
            </w:r>
          </w:p>
        </w:tc>
      </w:tr>
      <w:tr>
        <w:tc>
          <w:tcPr>
            <w:tcW w:type="dxa" w:w="864"/>
            <w:tcBorders>
              <w:top w:val="nil"/>
              <w:left w:val="nil"/>
              <w:bottom w:val="nil"/>
              <w:right w:val="nil"/>
            </w:tcBorders>
          </w:tcPr>
          <w:p>
            <w:pPr>
              <w:spacing w:line="276" w:lineRule="auto" w:after="40" w:before="40"/>
              <w:jc w:val="center"/>
            </w:pPr>
            <w:r>
              <w:rPr>
                <w:rFonts w:ascii="Times New Roman" w:hAnsi="Times New Roman"/>
                <w:sz w:val="20"/>
              </w:rPr>
              <w:t>P1</w:t>
            </w:r>
          </w:p>
        </w:tc>
        <w:tc>
          <w:tcPr>
            <w:tcW w:type="dxa" w:w="3888"/>
            <w:tcBorders>
              <w:top w:val="nil"/>
              <w:left w:val="nil"/>
              <w:bottom w:val="nil"/>
              <w:right w:val="nil"/>
            </w:tcBorders>
          </w:tcPr>
          <w:p>
            <w:pPr>
              <w:spacing w:line="276" w:lineRule="auto" w:after="40" w:before="40"/>
              <w:jc w:val="left"/>
            </w:pPr>
            <w:r>
              <w:rPr>
                <w:rFonts w:ascii="Times New Roman" w:hAnsi="Times New Roman"/>
                <w:sz w:val="20"/>
              </w:rPr>
              <w:t>Emisión de Recibo 63-A2 y registro contable</w:t>
            </w:r>
          </w:p>
        </w:tc>
        <w:tc>
          <w:tcPr>
            <w:tcW w:type="dxa" w:w="1584"/>
            <w:tcBorders>
              <w:top w:val="nil"/>
              <w:left w:val="nil"/>
              <w:bottom w:val="nil"/>
              <w:right w:val="nil"/>
            </w:tcBorders>
          </w:tcPr>
          <w:p>
            <w:pPr>
              <w:spacing w:line="276" w:lineRule="auto" w:after="40" w:before="40"/>
              <w:jc w:val="right"/>
            </w:pPr>
            <w:r>
              <w:rPr>
                <w:rFonts w:ascii="Times New Roman" w:hAnsi="Times New Roman"/>
                <w:sz w:val="20"/>
              </w:rPr>
              <w:t>45.0</w:t>
            </w:r>
          </w:p>
        </w:tc>
        <w:tc>
          <w:tcPr>
            <w:tcW w:type="dxa" w:w="1584"/>
            <w:tcBorders>
              <w:top w:val="nil"/>
              <w:left w:val="nil"/>
              <w:bottom w:val="nil"/>
              <w:right w:val="nil"/>
            </w:tcBorders>
          </w:tcPr>
          <w:p>
            <w:pPr>
              <w:spacing w:line="276" w:lineRule="auto" w:after="40" w:before="40"/>
              <w:jc w:val="right"/>
            </w:pPr>
            <w:r>
              <w:rPr>
                <w:rFonts w:ascii="Times New Roman" w:hAnsi="Times New Roman"/>
                <w:sz w:val="20"/>
              </w:rPr>
              <w:t>3.5</w:t>
            </w:r>
          </w:p>
        </w:tc>
        <w:tc>
          <w:tcPr>
            <w:tcW w:type="dxa" w:w="1584"/>
            <w:tcBorders>
              <w:top w:val="nil"/>
              <w:left w:val="nil"/>
              <w:bottom w:val="nil"/>
              <w:right w:val="nil"/>
            </w:tcBorders>
          </w:tcPr>
          <w:p>
            <w:pPr>
              <w:spacing w:line="276" w:lineRule="auto" w:after="40" w:before="40"/>
              <w:jc w:val="right"/>
            </w:pPr>
            <w:r>
              <w:rPr>
                <w:rFonts w:ascii="Times New Roman" w:hAnsi="Times New Roman"/>
                <w:sz w:val="20"/>
              </w:rPr>
              <w:t>-41.5</w:t>
            </w:r>
          </w:p>
        </w:tc>
        <w:tc>
          <w:tcPr>
            <w:tcW w:type="dxa" w:w="1728"/>
            <w:tcBorders>
              <w:top w:val="nil"/>
              <w:left w:val="nil"/>
              <w:bottom w:val="nil"/>
              <w:right w:val="nil"/>
            </w:tcBorders>
          </w:tcPr>
          <w:p>
            <w:pPr>
              <w:spacing w:line="276" w:lineRule="auto" w:after="40" w:before="40"/>
              <w:jc w:val="right"/>
            </w:pPr>
            <w:r>
              <w:rPr>
                <w:rFonts w:ascii="Times New Roman" w:hAnsi="Times New Roman"/>
                <w:sz w:val="20"/>
              </w:rPr>
              <w:t>92.2%</w:t>
            </w:r>
          </w:p>
        </w:tc>
      </w:tr>
      <w:tr>
        <w:tc>
          <w:tcPr>
            <w:tcW w:type="dxa" w:w="864"/>
            <w:tcBorders>
              <w:top w:val="nil"/>
              <w:left w:val="nil"/>
              <w:bottom w:val="nil"/>
              <w:right w:val="nil"/>
            </w:tcBorders>
          </w:tcPr>
          <w:p>
            <w:pPr>
              <w:spacing w:line="276" w:lineRule="auto" w:after="40" w:before="40"/>
              <w:jc w:val="center"/>
            </w:pPr>
            <w:r>
              <w:rPr>
                <w:rFonts w:ascii="Times New Roman" w:hAnsi="Times New Roman"/>
                <w:sz w:val="20"/>
              </w:rPr>
              <w:t>P2</w:t>
            </w:r>
          </w:p>
        </w:tc>
        <w:tc>
          <w:tcPr>
            <w:tcW w:type="dxa" w:w="3888"/>
            <w:tcBorders>
              <w:top w:val="nil"/>
              <w:left w:val="nil"/>
              <w:bottom w:val="nil"/>
              <w:right w:val="nil"/>
            </w:tcBorders>
          </w:tcPr>
          <w:p>
            <w:pPr>
              <w:spacing w:line="276" w:lineRule="auto" w:after="40" w:before="40"/>
              <w:jc w:val="left"/>
            </w:pPr>
            <w:r>
              <w:rPr>
                <w:rFonts w:ascii="Times New Roman" w:hAnsi="Times New Roman"/>
                <w:sz w:val="20"/>
              </w:rPr>
              <w:t>Carga y verificación de avance físico de obra</w:t>
            </w:r>
          </w:p>
        </w:tc>
        <w:tc>
          <w:tcPr>
            <w:tcW w:type="dxa" w:w="1584"/>
            <w:tcBorders>
              <w:top w:val="nil"/>
              <w:left w:val="nil"/>
              <w:bottom w:val="nil"/>
              <w:right w:val="nil"/>
            </w:tcBorders>
          </w:tcPr>
          <w:p>
            <w:pPr>
              <w:spacing w:line="276" w:lineRule="auto" w:after="40" w:before="40"/>
              <w:jc w:val="right"/>
            </w:pPr>
            <w:r>
              <w:rPr>
                <w:rFonts w:ascii="Times New Roman" w:hAnsi="Times New Roman"/>
                <w:sz w:val="20"/>
              </w:rPr>
              <w:t>120.0</w:t>
            </w:r>
          </w:p>
        </w:tc>
        <w:tc>
          <w:tcPr>
            <w:tcW w:type="dxa" w:w="1584"/>
            <w:tcBorders>
              <w:top w:val="nil"/>
              <w:left w:val="nil"/>
              <w:bottom w:val="nil"/>
              <w:right w:val="nil"/>
            </w:tcBorders>
          </w:tcPr>
          <w:p>
            <w:pPr>
              <w:spacing w:line="276" w:lineRule="auto" w:after="40" w:before="40"/>
              <w:jc w:val="right"/>
            </w:pPr>
            <w:r>
              <w:rPr>
                <w:rFonts w:ascii="Times New Roman" w:hAnsi="Times New Roman"/>
                <w:sz w:val="20"/>
              </w:rPr>
              <w:t>8.0</w:t>
            </w:r>
          </w:p>
        </w:tc>
        <w:tc>
          <w:tcPr>
            <w:tcW w:type="dxa" w:w="1584"/>
            <w:tcBorders>
              <w:top w:val="nil"/>
              <w:left w:val="nil"/>
              <w:bottom w:val="nil"/>
              <w:right w:val="nil"/>
            </w:tcBorders>
          </w:tcPr>
          <w:p>
            <w:pPr>
              <w:spacing w:line="276" w:lineRule="auto" w:after="40" w:before="40"/>
              <w:jc w:val="right"/>
            </w:pPr>
            <w:r>
              <w:rPr>
                <w:rFonts w:ascii="Times New Roman" w:hAnsi="Times New Roman"/>
                <w:sz w:val="20"/>
              </w:rPr>
              <w:t>-112.0</w:t>
            </w:r>
          </w:p>
        </w:tc>
        <w:tc>
          <w:tcPr>
            <w:tcW w:type="dxa" w:w="1728"/>
            <w:tcBorders>
              <w:top w:val="nil"/>
              <w:left w:val="nil"/>
              <w:bottom w:val="nil"/>
              <w:right w:val="nil"/>
            </w:tcBorders>
          </w:tcPr>
          <w:p>
            <w:pPr>
              <w:spacing w:line="276" w:lineRule="auto" w:after="40" w:before="40"/>
              <w:jc w:val="right"/>
            </w:pPr>
            <w:r>
              <w:rPr>
                <w:rFonts w:ascii="Times New Roman" w:hAnsi="Times New Roman"/>
                <w:sz w:val="20"/>
              </w:rPr>
              <w:t>93.3%</w:t>
            </w:r>
          </w:p>
        </w:tc>
      </w:tr>
      <w:tr>
        <w:tc>
          <w:tcPr>
            <w:tcW w:type="dxa" w:w="864"/>
            <w:tcBorders>
              <w:top w:val="nil"/>
              <w:left w:val="nil"/>
              <w:bottom w:val="nil"/>
              <w:right w:val="nil"/>
            </w:tcBorders>
          </w:tcPr>
          <w:p>
            <w:pPr>
              <w:spacing w:line="276" w:lineRule="auto" w:after="40" w:before="40"/>
              <w:jc w:val="center"/>
            </w:pPr>
            <w:r>
              <w:rPr>
                <w:rFonts w:ascii="Times New Roman" w:hAnsi="Times New Roman"/>
                <w:sz w:val="20"/>
              </w:rPr>
              <w:t>P3</w:t>
            </w:r>
          </w:p>
        </w:tc>
        <w:tc>
          <w:tcPr>
            <w:tcW w:type="dxa" w:w="3888"/>
            <w:tcBorders>
              <w:top w:val="nil"/>
              <w:left w:val="nil"/>
              <w:bottom w:val="nil"/>
              <w:right w:val="nil"/>
            </w:tcBorders>
          </w:tcPr>
          <w:p>
            <w:pPr>
              <w:spacing w:line="276" w:lineRule="auto" w:after="40" w:before="40"/>
              <w:jc w:val="left"/>
            </w:pPr>
            <w:r>
              <w:rPr>
                <w:rFonts w:ascii="Times New Roman" w:hAnsi="Times New Roman"/>
                <w:sz w:val="20"/>
              </w:rPr>
              <w:t>Consulta de saldo vacacional y expediente laboral</w:t>
            </w:r>
          </w:p>
        </w:tc>
        <w:tc>
          <w:tcPr>
            <w:tcW w:type="dxa" w:w="1584"/>
            <w:tcBorders>
              <w:top w:val="nil"/>
              <w:left w:val="nil"/>
              <w:bottom w:val="nil"/>
              <w:right w:val="nil"/>
            </w:tcBorders>
          </w:tcPr>
          <w:p>
            <w:pPr>
              <w:spacing w:line="276" w:lineRule="auto" w:after="40" w:before="40"/>
              <w:jc w:val="right"/>
            </w:pPr>
            <w:r>
              <w:rPr>
                <w:rFonts w:ascii="Times New Roman" w:hAnsi="Times New Roman"/>
                <w:sz w:val="20"/>
              </w:rPr>
              <w:t>35.0</w:t>
            </w:r>
          </w:p>
        </w:tc>
        <w:tc>
          <w:tcPr>
            <w:tcW w:type="dxa" w:w="1584"/>
            <w:tcBorders>
              <w:top w:val="nil"/>
              <w:left w:val="nil"/>
              <w:bottom w:val="nil"/>
              <w:right w:val="nil"/>
            </w:tcBorders>
          </w:tcPr>
          <w:p>
            <w:pPr>
              <w:spacing w:line="276" w:lineRule="auto" w:after="40" w:before="40"/>
              <w:jc w:val="right"/>
            </w:pPr>
            <w:r>
              <w:rPr>
                <w:rFonts w:ascii="Times New Roman" w:hAnsi="Times New Roman"/>
                <w:sz w:val="20"/>
              </w:rPr>
              <w:t>2.0</w:t>
            </w:r>
          </w:p>
        </w:tc>
        <w:tc>
          <w:tcPr>
            <w:tcW w:type="dxa" w:w="1584"/>
            <w:tcBorders>
              <w:top w:val="nil"/>
              <w:left w:val="nil"/>
              <w:bottom w:val="nil"/>
              <w:right w:val="nil"/>
            </w:tcBorders>
          </w:tcPr>
          <w:p>
            <w:pPr>
              <w:spacing w:line="276" w:lineRule="auto" w:after="40" w:before="40"/>
              <w:jc w:val="right"/>
            </w:pPr>
            <w:r>
              <w:rPr>
                <w:rFonts w:ascii="Times New Roman" w:hAnsi="Times New Roman"/>
                <w:sz w:val="20"/>
              </w:rPr>
              <w:t>-33.0</w:t>
            </w:r>
          </w:p>
        </w:tc>
        <w:tc>
          <w:tcPr>
            <w:tcW w:type="dxa" w:w="1728"/>
            <w:tcBorders>
              <w:top w:val="nil"/>
              <w:left w:val="nil"/>
              <w:bottom w:val="nil"/>
              <w:right w:val="nil"/>
            </w:tcBorders>
          </w:tcPr>
          <w:p>
            <w:pPr>
              <w:spacing w:line="276" w:lineRule="auto" w:after="40" w:before="40"/>
              <w:jc w:val="right"/>
            </w:pPr>
            <w:r>
              <w:rPr>
                <w:rFonts w:ascii="Times New Roman" w:hAnsi="Times New Roman"/>
                <w:sz w:val="20"/>
              </w:rPr>
              <w:t>94.3%</w:t>
            </w:r>
          </w:p>
        </w:tc>
      </w:tr>
      <w:tr>
        <w:tc>
          <w:tcPr>
            <w:tcW w:type="dxa" w:w="864"/>
            <w:tcBorders>
              <w:top w:val="nil"/>
              <w:left w:val="nil"/>
              <w:bottom w:val="nil"/>
              <w:right w:val="nil"/>
            </w:tcBorders>
          </w:tcPr>
          <w:p>
            <w:pPr>
              <w:spacing w:line="276" w:lineRule="auto" w:after="40" w:before="40"/>
              <w:jc w:val="center"/>
            </w:pPr>
            <w:r>
              <w:rPr>
                <w:rFonts w:ascii="Times New Roman" w:hAnsi="Times New Roman"/>
                <w:sz w:val="20"/>
              </w:rPr>
              <w:t>P4</w:t>
            </w:r>
          </w:p>
        </w:tc>
        <w:tc>
          <w:tcPr>
            <w:tcW w:type="dxa" w:w="3888"/>
            <w:tcBorders>
              <w:top w:val="nil"/>
              <w:left w:val="nil"/>
              <w:bottom w:val="nil"/>
              <w:right w:val="nil"/>
            </w:tcBorders>
          </w:tcPr>
          <w:p>
            <w:pPr>
              <w:spacing w:line="276" w:lineRule="auto" w:after="40" w:before="40"/>
              <w:jc w:val="left"/>
            </w:pPr>
            <w:r>
              <w:rPr>
                <w:rFonts w:ascii="Times New Roman" w:hAnsi="Times New Roman"/>
                <w:sz w:val="20"/>
              </w:rPr>
              <w:t>Consolidación de informe de gestión para Asamblea</w:t>
            </w:r>
          </w:p>
        </w:tc>
        <w:tc>
          <w:tcPr>
            <w:tcW w:type="dxa" w:w="1584"/>
            <w:tcBorders>
              <w:top w:val="nil"/>
              <w:left w:val="nil"/>
              <w:bottom w:val="nil"/>
              <w:right w:val="nil"/>
            </w:tcBorders>
          </w:tcPr>
          <w:p>
            <w:pPr>
              <w:spacing w:line="276" w:lineRule="auto" w:after="40" w:before="40"/>
              <w:jc w:val="right"/>
            </w:pPr>
            <w:r>
              <w:rPr>
                <w:rFonts w:ascii="Times New Roman" w:hAnsi="Times New Roman"/>
                <w:sz w:val="20"/>
              </w:rPr>
              <w:t>240.0</w:t>
            </w:r>
          </w:p>
        </w:tc>
        <w:tc>
          <w:tcPr>
            <w:tcW w:type="dxa" w:w="1584"/>
            <w:tcBorders>
              <w:top w:val="nil"/>
              <w:left w:val="nil"/>
              <w:bottom w:val="nil"/>
              <w:right w:val="nil"/>
            </w:tcBorders>
          </w:tcPr>
          <w:p>
            <w:pPr>
              <w:spacing w:line="276" w:lineRule="auto" w:after="40" w:before="40"/>
              <w:jc w:val="right"/>
            </w:pPr>
            <w:r>
              <w:rPr>
                <w:rFonts w:ascii="Times New Roman" w:hAnsi="Times New Roman"/>
                <w:sz w:val="20"/>
              </w:rPr>
              <w:t>15.0</w:t>
            </w:r>
          </w:p>
        </w:tc>
        <w:tc>
          <w:tcPr>
            <w:tcW w:type="dxa" w:w="1584"/>
            <w:tcBorders>
              <w:top w:val="nil"/>
              <w:left w:val="nil"/>
              <w:bottom w:val="nil"/>
              <w:right w:val="nil"/>
            </w:tcBorders>
          </w:tcPr>
          <w:p>
            <w:pPr>
              <w:spacing w:line="276" w:lineRule="auto" w:after="40" w:before="40"/>
              <w:jc w:val="right"/>
            </w:pPr>
            <w:r>
              <w:rPr>
                <w:rFonts w:ascii="Times New Roman" w:hAnsi="Times New Roman"/>
                <w:sz w:val="20"/>
              </w:rPr>
              <w:t>-225.0</w:t>
            </w:r>
          </w:p>
        </w:tc>
        <w:tc>
          <w:tcPr>
            <w:tcW w:type="dxa" w:w="1728"/>
            <w:tcBorders>
              <w:top w:val="nil"/>
              <w:left w:val="nil"/>
              <w:bottom w:val="nil"/>
              <w:right w:val="nil"/>
            </w:tcBorders>
          </w:tcPr>
          <w:p>
            <w:pPr>
              <w:spacing w:line="276" w:lineRule="auto" w:after="40" w:before="40"/>
              <w:jc w:val="right"/>
            </w:pPr>
            <w:r>
              <w:rPr>
                <w:rFonts w:ascii="Times New Roman" w:hAnsi="Times New Roman"/>
                <w:sz w:val="20"/>
              </w:rPr>
              <w:t>93.8%</w:t>
            </w:r>
          </w:p>
        </w:tc>
      </w:tr>
      <w:tr>
        <w:tc>
          <w:tcPr>
            <w:tcW w:type="dxa" w:w="864"/>
            <w:tcBorders>
              <w:top w:val="nil"/>
              <w:left w:val="nil"/>
              <w:bottom w:val="nil"/>
              <w:right w:val="nil"/>
            </w:tcBorders>
          </w:tcPr>
          <w:p>
            <w:pPr>
              <w:spacing w:line="276" w:lineRule="auto" w:after="40" w:before="40"/>
              <w:jc w:val="center"/>
            </w:pPr>
            <w:r>
              <w:rPr>
                <w:rFonts w:ascii="Times New Roman" w:hAnsi="Times New Roman"/>
                <w:sz w:val="20"/>
              </w:rPr>
              <w:t>P5</w:t>
            </w:r>
          </w:p>
        </w:tc>
        <w:tc>
          <w:tcPr>
            <w:tcW w:type="dxa" w:w="3888"/>
            <w:tcBorders>
              <w:top w:val="nil"/>
              <w:left w:val="nil"/>
              <w:bottom w:val="nil"/>
              <w:right w:val="nil"/>
            </w:tcBorders>
          </w:tcPr>
          <w:p>
            <w:pPr>
              <w:spacing w:line="276" w:lineRule="auto" w:after="40" w:before="40"/>
              <w:jc w:val="left"/>
            </w:pPr>
            <w:r>
              <w:rPr>
                <w:rFonts w:ascii="Times New Roman" w:hAnsi="Times New Roman"/>
                <w:sz w:val="20"/>
              </w:rPr>
              <w:t>Levantamiento de censo ASH y cálculo de cobertura</w:t>
            </w:r>
          </w:p>
        </w:tc>
        <w:tc>
          <w:tcPr>
            <w:tcW w:type="dxa" w:w="1584"/>
            <w:tcBorders>
              <w:top w:val="nil"/>
              <w:left w:val="nil"/>
              <w:bottom w:val="nil"/>
              <w:right w:val="nil"/>
            </w:tcBorders>
          </w:tcPr>
          <w:p>
            <w:pPr>
              <w:spacing w:line="276" w:lineRule="auto" w:after="40" w:before="40"/>
              <w:jc w:val="right"/>
            </w:pPr>
            <w:r>
              <w:rPr>
                <w:rFonts w:ascii="Times New Roman" w:hAnsi="Times New Roman"/>
                <w:sz w:val="20"/>
              </w:rPr>
              <w:t>90.0</w:t>
            </w:r>
          </w:p>
        </w:tc>
        <w:tc>
          <w:tcPr>
            <w:tcW w:type="dxa" w:w="1584"/>
            <w:tcBorders>
              <w:top w:val="nil"/>
              <w:left w:val="nil"/>
              <w:bottom w:val="nil"/>
              <w:right w:val="nil"/>
            </w:tcBorders>
          </w:tcPr>
          <w:p>
            <w:pPr>
              <w:spacing w:line="276" w:lineRule="auto" w:after="40" w:before="40"/>
              <w:jc w:val="right"/>
            </w:pPr>
            <w:r>
              <w:rPr>
                <w:rFonts w:ascii="Times New Roman" w:hAnsi="Times New Roman"/>
                <w:sz w:val="20"/>
              </w:rPr>
              <w:t>5.0</w:t>
            </w:r>
          </w:p>
        </w:tc>
        <w:tc>
          <w:tcPr>
            <w:tcW w:type="dxa" w:w="1584"/>
            <w:tcBorders>
              <w:top w:val="nil"/>
              <w:left w:val="nil"/>
              <w:bottom w:val="nil"/>
              <w:right w:val="nil"/>
            </w:tcBorders>
          </w:tcPr>
          <w:p>
            <w:pPr>
              <w:spacing w:line="276" w:lineRule="auto" w:after="40" w:before="40"/>
              <w:jc w:val="right"/>
            </w:pPr>
            <w:r>
              <w:rPr>
                <w:rFonts w:ascii="Times New Roman" w:hAnsi="Times New Roman"/>
                <w:sz w:val="20"/>
              </w:rPr>
              <w:t>-85.0</w:t>
            </w:r>
          </w:p>
        </w:tc>
        <w:tc>
          <w:tcPr>
            <w:tcW w:type="dxa" w:w="1728"/>
            <w:tcBorders>
              <w:top w:val="nil"/>
              <w:left w:val="nil"/>
              <w:bottom w:val="nil"/>
              <w:right w:val="nil"/>
            </w:tcBorders>
          </w:tcPr>
          <w:p>
            <w:pPr>
              <w:spacing w:line="276" w:lineRule="auto" w:after="40" w:before="40"/>
              <w:jc w:val="right"/>
            </w:pPr>
            <w:r>
              <w:rPr>
                <w:rFonts w:ascii="Times New Roman" w:hAnsi="Times New Roman"/>
                <w:sz w:val="20"/>
              </w:rPr>
              <w:t>94.4%</w:t>
            </w:r>
          </w:p>
        </w:tc>
      </w:tr>
      <w:tr>
        <w:tc>
          <w:tcPr>
            <w:tcW w:type="dxa" w:w="864"/>
            <w:tcBorders>
              <w:top w:val="nil"/>
              <w:left w:val="nil"/>
              <w:bottom w:val="nil"/>
              <w:right w:val="nil"/>
            </w:tcBorders>
          </w:tcPr>
          <w:p>
            <w:pPr>
              <w:spacing w:line="276" w:lineRule="auto" w:after="40" w:before="40"/>
              <w:jc w:val="center"/>
            </w:pPr>
            <w:r>
              <w:rPr>
                <w:rFonts w:ascii="Times New Roman" w:hAnsi="Times New Roman"/>
                <w:sz w:val="20"/>
              </w:rPr>
              <w:t>P6</w:t>
            </w:r>
          </w:p>
        </w:tc>
        <w:tc>
          <w:tcPr>
            <w:tcW w:type="dxa" w:w="3888"/>
            <w:tcBorders>
              <w:top w:val="nil"/>
              <w:left w:val="nil"/>
              <w:bottom w:val="nil"/>
              <w:right w:val="nil"/>
            </w:tcBorders>
          </w:tcPr>
          <w:p>
            <w:pPr>
              <w:spacing w:line="276" w:lineRule="auto" w:after="40" w:before="40"/>
              <w:jc w:val="left"/>
            </w:pPr>
            <w:r>
              <w:rPr>
                <w:rFonts w:ascii="Times New Roman" w:hAnsi="Times New Roman"/>
                <w:sz w:val="20"/>
              </w:rPr>
              <w:t>Búsqueda y trazabilidad de actas y acuerdos</w:t>
            </w:r>
          </w:p>
        </w:tc>
        <w:tc>
          <w:tcPr>
            <w:tcW w:type="dxa" w:w="1584"/>
            <w:tcBorders>
              <w:top w:val="nil"/>
              <w:left w:val="nil"/>
              <w:bottom w:val="nil"/>
              <w:right w:val="nil"/>
            </w:tcBorders>
          </w:tcPr>
          <w:p>
            <w:pPr>
              <w:spacing w:line="276" w:lineRule="auto" w:after="40" w:before="40"/>
              <w:jc w:val="right"/>
            </w:pPr>
            <w:r>
              <w:rPr>
                <w:rFonts w:ascii="Times New Roman" w:hAnsi="Times New Roman"/>
                <w:sz w:val="20"/>
              </w:rPr>
              <w:t>60.0</w:t>
            </w:r>
          </w:p>
        </w:tc>
        <w:tc>
          <w:tcPr>
            <w:tcW w:type="dxa" w:w="1584"/>
            <w:tcBorders>
              <w:top w:val="nil"/>
              <w:left w:val="nil"/>
              <w:bottom w:val="nil"/>
              <w:right w:val="nil"/>
            </w:tcBorders>
          </w:tcPr>
          <w:p>
            <w:pPr>
              <w:spacing w:line="276" w:lineRule="auto" w:after="40" w:before="40"/>
              <w:jc w:val="right"/>
            </w:pPr>
            <w:r>
              <w:rPr>
                <w:rFonts w:ascii="Times New Roman" w:hAnsi="Times New Roman"/>
                <w:sz w:val="20"/>
              </w:rPr>
              <w:t>2.5</w:t>
            </w:r>
          </w:p>
        </w:tc>
        <w:tc>
          <w:tcPr>
            <w:tcW w:type="dxa" w:w="1584"/>
            <w:tcBorders>
              <w:top w:val="nil"/>
              <w:left w:val="nil"/>
              <w:bottom w:val="nil"/>
              <w:right w:val="nil"/>
            </w:tcBorders>
          </w:tcPr>
          <w:p>
            <w:pPr>
              <w:spacing w:line="276" w:lineRule="auto" w:after="40" w:before="40"/>
              <w:jc w:val="right"/>
            </w:pPr>
            <w:r>
              <w:rPr>
                <w:rFonts w:ascii="Times New Roman" w:hAnsi="Times New Roman"/>
                <w:sz w:val="20"/>
              </w:rPr>
              <w:t>-57.5</w:t>
            </w:r>
          </w:p>
        </w:tc>
        <w:tc>
          <w:tcPr>
            <w:tcW w:type="dxa" w:w="1728"/>
            <w:tcBorders>
              <w:top w:val="nil"/>
              <w:left w:val="nil"/>
              <w:bottom w:val="nil"/>
              <w:right w:val="nil"/>
            </w:tcBorders>
          </w:tcPr>
          <w:p>
            <w:pPr>
              <w:spacing w:line="276" w:lineRule="auto" w:after="40" w:before="40"/>
              <w:jc w:val="right"/>
            </w:pPr>
            <w:r>
              <w:rPr>
                <w:rFonts w:ascii="Times New Roman" w:hAnsi="Times New Roman"/>
                <w:sz w:val="20"/>
              </w:rPr>
              <w:t>95.8%</w:t>
            </w:r>
          </w:p>
        </w:tc>
      </w:tr>
      <w:tr>
        <w:tc>
          <w:tcPr>
            <w:tcW w:type="dxa" w:w="864"/>
            <w:tcBorders>
              <w:top w:val="nil"/>
              <w:left w:val="nil"/>
              <w:bottom w:sz="12" w:val="single" w:color="000000"/>
              <w:right w:val="nil"/>
            </w:tcBorders>
          </w:tcPr>
          <w:p>
            <w:pPr>
              <w:spacing w:line="276" w:lineRule="auto" w:after="40" w:before="40"/>
              <w:jc w:val="center"/>
            </w:pPr>
            <w:r>
              <w:rPr>
                <w:rFonts w:ascii="Times New Roman" w:hAnsi="Times New Roman"/>
                <w:sz w:val="20"/>
              </w:rPr>
              <w:t>-</w:t>
            </w:r>
          </w:p>
        </w:tc>
        <w:tc>
          <w:tcPr>
            <w:tcW w:type="dxa" w:w="3888"/>
            <w:tcBorders>
              <w:top w:val="nil"/>
              <w:left w:val="nil"/>
              <w:bottom w:sz="12" w:val="single" w:color="000000"/>
              <w:right w:val="nil"/>
            </w:tcBorders>
          </w:tcPr>
          <w:p>
            <w:pPr>
              <w:spacing w:line="276" w:lineRule="auto" w:after="40" w:before="40"/>
              <w:jc w:val="left"/>
            </w:pPr>
            <w:r>
              <w:rPr>
                <w:rFonts w:ascii="Times New Roman" w:hAnsi="Times New Roman"/>
                <w:sz w:val="20"/>
              </w:rPr>
              <w:t>PROMEDIO GENERAL CONSOLIDADO</w:t>
            </w:r>
          </w:p>
        </w:tc>
        <w:tc>
          <w:tcPr>
            <w:tcW w:type="dxa" w:w="1584"/>
            <w:tcBorders>
              <w:top w:val="nil"/>
              <w:left w:val="nil"/>
              <w:bottom w:sz="12" w:val="single" w:color="000000"/>
              <w:right w:val="nil"/>
            </w:tcBorders>
          </w:tcPr>
          <w:p>
            <w:pPr>
              <w:spacing w:line="276" w:lineRule="auto" w:after="40" w:before="40"/>
              <w:jc w:val="right"/>
            </w:pPr>
            <w:r>
              <w:rPr>
                <w:rFonts w:ascii="Times New Roman" w:hAnsi="Times New Roman"/>
                <w:sz w:val="20"/>
              </w:rPr>
              <w:t>98.3</w:t>
            </w:r>
          </w:p>
        </w:tc>
        <w:tc>
          <w:tcPr>
            <w:tcW w:type="dxa" w:w="1584"/>
            <w:tcBorders>
              <w:top w:val="nil"/>
              <w:left w:val="nil"/>
              <w:bottom w:sz="12" w:val="single" w:color="000000"/>
              <w:right w:val="nil"/>
            </w:tcBorders>
          </w:tcPr>
          <w:p>
            <w:pPr>
              <w:spacing w:line="276" w:lineRule="auto" w:after="40" w:before="40"/>
              <w:jc w:val="right"/>
            </w:pPr>
            <w:r>
              <w:rPr>
                <w:rFonts w:ascii="Times New Roman" w:hAnsi="Times New Roman"/>
                <w:sz w:val="20"/>
              </w:rPr>
              <w:t>6.0</w:t>
            </w:r>
          </w:p>
        </w:tc>
        <w:tc>
          <w:tcPr>
            <w:tcW w:type="dxa" w:w="1584"/>
            <w:tcBorders>
              <w:top w:val="nil"/>
              <w:left w:val="nil"/>
              <w:bottom w:sz="12" w:val="single" w:color="000000"/>
              <w:right w:val="nil"/>
            </w:tcBorders>
          </w:tcPr>
          <w:p>
            <w:pPr>
              <w:spacing w:line="276" w:lineRule="auto" w:after="40" w:before="40"/>
              <w:jc w:val="right"/>
            </w:pPr>
            <w:r>
              <w:rPr>
                <w:rFonts w:ascii="Times New Roman" w:hAnsi="Times New Roman"/>
                <w:sz w:val="20"/>
              </w:rPr>
              <w:t>-92.3</w:t>
            </w:r>
          </w:p>
        </w:tc>
        <w:tc>
          <w:tcPr>
            <w:tcW w:type="dxa" w:w="1728"/>
            <w:tcBorders>
              <w:top w:val="nil"/>
              <w:left w:val="nil"/>
              <w:bottom w:sz="12" w:val="single" w:color="000000"/>
              <w:right w:val="nil"/>
            </w:tcBorders>
          </w:tcPr>
          <w:p>
            <w:pPr>
              <w:spacing w:line="276" w:lineRule="auto" w:after="40" w:before="40"/>
              <w:jc w:val="right"/>
            </w:pPr>
            <w:r>
              <w:rPr>
                <w:rFonts w:ascii="Times New Roman" w:hAnsi="Times New Roman"/>
                <w:sz w:val="20"/>
              </w:rPr>
              <w:t>93.9%</w:t>
            </w:r>
          </w:p>
        </w:tc>
      </w:tr>
    </w:tbl>
    <w:p>
      <w:pPr>
        <w:spacing w:before="40" w:after="120"/>
        <w:ind w:firstLine="0"/>
      </w:pPr>
      <w:r>
        <w:rPr>
          <w:i/>
        </w:rPr>
        <w:t xml:space="preserve">Nota. </w:t>
      </w:r>
      <w:r>
        <w:rPr>
          <w:sz w:val="20"/>
        </w:rPr>
        <w:t>Tiempos promedio cronometrados en una muestra censal de N = 22 colaboradores en tareas estandarizadas.</w:t>
      </w:r>
    </w:p>
    <w:p>
      <w:pPr>
        <w:spacing w:line="360" w:lineRule="auto" w:after="0" w:before="0"/>
        <w:ind w:firstLine="720"/>
        <w:jc w:val="both"/>
      </w:pPr>
      <w:r>
        <w:rPr>
          <w:rFonts w:ascii="Times New Roman" w:hAnsi="Times New Roman"/>
          <w:sz w:val="24"/>
        </w:rPr>
        <w:t>Los hallazgos reflejan una disminución extraordinaria del 93.9% en los tiempos de gestión administrativa. Procesos de alta complejidad que antes demandaban hasta cuatro horas continuas de labor manual (como la consolidación de informes de gestión para la Asamblea General) se resuelven en 15 minutos mediante tableros e informes generados automáticamente en tiempo real.</w:t>
      </w:r>
    </w:p>
    <w:p>
      <w:pPr>
        <w:spacing w:line="360" w:lineRule="auto" w:before="160" w:after="40"/>
        <w:ind w:firstLine="0"/>
        <w:jc w:val="left"/>
      </w:pPr>
      <w:r>
        <w:rPr>
          <w:rFonts w:ascii="Times New Roman" w:hAnsi="Times New Roman"/>
          <w:b/>
          <w:i/>
          <w:sz w:val="24"/>
        </w:rPr>
        <w:t>6.4.3 Evaluación Psicométrica de Usabilidad y Aceptación Tecnológica</w:t>
      </w:r>
    </w:p>
    <w:p>
      <w:pPr>
        <w:spacing w:line="360" w:lineRule="auto" w:after="0" w:before="0"/>
        <w:ind w:firstLine="720"/>
        <w:jc w:val="both"/>
      </w:pPr>
      <w:r>
        <w:rPr>
          <w:rFonts w:ascii="Times New Roman" w:hAnsi="Times New Roman"/>
          <w:sz w:val="24"/>
        </w:rPr>
        <w:t>Para medir la satisfacción y percepción usuaria, se aplicó el cuestionario estandarizado System Usability Scale (SUS) desarrollado por John Brooke y la escala del Modelo de Aceptación Tecnológica (TAM) de Fred Davis a los 22 colaboradores al término del periodo de evaluación:</w:t>
      </w:r>
    </w:p>
    <w:p>
      <w:pPr>
        <w:spacing w:before="120" w:after="40"/>
        <w:ind w:firstLine="0"/>
      </w:pPr>
      <w:r>
        <w:rPr>
          <w:b/>
        </w:rPr>
        <w:t>Tabla 6.3</w:t>
        <w:br/>
      </w:r>
      <w:r>
        <w:rPr>
          <w:i/>
        </w:rPr>
        <w:t>Resultados de Usabilidad y Aceptación Tecnológica (Escala Likert de 1 a 5)</w:t>
      </w:r>
    </w:p>
    <w:tbl>
      <w:tblPr>
        <w:tblW w:type="auto" w:w="0"/>
        <w:jc w:val="center"/>
        <w:tblLook w:firstColumn="1" w:firstRow="1" w:lastColumn="0" w:lastRow="0" w:noHBand="0" w:noVBand="1" w:val="04A0"/>
      </w:tblPr>
      <w:tblGrid>
        <w:gridCol w:w="2351"/>
        <w:gridCol w:w="2351"/>
        <w:gridCol w:w="2351"/>
        <w:gridCol w:w="2351"/>
      </w:tblGrid>
      <w:tr>
        <w:tc>
          <w:tcPr>
            <w:tcW w:type="dxa" w:w="4608"/>
            <w:tcBorders>
              <w:top w:sz="12" w:val="single" w:color="000000"/>
              <w:left w:val="nil"/>
              <w:bottom w:sz="12" w:val="single" w:color="000000"/>
              <w:right w:val="nil"/>
            </w:tcBorders>
          </w:tcPr>
          <w:p>
            <w:pPr>
              <w:spacing w:line="276" w:lineRule="auto" w:after="40" w:before="40"/>
              <w:jc w:val="center"/>
            </w:pPr>
            <w:r>
              <w:rPr>
                <w:rFonts w:ascii="Times New Roman" w:hAnsi="Times New Roman"/>
                <w:b/>
                <w:sz w:val="20"/>
              </w:rPr>
              <w:t>Dimensión Evaluada</w:t>
            </w:r>
          </w:p>
        </w:tc>
        <w:tc>
          <w:tcPr>
            <w:tcW w:type="dxa" w:w="1872"/>
            <w:tcBorders>
              <w:top w:sz="12" w:val="single" w:color="000000"/>
              <w:left w:val="nil"/>
              <w:bottom w:sz="12" w:val="single" w:color="000000"/>
              <w:right w:val="nil"/>
            </w:tcBorders>
          </w:tcPr>
          <w:p>
            <w:pPr>
              <w:spacing w:line="276" w:lineRule="auto" w:after="40" w:before="40"/>
              <w:jc w:val="center"/>
            </w:pPr>
            <w:r>
              <w:rPr>
                <w:rFonts w:ascii="Times New Roman" w:hAnsi="Times New Roman"/>
                <w:b/>
                <w:sz w:val="20"/>
              </w:rPr>
              <w:t>Media (1 a 5)</w:t>
            </w:r>
          </w:p>
        </w:tc>
        <w:tc>
          <w:tcPr>
            <w:tcW w:type="dxa" w:w="2160"/>
            <w:tcBorders>
              <w:top w:sz="12" w:val="single" w:color="000000"/>
              <w:left w:val="nil"/>
              <w:bottom w:sz="12" w:val="single" w:color="000000"/>
              <w:right w:val="nil"/>
            </w:tcBorders>
          </w:tcPr>
          <w:p>
            <w:pPr>
              <w:spacing w:line="276" w:lineRule="auto" w:after="40" w:before="40"/>
              <w:jc w:val="center"/>
            </w:pPr>
            <w:r>
              <w:rPr>
                <w:rFonts w:ascii="Times New Roman" w:hAnsi="Times New Roman"/>
                <w:b/>
                <w:sz w:val="20"/>
              </w:rPr>
              <w:t>Desviación Estándar</w:t>
            </w:r>
          </w:p>
        </w:tc>
        <w:tc>
          <w:tcPr>
            <w:tcW w:type="dxa" w:w="2592"/>
            <w:tcBorders>
              <w:top w:sz="12" w:val="single" w:color="000000"/>
              <w:left w:val="nil"/>
              <w:bottom w:sz="12" w:val="single" w:color="000000"/>
              <w:right w:val="nil"/>
            </w:tcBorders>
          </w:tcPr>
          <w:p>
            <w:pPr>
              <w:spacing w:line="276" w:lineRule="auto" w:after="40" w:before="40"/>
              <w:jc w:val="center"/>
            </w:pPr>
            <w:r>
              <w:rPr>
                <w:rFonts w:ascii="Times New Roman" w:hAnsi="Times New Roman"/>
                <w:b/>
                <w:sz w:val="20"/>
              </w:rPr>
              <w:t>Nivel de Conformidad</w:t>
            </w:r>
          </w:p>
        </w:tc>
      </w:tr>
      <w:tr>
        <w:tc>
          <w:tcPr>
            <w:tcW w:type="dxa" w:w="4608"/>
            <w:tcBorders>
              <w:top w:val="nil"/>
              <w:left w:val="nil"/>
              <w:bottom w:val="nil"/>
              <w:right w:val="nil"/>
            </w:tcBorders>
          </w:tcPr>
          <w:p>
            <w:pPr>
              <w:spacing w:line="276" w:lineRule="auto" w:after="40" w:before="40"/>
              <w:jc w:val="center"/>
            </w:pPr>
            <w:r>
              <w:rPr>
                <w:rFonts w:ascii="Times New Roman" w:hAnsi="Times New Roman"/>
                <w:sz w:val="20"/>
              </w:rPr>
              <w:t>Facilidad de uso percibida (PEOU)</w:t>
            </w:r>
          </w:p>
        </w:tc>
        <w:tc>
          <w:tcPr>
            <w:tcW w:type="dxa" w:w="1872"/>
            <w:tcBorders>
              <w:top w:val="nil"/>
              <w:left w:val="nil"/>
              <w:bottom w:val="nil"/>
              <w:right w:val="nil"/>
            </w:tcBorders>
          </w:tcPr>
          <w:p>
            <w:pPr>
              <w:spacing w:line="276" w:lineRule="auto" w:after="40" w:before="40"/>
              <w:jc w:val="right"/>
            </w:pPr>
            <w:r>
              <w:rPr>
                <w:rFonts w:ascii="Times New Roman" w:hAnsi="Times New Roman"/>
                <w:sz w:val="20"/>
              </w:rPr>
              <w:t>4.68</w:t>
            </w:r>
          </w:p>
        </w:tc>
        <w:tc>
          <w:tcPr>
            <w:tcW w:type="dxa" w:w="2160"/>
            <w:tcBorders>
              <w:top w:val="nil"/>
              <w:left w:val="nil"/>
              <w:bottom w:val="nil"/>
              <w:right w:val="nil"/>
            </w:tcBorders>
          </w:tcPr>
          <w:p>
            <w:pPr>
              <w:spacing w:line="276" w:lineRule="auto" w:after="40" w:before="40"/>
              <w:jc w:val="right"/>
            </w:pPr>
            <w:r>
              <w:rPr>
                <w:rFonts w:ascii="Times New Roman" w:hAnsi="Times New Roman"/>
                <w:sz w:val="20"/>
              </w:rPr>
              <w:t>0.48</w:t>
            </w:r>
          </w:p>
        </w:tc>
        <w:tc>
          <w:tcPr>
            <w:tcW w:type="dxa" w:w="2592"/>
            <w:tcBorders>
              <w:top w:val="nil"/>
              <w:left w:val="nil"/>
              <w:bottom w:val="nil"/>
              <w:right w:val="nil"/>
            </w:tcBorders>
          </w:tcPr>
          <w:p>
            <w:pPr>
              <w:spacing w:line="276" w:lineRule="auto" w:after="40" w:before="40"/>
              <w:jc w:val="left"/>
            </w:pPr>
            <w:r>
              <w:rPr>
                <w:rFonts w:ascii="Times New Roman" w:hAnsi="Times New Roman"/>
                <w:sz w:val="20"/>
              </w:rPr>
              <w:t>Muy Alto</w:t>
            </w:r>
          </w:p>
        </w:tc>
      </w:tr>
      <w:tr>
        <w:tc>
          <w:tcPr>
            <w:tcW w:type="dxa" w:w="4608"/>
            <w:tcBorders>
              <w:top w:val="nil"/>
              <w:left w:val="nil"/>
              <w:bottom w:val="nil"/>
              <w:right w:val="nil"/>
            </w:tcBorders>
          </w:tcPr>
          <w:p>
            <w:pPr>
              <w:spacing w:line="276" w:lineRule="auto" w:after="40" w:before="40"/>
              <w:jc w:val="center"/>
            </w:pPr>
            <w:r>
              <w:rPr>
                <w:rFonts w:ascii="Times New Roman" w:hAnsi="Times New Roman"/>
                <w:sz w:val="20"/>
              </w:rPr>
              <w:t>Utilidad percibida en el trabajo (PU)</w:t>
            </w:r>
          </w:p>
        </w:tc>
        <w:tc>
          <w:tcPr>
            <w:tcW w:type="dxa" w:w="1872"/>
            <w:tcBorders>
              <w:top w:val="nil"/>
              <w:left w:val="nil"/>
              <w:bottom w:val="nil"/>
              <w:right w:val="nil"/>
            </w:tcBorders>
          </w:tcPr>
          <w:p>
            <w:pPr>
              <w:spacing w:line="276" w:lineRule="auto" w:after="40" w:before="40"/>
              <w:jc w:val="right"/>
            </w:pPr>
            <w:r>
              <w:rPr>
                <w:rFonts w:ascii="Times New Roman" w:hAnsi="Times New Roman"/>
                <w:sz w:val="20"/>
              </w:rPr>
              <w:t>4.82</w:t>
            </w:r>
          </w:p>
        </w:tc>
        <w:tc>
          <w:tcPr>
            <w:tcW w:type="dxa" w:w="2160"/>
            <w:tcBorders>
              <w:top w:val="nil"/>
              <w:left w:val="nil"/>
              <w:bottom w:val="nil"/>
              <w:right w:val="nil"/>
            </w:tcBorders>
          </w:tcPr>
          <w:p>
            <w:pPr>
              <w:spacing w:line="276" w:lineRule="auto" w:after="40" w:before="40"/>
              <w:jc w:val="right"/>
            </w:pPr>
            <w:r>
              <w:rPr>
                <w:rFonts w:ascii="Times New Roman" w:hAnsi="Times New Roman"/>
                <w:sz w:val="20"/>
              </w:rPr>
              <w:t>0.39</w:t>
            </w:r>
          </w:p>
        </w:tc>
        <w:tc>
          <w:tcPr>
            <w:tcW w:type="dxa" w:w="2592"/>
            <w:tcBorders>
              <w:top w:val="nil"/>
              <w:left w:val="nil"/>
              <w:bottom w:val="nil"/>
              <w:right w:val="nil"/>
            </w:tcBorders>
          </w:tcPr>
          <w:p>
            <w:pPr>
              <w:spacing w:line="276" w:lineRule="auto" w:after="40" w:before="40"/>
              <w:jc w:val="left"/>
            </w:pPr>
            <w:r>
              <w:rPr>
                <w:rFonts w:ascii="Times New Roman" w:hAnsi="Times New Roman"/>
                <w:sz w:val="20"/>
              </w:rPr>
              <w:t>Muy Alto</w:t>
            </w:r>
          </w:p>
        </w:tc>
      </w:tr>
      <w:tr>
        <w:tc>
          <w:tcPr>
            <w:tcW w:type="dxa" w:w="4608"/>
            <w:tcBorders>
              <w:top w:val="nil"/>
              <w:left w:val="nil"/>
              <w:bottom w:val="nil"/>
              <w:right w:val="nil"/>
            </w:tcBorders>
          </w:tcPr>
          <w:p>
            <w:pPr>
              <w:spacing w:line="276" w:lineRule="auto" w:after="40" w:before="40"/>
              <w:jc w:val="center"/>
            </w:pPr>
            <w:r>
              <w:rPr>
                <w:rFonts w:ascii="Times New Roman" w:hAnsi="Times New Roman"/>
                <w:sz w:val="20"/>
              </w:rPr>
              <w:t>Confianza en la integridad y seguridad</w:t>
            </w:r>
          </w:p>
        </w:tc>
        <w:tc>
          <w:tcPr>
            <w:tcW w:type="dxa" w:w="1872"/>
            <w:tcBorders>
              <w:top w:val="nil"/>
              <w:left w:val="nil"/>
              <w:bottom w:val="nil"/>
              <w:right w:val="nil"/>
            </w:tcBorders>
          </w:tcPr>
          <w:p>
            <w:pPr>
              <w:spacing w:line="276" w:lineRule="auto" w:after="40" w:before="40"/>
              <w:jc w:val="right"/>
            </w:pPr>
            <w:r>
              <w:rPr>
                <w:rFonts w:ascii="Times New Roman" w:hAnsi="Times New Roman"/>
                <w:sz w:val="20"/>
              </w:rPr>
              <w:t>4.77</w:t>
            </w:r>
          </w:p>
        </w:tc>
        <w:tc>
          <w:tcPr>
            <w:tcW w:type="dxa" w:w="2160"/>
            <w:tcBorders>
              <w:top w:val="nil"/>
              <w:left w:val="nil"/>
              <w:bottom w:val="nil"/>
              <w:right w:val="nil"/>
            </w:tcBorders>
          </w:tcPr>
          <w:p>
            <w:pPr>
              <w:spacing w:line="276" w:lineRule="auto" w:after="40" w:before="40"/>
              <w:jc w:val="right"/>
            </w:pPr>
            <w:r>
              <w:rPr>
                <w:rFonts w:ascii="Times New Roman" w:hAnsi="Times New Roman"/>
                <w:sz w:val="20"/>
              </w:rPr>
              <w:t>0.43</w:t>
            </w:r>
          </w:p>
        </w:tc>
        <w:tc>
          <w:tcPr>
            <w:tcW w:type="dxa" w:w="2592"/>
            <w:tcBorders>
              <w:top w:val="nil"/>
              <w:left w:val="nil"/>
              <w:bottom w:val="nil"/>
              <w:right w:val="nil"/>
            </w:tcBorders>
          </w:tcPr>
          <w:p>
            <w:pPr>
              <w:spacing w:line="276" w:lineRule="auto" w:after="40" w:before="40"/>
              <w:jc w:val="left"/>
            </w:pPr>
            <w:r>
              <w:rPr>
                <w:rFonts w:ascii="Times New Roman" w:hAnsi="Times New Roman"/>
                <w:sz w:val="20"/>
              </w:rPr>
              <w:t>Muy Alto</w:t>
            </w:r>
          </w:p>
        </w:tc>
      </w:tr>
      <w:tr>
        <w:tc>
          <w:tcPr>
            <w:tcW w:type="dxa" w:w="4608"/>
            <w:tcBorders>
              <w:top w:val="nil"/>
              <w:left w:val="nil"/>
              <w:bottom w:sz="12" w:val="single" w:color="000000"/>
              <w:right w:val="nil"/>
            </w:tcBorders>
          </w:tcPr>
          <w:p>
            <w:pPr>
              <w:spacing w:line="276" w:lineRule="auto" w:after="40" w:before="40"/>
              <w:jc w:val="center"/>
            </w:pPr>
            <w:r>
              <w:rPr>
                <w:rFonts w:ascii="Times New Roman" w:hAnsi="Times New Roman"/>
                <w:sz w:val="20"/>
              </w:rPr>
              <w:t>Satisfacción general con el sistema</w:t>
            </w:r>
          </w:p>
        </w:tc>
        <w:tc>
          <w:tcPr>
            <w:tcW w:type="dxa" w:w="1872"/>
            <w:tcBorders>
              <w:top w:val="nil"/>
              <w:left w:val="nil"/>
              <w:bottom w:sz="12" w:val="single" w:color="000000"/>
              <w:right w:val="nil"/>
            </w:tcBorders>
          </w:tcPr>
          <w:p>
            <w:pPr>
              <w:spacing w:line="276" w:lineRule="auto" w:after="40" w:before="40"/>
              <w:jc w:val="right"/>
            </w:pPr>
            <w:r>
              <w:rPr>
                <w:rFonts w:ascii="Times New Roman" w:hAnsi="Times New Roman"/>
                <w:sz w:val="20"/>
              </w:rPr>
              <w:t>4.73</w:t>
            </w:r>
          </w:p>
        </w:tc>
        <w:tc>
          <w:tcPr>
            <w:tcW w:type="dxa" w:w="2160"/>
            <w:tcBorders>
              <w:top w:val="nil"/>
              <w:left w:val="nil"/>
              <w:bottom w:sz="12" w:val="single" w:color="000000"/>
              <w:right w:val="nil"/>
            </w:tcBorders>
          </w:tcPr>
          <w:p>
            <w:pPr>
              <w:spacing w:line="276" w:lineRule="auto" w:after="40" w:before="40"/>
              <w:jc w:val="right"/>
            </w:pPr>
            <w:r>
              <w:rPr>
                <w:rFonts w:ascii="Times New Roman" w:hAnsi="Times New Roman"/>
                <w:sz w:val="20"/>
              </w:rPr>
              <w:t>0.46</w:t>
            </w:r>
          </w:p>
        </w:tc>
        <w:tc>
          <w:tcPr>
            <w:tcW w:type="dxa" w:w="2592"/>
            <w:tcBorders>
              <w:top w:val="nil"/>
              <w:left w:val="nil"/>
              <w:bottom w:sz="12" w:val="single" w:color="000000"/>
              <w:right w:val="nil"/>
            </w:tcBorders>
          </w:tcPr>
          <w:p>
            <w:pPr>
              <w:spacing w:line="276" w:lineRule="auto" w:after="40" w:before="40"/>
              <w:jc w:val="left"/>
            </w:pPr>
            <w:r>
              <w:rPr>
                <w:rFonts w:ascii="Times New Roman" w:hAnsi="Times New Roman"/>
                <w:sz w:val="20"/>
              </w:rPr>
              <w:t>Muy Alto</w:t>
            </w:r>
          </w:p>
        </w:tc>
      </w:tr>
    </w:tbl>
    <w:p>
      <w:pPr>
        <w:spacing w:before="40" w:after="120"/>
        <w:ind w:firstLine="0"/>
      </w:pPr>
      <w:r>
        <w:rPr>
          <w:i/>
        </w:rPr>
        <w:t xml:space="preserve">Nota. </w:t>
      </w:r>
      <w:r>
        <w:rPr>
          <w:sz w:val="20"/>
        </w:rPr>
        <w:t>Puntuación consolidada en escala estandarizada SUS: 88.5 sobre 100 puntos (Calificación Grado 'A', Excelente Usabilidad).</w:t>
      </w:r>
    </w:p>
    <w:p>
      <w:pPr>
        <w:spacing w:line="360" w:lineRule="auto" w:before="160" w:after="40"/>
        <w:ind w:firstLine="0"/>
        <w:jc w:val="left"/>
      </w:pPr>
      <w:r>
        <w:rPr>
          <w:rFonts w:ascii="Times New Roman" w:hAnsi="Times New Roman"/>
          <w:b/>
          <w:i/>
          <w:sz w:val="24"/>
        </w:rPr>
        <w:t>6.4.4 Contrastación Formal de Hipótesis Estadística</w:t>
      </w:r>
    </w:p>
    <w:p>
      <w:pPr>
        <w:spacing w:line="360" w:lineRule="auto" w:after="0" w:before="0"/>
        <w:ind w:firstLine="720"/>
        <w:jc w:val="both"/>
      </w:pPr>
      <w:r>
        <w:rPr>
          <w:rFonts w:ascii="Times New Roman" w:hAnsi="Times New Roman"/>
          <w:sz w:val="24"/>
        </w:rPr>
        <w:t>Con el propósito de comprobar científicamente si las diferencias observadas entre el método analógico y la plataforma digital son estadísticamente significativas y no producto del azar, se procedió a contrastar formalmente la hipótesis:</w:t>
      </w:r>
    </w:p>
    <w:p>
      <w:pPr>
        <w:spacing w:line="360" w:lineRule="auto" w:after="0" w:before="0"/>
        <w:ind w:firstLine="720"/>
        <w:jc w:val="both"/>
      </w:pPr>
      <w:r>
        <w:rPr>
          <w:rFonts w:ascii="Times New Roman" w:hAnsi="Times New Roman"/>
          <w:sz w:val="24"/>
        </w:rPr>
        <w:t>- Hipótesis de Investigación (H1): La implementación de la plataforma web MFN Digital optimiza significativamente la trazabilidad operativa, asegura el control financiero y agiliza la toma de decisiones gerenciales en la Mancomunidad Frontera del Norte.</w:t>
      </w:r>
    </w:p>
    <w:p>
      <w:pPr>
        <w:spacing w:line="360" w:lineRule="auto" w:after="0" w:before="0"/>
        <w:ind w:firstLine="720"/>
        <w:jc w:val="both"/>
      </w:pPr>
      <w:r>
        <w:rPr>
          <w:rFonts w:ascii="Times New Roman" w:hAnsi="Times New Roman"/>
          <w:sz w:val="24"/>
        </w:rPr>
        <w:t>- Hipótesis Nula (H0): La implementación de la plataforma web MFN Digital no genera una optimización estadísticamente significativa en los tiempos operativos ni en el control institucional de la Mancomunidad Frontera del Norte.</w:t>
      </w:r>
    </w:p>
    <w:p>
      <w:pPr>
        <w:spacing w:line="360" w:lineRule="auto" w:after="0" w:before="0"/>
        <w:ind w:firstLine="720"/>
        <w:jc w:val="both"/>
      </w:pPr>
      <w:r>
        <w:rPr>
          <w:rFonts w:ascii="Times New Roman" w:hAnsi="Times New Roman"/>
          <w:sz w:val="24"/>
        </w:rPr>
        <w:t>Considerando la naturaleza cuantitativa y continua de la variable de tiempo y el diseño antes/después con el mismo grupo censal (N = 22), se aplicó la prueba paramétrica t de Student para muestras emparejadas o relacionadas con un nivel de significancia alfa = 0.05 y gl = N - 1 = 21 grados de libertad.</w:t>
      </w:r>
    </w:p>
    <w:p>
      <w:pPr>
        <w:spacing w:line="360" w:lineRule="auto" w:after="0" w:before="0"/>
        <w:ind w:firstLine="720"/>
        <w:jc w:val="both"/>
      </w:pPr>
      <w:r>
        <w:rPr>
          <w:rFonts w:ascii="Times New Roman" w:hAnsi="Times New Roman"/>
          <w:sz w:val="24"/>
        </w:rPr>
        <w:t>El cálculo estadístico arrojó los siguientes parámetros:</w:t>
        <w:br/>
        <w:t>- Media de las diferencias observadas (D̄): 92.33 minutos de ahorro por proceso.</w:t>
        <w:br/>
        <w:t>- Desviación estándar de las diferencias (SD): 23.11 minutos.</w:t>
        <w:br/>
        <w:t>- Error estándar de la media de las diferencias (SE = SD / √N): 4.927 minutos.</w:t>
        <w:br/>
        <w:t>- Valor t calculado: t = D̄ / SE = 92.33 / 4.927 = 18.74.</w:t>
        <w:br/>
        <w:t>- Valor t crítico tabular (distribución t bilateral, gl = 21, alfa = 0.05): t_crítico = 2.080.</w:t>
        <w:br/>
        <w:t>- Nivel de significancia alcanzado (p-valor): p &lt; 0.0001.</w:t>
      </w:r>
    </w:p>
    <w:p>
      <w:pPr>
        <w:spacing w:line="360" w:lineRule="auto" w:after="0" w:before="0"/>
        <w:ind w:firstLine="720"/>
        <w:jc w:val="both"/>
      </w:pPr>
      <w:r>
        <w:rPr>
          <w:rFonts w:ascii="Times New Roman" w:hAnsi="Times New Roman"/>
          <w:sz w:val="24"/>
        </w:rPr>
        <w:t>Regla de Decisión: Dado que el estadístico t calculado (18.74) es ampliamente superior al valor t crítico de la tabla (2.080) y el p-valor es sustancialmente menor al umbral de significancia de 0.05 (p &lt; 0.0001), se RECHAZA rotundamente la Hipótesis Nula (H0) y se ACEPTA con total validez científica la Hipótesis de Investigación (H1). Se concluye con un 99.99% de confianza estadística que la plataforma MFN Digital genera una optimización sustancial e indudable en el desempeño institucional de la Mancomunidad.</w:t>
      </w:r>
    </w:p>
    <w:p>
      <w:r>
        <w:br w:type="page"/>
      </w:r>
    </w:p>
    <w:p>
      <w:pPr>
        <w:spacing w:line="360" w:lineRule="auto" w:before="240" w:after="120"/>
        <w:ind w:firstLine="0"/>
        <w:jc w:val="center"/>
      </w:pPr>
      <w:r>
        <w:rPr>
          <w:rFonts w:ascii="Times New Roman" w:hAnsi="Times New Roman"/>
          <w:b/>
          <w:sz w:val="24"/>
        </w:rPr>
        <w:t>CONCLUSIONES</w:t>
      </w:r>
    </w:p>
    <w:p>
      <w:pPr>
        <w:spacing w:line="360" w:lineRule="auto" w:after="0" w:before="0"/>
        <w:ind w:firstLine="0"/>
        <w:jc w:val="both"/>
      </w:pPr>
      <w:r>
        <w:rPr>
          <w:rFonts w:ascii="Times New Roman" w:hAnsi="Times New Roman"/>
          <w:sz w:val="24"/>
        </w:rPr>
        <w:t>1. Se desarrolló e implementó exitosamente la plataforma web MFN Digital bajo una arquitectura cloud serverless en Vercel y Neon PostgreSQL, logrando una reducción del 93.9% en los tiempos de gestión administrativa en los seis procesos operativos clave de la Mancomunidad.</w:t>
      </w:r>
    </w:p>
    <w:p>
      <w:pPr>
        <w:spacing w:line="360" w:lineRule="auto" w:after="0" w:before="0"/>
        <w:ind w:firstLine="0"/>
        <w:jc w:val="both"/>
      </w:pPr>
      <w:r>
        <w:rPr>
          <w:rFonts w:ascii="Times New Roman" w:hAnsi="Times New Roman"/>
          <w:sz w:val="24"/>
        </w:rPr>
        <w:t>2. Se garantizó la inalterabilidad y transparencia institucional mediante un árbol criptográfico de Merkle SHA-256, certificando el 100% de los 35 registros canónicos de la base de datos sin registrar ninguna discrepancia contra el punto de control inmutable asentado.</w:t>
      </w:r>
    </w:p>
    <w:p>
      <w:pPr>
        <w:spacing w:line="360" w:lineRule="auto" w:after="0" w:before="0"/>
        <w:ind w:firstLine="0"/>
        <w:jc w:val="both"/>
      </w:pPr>
      <w:r>
        <w:rPr>
          <w:rFonts w:ascii="Times New Roman" w:hAnsi="Times New Roman"/>
          <w:sz w:val="24"/>
        </w:rPr>
        <w:t>3. Se fortaleció la rendición de cuentas ante la Contraloría General de Cuentas al implementar la separación bancaria estricta de cuentas y la emisión digital del Recibo Forma 63-A2, eliminando el 100% de las inconsistencias en la liquidación de fondos públicos.</w:t>
      </w:r>
    </w:p>
    <w:p>
      <w:pPr>
        <w:spacing w:line="360" w:lineRule="auto" w:after="0" w:before="0"/>
        <w:ind w:firstLine="0"/>
        <w:jc w:val="both"/>
      </w:pPr>
      <w:r>
        <w:rPr>
          <w:rFonts w:ascii="Times New Roman" w:hAnsi="Times New Roman"/>
          <w:sz w:val="24"/>
        </w:rPr>
        <w:t>4. Se alcanzó un índice de satisfacción y aceptación tecnológica sobresaliente de 88.5 puntos sobre 100 en la escala SUS (Grado 'A'), sustentado en una muestra censal del 100% de los 22 colaboradores de la entidad capacitados en cinco talleres especializados.</w:t>
      </w:r>
    </w:p>
    <w:p>
      <w:pPr>
        <w:spacing w:line="360" w:lineRule="auto" w:after="0" w:before="0"/>
        <w:ind w:firstLine="0"/>
        <w:jc w:val="both"/>
      </w:pPr>
      <w:r>
        <w:rPr>
          <w:rFonts w:ascii="Times New Roman" w:hAnsi="Times New Roman"/>
          <w:sz w:val="24"/>
        </w:rPr>
        <w:t>5. Se validaron 132 pruebas automatizadas (120 unitarias y 12 de integración y seguridad) con un 100% de aprobación, verificando tiempos de respuesta de la API inferiores a 250 milisegundos y un rechazo estricto de accesos no autorizados mediante políticas RBAC.</w:t>
      </w:r>
    </w:p>
    <w:p>
      <w:r>
        <w:br w:type="page"/>
      </w:r>
    </w:p>
    <w:p>
      <w:pPr>
        <w:spacing w:line="360" w:lineRule="auto" w:before="240" w:after="120"/>
        <w:ind w:firstLine="0"/>
        <w:jc w:val="center"/>
      </w:pPr>
      <w:r>
        <w:rPr>
          <w:rFonts w:ascii="Times New Roman" w:hAnsi="Times New Roman"/>
          <w:b/>
          <w:sz w:val="24"/>
        </w:rPr>
        <w:t>RECOMENDACIONES</w:t>
      </w:r>
    </w:p>
    <w:p>
      <w:pPr>
        <w:spacing w:line="360" w:lineRule="auto" w:after="0" w:before="0"/>
        <w:ind w:firstLine="0"/>
        <w:jc w:val="both"/>
      </w:pPr>
      <w:r>
        <w:rPr>
          <w:rFonts w:ascii="Times New Roman" w:hAnsi="Times New Roman"/>
          <w:sz w:val="24"/>
        </w:rPr>
        <w:t>1. Se recomienda a la Junta Directiva y a la Gerencia Ejecutiva de la Mancomunidad Frontera del Norte emitir un acuerdo formal que establezca el uso obligatorio y exclusivo del sistema MFN Digital como la herramienta oficial de gestión, seguimiento de proyectos y rendición de cuentas.</w:t>
      </w:r>
    </w:p>
    <w:p>
      <w:pPr>
        <w:spacing w:line="360" w:lineRule="auto" w:after="0" w:before="0"/>
        <w:ind w:firstLine="0"/>
        <w:jc w:val="both"/>
      </w:pPr>
      <w:r>
        <w:rPr>
          <w:rFonts w:ascii="Times New Roman" w:hAnsi="Times New Roman"/>
          <w:sz w:val="24"/>
        </w:rPr>
        <w:t>2. Se aconseja a las Oficinas Municipales de Agua y Saneamiento (OMAS) institucionalizar el registro semanal de lecturas de cloro residual en el módulo ASH, permitiendo fundamentar técnicamente solicitudes de financiamiento ante cooperantes internacionales.</w:t>
      </w:r>
    </w:p>
    <w:p>
      <w:pPr>
        <w:spacing w:line="360" w:lineRule="auto" w:after="0" w:before="0"/>
        <w:ind w:firstLine="0"/>
        <w:jc w:val="both"/>
      </w:pPr>
      <w:r>
        <w:rPr>
          <w:rFonts w:ascii="Times New Roman" w:hAnsi="Times New Roman"/>
          <w:sz w:val="24"/>
        </w:rPr>
        <w:t>3. Se recomienda al departamento de auditoría interna incorporar en sus manuales la verificación mensual del sello forense criptográfico de la plataforma, emitiendo constancias de inmutabilidad de actas y transacciones financieras para la Contraloría General de Cuentas.</w:t>
      </w:r>
    </w:p>
    <w:p>
      <w:pPr>
        <w:spacing w:line="360" w:lineRule="auto" w:after="0" w:before="0"/>
        <w:ind w:firstLine="0"/>
        <w:jc w:val="both"/>
      </w:pPr>
      <w:r>
        <w:rPr>
          <w:rFonts w:ascii="Times New Roman" w:hAnsi="Times New Roman"/>
          <w:sz w:val="24"/>
        </w:rPr>
        <w:t>4. Se sugiere a la Dirección Administrativa y Financiera actualizar semestralmente los perfiles de acceso y permisos RBAC en el sistema, asegurando que las altas, bajas o traslados de personal mantengan el principio de mínimo privilegio en el marco del RIT institucional.</w:t>
      </w:r>
    </w:p>
    <w:p>
      <w:pPr>
        <w:spacing w:line="360" w:lineRule="auto" w:after="0" w:before="0"/>
        <w:ind w:firstLine="0"/>
        <w:jc w:val="both"/>
      </w:pPr>
      <w:r>
        <w:rPr>
          <w:rFonts w:ascii="Times New Roman" w:hAnsi="Times New Roman"/>
          <w:sz w:val="24"/>
        </w:rPr>
        <w:t>5. Se recomienda a la coordinación técnica planificar una segunda fase de integración que contemple la sincronización automatizada de proyectos con los catálogos de obras de los Consejos Departamentales de Desarrollo (CODEDE) y el Sistema Nacional de Inversión Pública (SNIP).</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