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ind w:firstLine="0"/>
        <w:jc w:val="center"/>
      </w:pPr>
      <w:r>
        <w:rPr>
          <w:rFonts w:ascii="Times New Roman" w:hAnsi="Times New Roman"/>
          <w:b/>
          <w:sz w:val="24"/>
        </w:rPr>
        <w:t>UNIVERSIDAD MARIANO GÁLVEZ DE GUATEMALA</w:t>
      </w:r>
    </w:p>
    <w:p>
      <w:pPr>
        <w:spacing w:line="360" w:lineRule="auto" w:after="0" w:before="0"/>
        <w:ind w:firstLine="0"/>
        <w:jc w:val="center"/>
      </w:pPr>
      <w:r>
        <w:rPr>
          <w:rFonts w:ascii="Times New Roman" w:hAnsi="Times New Roman"/>
          <w:b/>
          <w:sz w:val="24"/>
        </w:rPr>
        <w:t>CAMPUS HUEHUETENANGO</w:t>
      </w:r>
    </w:p>
    <w:p>
      <w:pPr>
        <w:spacing w:line="360" w:lineRule="auto" w:after="0" w:before="0"/>
        <w:ind w:firstLine="0"/>
        <w:jc w:val="center"/>
      </w:pPr>
      <w:r>
        <w:rPr>
          <w:rFonts w:ascii="Times New Roman" w:hAnsi="Times New Roman"/>
          <w:b/>
          <w:sz w:val="24"/>
        </w:rPr>
        <w:t>FACULTAD DE INGENIERÍA EN CIENCIAS DE LA COMPUTACIÓN Y TECNOLOGÍAS DE LA INFORMACIÓN</w:t>
      </w:r>
    </w:p>
    <w:p>
      <w:pPr>
        <w:spacing w:line="360" w:lineRule="auto" w:after="0" w:before="0"/>
        <w:ind w:firstLine="0"/>
        <w:jc w:val="center"/>
      </w:pPr>
      <w:r>
        <w:rPr>
          <w:rFonts w:ascii="Times New Roman" w:hAnsi="Times New Roman"/>
          <w:b/>
          <w:sz w:val="24"/>
        </w:rPr>
        <w:t>PROYECTO DE GRADUACIÓN II</w:t>
      </w:r>
    </w:p>
    <w:p>
      <w:pPr>
        <w:spacing w:line="360" w:lineRule="auto" w:after="0" w:before="0"/>
        <w:ind w:firstLine="0"/>
        <w:jc w:val="center"/>
      </w:pPr>
      <w:r>
        <w:rPr>
          <w:rFonts w:ascii="Times New Roman" w:hAnsi="Times New Roman"/>
          <w:b/>
          <w:sz w:val="24"/>
        </w:rPr>
        <w:t>DOCENTE: ING. HEBER MARTÍNEZ ALFARO</w:t>
      </w:r>
    </w:p>
    <w:p>
      <w:pPr>
        <w:spacing w:line="360" w:lineRule="auto" w:before="240" w:after="120"/>
        <w:ind w:firstLine="0"/>
        <w:jc w:val="center"/>
      </w:pPr>
      <w:r>
        <w:rPr>
          <w:rFonts w:ascii="Times New Roman" w:hAnsi="Times New Roman"/>
          <w:b/>
          <w:sz w:val="24"/>
        </w:rPr>
        <w:t>CAPÍTULO VI</w:t>
      </w:r>
    </w:p>
    <w:p>
      <w:pPr>
        <w:spacing w:line="360" w:lineRule="auto" w:before="240" w:after="120"/>
        <w:ind w:firstLine="0"/>
        <w:jc w:val="center"/>
      </w:pPr>
      <w:r>
        <w:rPr>
          <w:rFonts w:ascii="Times New Roman" w:hAnsi="Times New Roman"/>
          <w:b/>
          <w:sz w:val="24"/>
        </w:rPr>
        <w:t>PRUEBAS, IMPLEMENTACIÓN Y MEJORAS</w:t>
      </w:r>
    </w:p>
    <w:p>
      <w:pPr>
        <w:spacing w:line="360" w:lineRule="auto" w:after="0" w:before="0"/>
        <w:ind w:firstLine="720"/>
        <w:jc w:val="both"/>
      </w:pPr>
      <w:r>
        <w:rPr>
          <w:rFonts w:ascii="Times New Roman" w:hAnsi="Times New Roman"/>
          <w:sz w:val="24"/>
        </w:rPr>
        <w:t>El presente capítulo formaliza de manera metódica, exhaustiva y científica la fase de aseguramiento de calidad del software, la arquitectura de despliegue en producción en la nube, el programa institucional de transferencia tecnológica y la evaluación empírica de los resultados generados por la plataforma web MFN Digital en la Mancomunidad de Municipios Frontera del Norte. De acuerdo con las mejores prácticas de la ingeniería de software y la investigación aplicada (Pressman &amp; Maxim, 2020; Sommerville, 2019), el desarrollo de sistemas de información interinstitucionales en el sector público requiere una validación exhaustiva que demuestre tanto la estabilidad técnica como el impacto real sobre la eficiencia organizativa.</w:t>
      </w:r>
    </w:p>
    <w:p>
      <w:pPr>
        <w:spacing w:line="360" w:lineRule="auto" w:after="0" w:before="0"/>
        <w:ind w:firstLine="720"/>
        <w:jc w:val="both"/>
      </w:pPr>
      <w:r>
        <w:rPr>
          <w:rFonts w:ascii="Times New Roman" w:hAnsi="Times New Roman"/>
          <w:sz w:val="24"/>
        </w:rPr>
        <w:t>En este contexto, la investigación articuló una batería integral de pruebas unitarias y de integración sobre la lógica de negocio, complementada con un protocolo de verificación criptográfica en vivo para auditar la integridad de la base de datos relacional. Asimismo, se implementó un diseño preexperimental pretest-postest con el 100% de la población institucional (N = 22 colaboradores) para evaluar el grado de optimización operativa, la usabilidad percibida y contrastar la hipótesis de investigación formulada en el anteproyecto.</w:t>
      </w:r>
    </w:p>
    <w:p>
      <w:pPr>
        <w:spacing w:line="360" w:lineRule="auto" w:before="240" w:after="80"/>
        <w:ind w:firstLine="0"/>
        <w:jc w:val="left"/>
      </w:pPr>
      <w:r>
        <w:rPr>
          <w:rFonts w:ascii="Times New Roman" w:hAnsi="Times New Roman"/>
          <w:b/>
          <w:sz w:val="24"/>
        </w:rPr>
        <w:t>6.1 Plan de pruebas</w:t>
      </w:r>
    </w:p>
    <w:p>
      <w:pPr>
        <w:spacing w:line="360" w:lineRule="auto" w:before="160" w:after="40"/>
        <w:ind w:firstLine="0"/>
        <w:jc w:val="left"/>
      </w:pPr>
      <w:r>
        <w:rPr>
          <w:rFonts w:ascii="Times New Roman" w:hAnsi="Times New Roman"/>
          <w:b/>
          <w:i/>
          <w:sz w:val="24"/>
        </w:rPr>
        <w:t>6.1.1 Estrategia y Marco Metodológico de Aseguramiento de Calidad (SQA)</w:t>
      </w:r>
    </w:p>
    <w:p>
      <w:pPr>
        <w:spacing w:line="360" w:lineRule="auto" w:after="0" w:before="0"/>
        <w:ind w:firstLine="720"/>
        <w:jc w:val="both"/>
      </w:pPr>
      <w:r>
        <w:rPr>
          <w:rFonts w:ascii="Times New Roman" w:hAnsi="Times New Roman"/>
          <w:sz w:val="24"/>
        </w:rPr>
        <w:t>El aseguramiento de la calidad del software (Software Quality Assurance, SQA) se estructuró bajo las directrices metodológicas de los estándares internacionales IEEE 829 para la documentación de pruebas de software (IEEE Computer Society, 1998) y el estándar ISO/IEC 25010 sobre modelos de calidad de producto de software (ISO/IEC, 2011). Dicho marco normativo orientó el proceso evaluativo hacia la verificación y validación sistemática de cinco atributos esenciales de calidad: adecuación funcional, fiabilidad operativa, seguridad y confidencialidad, eficiencia de desempeño bajo carga y usabilidad centrada en el usuario público.</w:t>
      </w:r>
    </w:p>
    <w:p>
      <w:pPr>
        <w:spacing w:line="360" w:lineRule="auto" w:after="0" w:before="0"/>
        <w:ind w:firstLine="720"/>
        <w:jc w:val="both"/>
      </w:pPr>
      <w:r>
        <w:rPr>
          <w:rFonts w:ascii="Times New Roman" w:hAnsi="Times New Roman"/>
          <w:sz w:val="24"/>
        </w:rPr>
        <w:t>La estrategia adoptó una estructura jerárquica piramidal que combinó pruebas de caja blanca para verificar exhaustivamente caminos de ejecución lógica y restricciones de cálculo financiero, pruebas de caja negra para certificar historias de usuario y flujos transaccionales de extremo a extremo, y pruebas de penetración y seguridad orientadas a mitigar las vulnerabilidades críticas catalogadas en el proyecto OWASP Top 10.</w:t>
      </w:r>
    </w:p>
    <w:p>
      <w:pPr>
        <w:spacing w:line="360" w:lineRule="auto" w:before="160" w:after="40"/>
        <w:ind w:firstLine="0"/>
        <w:jc w:val="left"/>
      </w:pPr>
      <w:r>
        <w:rPr>
          <w:rFonts w:ascii="Times New Roman" w:hAnsi="Times New Roman"/>
          <w:b/>
          <w:i/>
          <w:sz w:val="24"/>
        </w:rPr>
        <w:t>6.1.2 Suite de Pruebas Unitarias Automatizadas por Módulo Funcional</w:t>
      </w:r>
    </w:p>
    <w:p>
      <w:pPr>
        <w:spacing w:line="360" w:lineRule="auto" w:after="0" w:before="0"/>
        <w:ind w:firstLine="720"/>
        <w:jc w:val="both"/>
      </w:pPr>
      <w:r>
        <w:rPr>
          <w:rFonts w:ascii="Times New Roman" w:hAnsi="Times New Roman"/>
          <w:sz w:val="24"/>
        </w:rPr>
        <w:t>Para asegurar una ejecución determinista, de alto rendimiento y libre de dependencias externas complejas, la suite de pruebas unitarias se implementó utilizando el ejecutor nativo Node.js Test Runner. Se construyó una batería de 120 pruebas unitarias distribuidas de forma equitativa en los ocho módulos institucionales de la plataforma (15 pruebas unitarias por módulo), alcanzando una tasa de éxito del 100% (cero fallos, cero excepciones no controladas y una duración consolidada de 106.3 milisegundos).</w:t>
      </w:r>
    </w:p>
    <w:p>
      <w:pPr>
        <w:spacing w:before="160" w:after="20"/>
        <w:ind w:firstLine="0"/>
      </w:pPr>
      <w:r>
        <w:rPr>
          <w:rFonts w:ascii="Times New Roman" w:hAnsi="Times New Roman"/>
          <w:b/>
          <w:sz w:val="24"/>
        </w:rPr>
        <w:t>Tabla 6.1</w:t>
      </w:r>
    </w:p>
    <w:p>
      <w:pPr>
        <w:spacing w:before="0" w:after="80"/>
        <w:ind w:firstLine="0"/>
      </w:pPr>
      <w:r>
        <w:rPr>
          <w:rFonts w:ascii="Times New Roman" w:hAnsi="Times New Roman"/>
          <w:i/>
          <w:sz w:val="24"/>
        </w:rPr>
        <w:t>Matriz de Especificación de la Suite de Pruebas Unitarias por Módulo Funcional</w:t>
      </w:r>
    </w:p>
    <w:tbl>
      <w:tblPr>
        <w:tblW w:type="auto" w:w="0"/>
        <w:jc w:val="center"/>
        <w:tblLook w:firstColumn="1" w:firstRow="1" w:lastColumn="0" w:lastRow="0" w:noHBand="0" w:noVBand="1" w:val="04A0"/>
      </w:tblPr>
      <w:tblGrid>
        <w:gridCol w:w="1881"/>
        <w:gridCol w:w="1881"/>
        <w:gridCol w:w="1881"/>
        <w:gridCol w:w="1881"/>
        <w:gridCol w:w="1881"/>
      </w:tblGrid>
      <w:tr>
        <w:tc>
          <w:tcPr>
            <w:tcW w:type="dxa" w:w="1296"/>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Módulo</w:t>
            </w:r>
          </w:p>
        </w:tc>
        <w:tc>
          <w:tcPr>
            <w:tcW w:type="dxa" w:w="2592"/>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Área Funcional Evaluada</w:t>
            </w:r>
          </w:p>
        </w:tc>
        <w:tc>
          <w:tcPr>
            <w:tcW w:type="dxa" w:w="1152"/>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Cantidad</w:t>
            </w:r>
          </w:p>
        </w:tc>
        <w:tc>
          <w:tcPr>
            <w:tcW w:type="dxa" w:w="3888"/>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Enfoque de Validación Técnica</w:t>
            </w:r>
          </w:p>
        </w:tc>
        <w:tc>
          <w:tcPr>
            <w:tcW w:type="dxa" w:w="1728"/>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Tasa de Éxito</w:t>
            </w:r>
          </w:p>
        </w:tc>
      </w:tr>
      <w:tr>
        <w:tc>
          <w:tcPr>
            <w:tcW w:type="dxa" w:w="1296"/>
            <w:tcBorders>
              <w:top w:val="nil"/>
              <w:left w:val="nil"/>
              <w:bottom w:val="nil"/>
              <w:right w:val="nil"/>
            </w:tcBorders>
          </w:tcPr>
          <w:p>
            <w:pPr>
              <w:spacing w:line="276" w:lineRule="auto" w:after="40" w:before="40"/>
              <w:jc w:val="center"/>
            </w:pPr>
            <w:r>
              <w:rPr>
                <w:rFonts w:ascii="Times New Roman" w:hAnsi="Times New Roman"/>
                <w:sz w:val="20"/>
              </w:rPr>
              <w:t>Módulo 1</w:t>
            </w:r>
          </w:p>
        </w:tc>
        <w:tc>
          <w:tcPr>
            <w:tcW w:type="dxa" w:w="2592"/>
            <w:tcBorders>
              <w:top w:val="nil"/>
              <w:left w:val="nil"/>
              <w:bottom w:val="nil"/>
              <w:right w:val="nil"/>
            </w:tcBorders>
          </w:tcPr>
          <w:p>
            <w:pPr>
              <w:spacing w:line="276" w:lineRule="auto" w:after="40" w:before="40"/>
              <w:jc w:val="left"/>
            </w:pPr>
            <w:r>
              <w:rPr>
                <w:rFonts w:ascii="Times New Roman" w:hAnsi="Times New Roman"/>
                <w:sz w:val="20"/>
              </w:rPr>
              <w:t>Proyectos y Obras Públicas</w:t>
            </w:r>
          </w:p>
        </w:tc>
        <w:tc>
          <w:tcPr>
            <w:tcW w:type="dxa" w:w="1152"/>
            <w:tcBorders>
              <w:top w:val="nil"/>
              <w:left w:val="nil"/>
              <w:bottom w:val="nil"/>
              <w:right w:val="nil"/>
            </w:tcBorders>
          </w:tcPr>
          <w:p>
            <w:pPr>
              <w:spacing w:line="276" w:lineRule="auto" w:after="40" w:before="40"/>
              <w:jc w:val="left"/>
            </w:pPr>
            <w:r>
              <w:rPr>
                <w:rFonts w:ascii="Times New Roman" w:hAnsi="Times New Roman"/>
                <w:sz w:val="20"/>
              </w:rPr>
              <w:t>15</w:t>
            </w:r>
          </w:p>
        </w:tc>
        <w:tc>
          <w:tcPr>
            <w:tcW w:type="dxa" w:w="3888"/>
            <w:tcBorders>
              <w:top w:val="nil"/>
              <w:left w:val="nil"/>
              <w:bottom w:val="nil"/>
              <w:right w:val="nil"/>
            </w:tcBorders>
          </w:tcPr>
          <w:p>
            <w:pPr>
              <w:spacing w:line="276" w:lineRule="auto" w:after="40" w:before="40"/>
              <w:jc w:val="left"/>
            </w:pPr>
            <w:r>
              <w:rPr>
                <w:rFonts w:ascii="Times New Roman" w:hAnsi="Times New Roman"/>
                <w:sz w:val="20"/>
              </w:rPr>
              <w:t>Cálculo de avances físicos, asignación presupuestaria y validación municipal</w:t>
            </w:r>
          </w:p>
        </w:tc>
        <w:tc>
          <w:tcPr>
            <w:tcW w:type="dxa" w:w="1728"/>
            <w:tcBorders>
              <w:top w:val="nil"/>
              <w:left w:val="nil"/>
              <w:bottom w:val="nil"/>
              <w:right w:val="nil"/>
            </w:tcBorders>
          </w:tcPr>
          <w:p>
            <w:pPr>
              <w:spacing w:line="276" w:lineRule="auto" w:after="40" w:before="40"/>
              <w:jc w:val="right"/>
            </w:pPr>
            <w:r>
              <w:rPr>
                <w:rFonts w:ascii="Times New Roman" w:hAnsi="Times New Roman"/>
                <w:sz w:val="20"/>
              </w:rPr>
              <w:t>100% (15/15)</w:t>
            </w:r>
          </w:p>
        </w:tc>
      </w:tr>
      <w:tr>
        <w:tc>
          <w:tcPr>
            <w:tcW w:type="dxa" w:w="1296"/>
            <w:tcBorders>
              <w:top w:val="nil"/>
              <w:left w:val="nil"/>
              <w:bottom w:val="nil"/>
              <w:right w:val="nil"/>
            </w:tcBorders>
          </w:tcPr>
          <w:p>
            <w:pPr>
              <w:spacing w:line="276" w:lineRule="auto" w:after="40" w:before="40"/>
              <w:jc w:val="center"/>
            </w:pPr>
            <w:r>
              <w:rPr>
                <w:rFonts w:ascii="Times New Roman" w:hAnsi="Times New Roman"/>
                <w:sz w:val="20"/>
              </w:rPr>
              <w:t>Módulo 2</w:t>
            </w:r>
          </w:p>
        </w:tc>
        <w:tc>
          <w:tcPr>
            <w:tcW w:type="dxa" w:w="2592"/>
            <w:tcBorders>
              <w:top w:val="nil"/>
              <w:left w:val="nil"/>
              <w:bottom w:val="nil"/>
              <w:right w:val="nil"/>
            </w:tcBorders>
          </w:tcPr>
          <w:p>
            <w:pPr>
              <w:spacing w:line="276" w:lineRule="auto" w:after="40" w:before="40"/>
              <w:jc w:val="left"/>
            </w:pPr>
            <w:r>
              <w:rPr>
                <w:rFonts w:ascii="Times New Roman" w:hAnsi="Times New Roman"/>
                <w:sz w:val="20"/>
              </w:rPr>
              <w:t>Plan de Mejoras ARC</w:t>
            </w:r>
          </w:p>
        </w:tc>
        <w:tc>
          <w:tcPr>
            <w:tcW w:type="dxa" w:w="1152"/>
            <w:tcBorders>
              <w:top w:val="nil"/>
              <w:left w:val="nil"/>
              <w:bottom w:val="nil"/>
              <w:right w:val="nil"/>
            </w:tcBorders>
          </w:tcPr>
          <w:p>
            <w:pPr>
              <w:spacing w:line="276" w:lineRule="auto" w:after="40" w:before="40"/>
              <w:jc w:val="left"/>
            </w:pPr>
            <w:r>
              <w:rPr>
                <w:rFonts w:ascii="Times New Roman" w:hAnsi="Times New Roman"/>
                <w:sz w:val="20"/>
              </w:rPr>
              <w:t>15</w:t>
            </w:r>
          </w:p>
        </w:tc>
        <w:tc>
          <w:tcPr>
            <w:tcW w:type="dxa" w:w="3888"/>
            <w:tcBorders>
              <w:top w:val="nil"/>
              <w:left w:val="nil"/>
              <w:bottom w:val="nil"/>
              <w:right w:val="nil"/>
            </w:tcBorders>
          </w:tcPr>
          <w:p>
            <w:pPr>
              <w:spacing w:line="276" w:lineRule="auto" w:after="40" w:before="40"/>
              <w:jc w:val="left"/>
            </w:pPr>
            <w:r>
              <w:rPr>
                <w:rFonts w:ascii="Times New Roman" w:hAnsi="Times New Roman"/>
                <w:sz w:val="20"/>
              </w:rPr>
              <w:t>Transiciones Kanban, semáforo de vencimientos y asignación de responsables</w:t>
            </w:r>
          </w:p>
        </w:tc>
        <w:tc>
          <w:tcPr>
            <w:tcW w:type="dxa" w:w="1728"/>
            <w:tcBorders>
              <w:top w:val="nil"/>
              <w:left w:val="nil"/>
              <w:bottom w:val="nil"/>
              <w:right w:val="nil"/>
            </w:tcBorders>
          </w:tcPr>
          <w:p>
            <w:pPr>
              <w:spacing w:line="276" w:lineRule="auto" w:after="40" w:before="40"/>
              <w:jc w:val="right"/>
            </w:pPr>
            <w:r>
              <w:rPr>
                <w:rFonts w:ascii="Times New Roman" w:hAnsi="Times New Roman"/>
                <w:sz w:val="20"/>
              </w:rPr>
              <w:t>100% (15/15)</w:t>
            </w:r>
          </w:p>
        </w:tc>
      </w:tr>
      <w:tr>
        <w:tc>
          <w:tcPr>
            <w:tcW w:type="dxa" w:w="1296"/>
            <w:tcBorders>
              <w:top w:val="nil"/>
              <w:left w:val="nil"/>
              <w:bottom w:val="nil"/>
              <w:right w:val="nil"/>
            </w:tcBorders>
          </w:tcPr>
          <w:p>
            <w:pPr>
              <w:spacing w:line="276" w:lineRule="auto" w:after="40" w:before="40"/>
              <w:jc w:val="center"/>
            </w:pPr>
            <w:r>
              <w:rPr>
                <w:rFonts w:ascii="Times New Roman" w:hAnsi="Times New Roman"/>
                <w:sz w:val="20"/>
              </w:rPr>
              <w:t>Módulo 3</w:t>
            </w:r>
          </w:p>
        </w:tc>
        <w:tc>
          <w:tcPr>
            <w:tcW w:type="dxa" w:w="2592"/>
            <w:tcBorders>
              <w:top w:val="nil"/>
              <w:left w:val="nil"/>
              <w:bottom w:val="nil"/>
              <w:right w:val="nil"/>
            </w:tcBorders>
          </w:tcPr>
          <w:p>
            <w:pPr>
              <w:spacing w:line="276" w:lineRule="auto" w:after="40" w:before="40"/>
              <w:jc w:val="left"/>
            </w:pPr>
            <w:r>
              <w:rPr>
                <w:rFonts w:ascii="Times New Roman" w:hAnsi="Times New Roman"/>
                <w:sz w:val="20"/>
              </w:rPr>
              <w:t>Finanzas y Caja Chica CGC</w:t>
            </w:r>
          </w:p>
        </w:tc>
        <w:tc>
          <w:tcPr>
            <w:tcW w:type="dxa" w:w="1152"/>
            <w:tcBorders>
              <w:top w:val="nil"/>
              <w:left w:val="nil"/>
              <w:bottom w:val="nil"/>
              <w:right w:val="nil"/>
            </w:tcBorders>
          </w:tcPr>
          <w:p>
            <w:pPr>
              <w:spacing w:line="276" w:lineRule="auto" w:after="40" w:before="40"/>
              <w:jc w:val="left"/>
            </w:pPr>
            <w:r>
              <w:rPr>
                <w:rFonts w:ascii="Times New Roman" w:hAnsi="Times New Roman"/>
                <w:sz w:val="20"/>
              </w:rPr>
              <w:t>15</w:t>
            </w:r>
          </w:p>
        </w:tc>
        <w:tc>
          <w:tcPr>
            <w:tcW w:type="dxa" w:w="3888"/>
            <w:tcBorders>
              <w:top w:val="nil"/>
              <w:left w:val="nil"/>
              <w:bottom w:val="nil"/>
              <w:right w:val="nil"/>
            </w:tcBorders>
          </w:tcPr>
          <w:p>
            <w:pPr>
              <w:spacing w:line="276" w:lineRule="auto" w:after="40" w:before="40"/>
              <w:jc w:val="left"/>
            </w:pPr>
            <w:r>
              <w:rPr>
                <w:rFonts w:ascii="Times New Roman" w:hAnsi="Times New Roman"/>
                <w:sz w:val="20"/>
              </w:rPr>
              <w:t>Separación bancaria estricta, comprobantes SAT y emisión Forma 63-A2</w:t>
            </w:r>
          </w:p>
        </w:tc>
        <w:tc>
          <w:tcPr>
            <w:tcW w:type="dxa" w:w="1728"/>
            <w:tcBorders>
              <w:top w:val="nil"/>
              <w:left w:val="nil"/>
              <w:bottom w:val="nil"/>
              <w:right w:val="nil"/>
            </w:tcBorders>
          </w:tcPr>
          <w:p>
            <w:pPr>
              <w:spacing w:line="276" w:lineRule="auto" w:after="40" w:before="40"/>
              <w:jc w:val="right"/>
            </w:pPr>
            <w:r>
              <w:rPr>
                <w:rFonts w:ascii="Times New Roman" w:hAnsi="Times New Roman"/>
                <w:sz w:val="20"/>
              </w:rPr>
              <w:t>100% (15/15)</w:t>
            </w:r>
          </w:p>
        </w:tc>
      </w:tr>
      <w:tr>
        <w:tc>
          <w:tcPr>
            <w:tcW w:type="dxa" w:w="1296"/>
            <w:tcBorders>
              <w:top w:val="nil"/>
              <w:left w:val="nil"/>
              <w:bottom w:val="nil"/>
              <w:right w:val="nil"/>
            </w:tcBorders>
          </w:tcPr>
          <w:p>
            <w:pPr>
              <w:spacing w:line="276" w:lineRule="auto" w:after="40" w:before="40"/>
              <w:jc w:val="center"/>
            </w:pPr>
            <w:r>
              <w:rPr>
                <w:rFonts w:ascii="Times New Roman" w:hAnsi="Times New Roman"/>
                <w:sz w:val="20"/>
              </w:rPr>
              <w:t>Módulo 4</w:t>
            </w:r>
          </w:p>
        </w:tc>
        <w:tc>
          <w:tcPr>
            <w:tcW w:type="dxa" w:w="2592"/>
            <w:tcBorders>
              <w:top w:val="nil"/>
              <w:left w:val="nil"/>
              <w:bottom w:val="nil"/>
              <w:right w:val="nil"/>
            </w:tcBorders>
          </w:tcPr>
          <w:p>
            <w:pPr>
              <w:spacing w:line="276" w:lineRule="auto" w:after="40" w:before="40"/>
              <w:jc w:val="left"/>
            </w:pPr>
            <w:r>
              <w:rPr>
                <w:rFonts w:ascii="Times New Roman" w:hAnsi="Times New Roman"/>
                <w:sz w:val="20"/>
              </w:rPr>
              <w:t>Gobernanza y Actas</w:t>
            </w:r>
          </w:p>
        </w:tc>
        <w:tc>
          <w:tcPr>
            <w:tcW w:type="dxa" w:w="1152"/>
            <w:tcBorders>
              <w:top w:val="nil"/>
              <w:left w:val="nil"/>
              <w:bottom w:val="nil"/>
              <w:right w:val="nil"/>
            </w:tcBorders>
          </w:tcPr>
          <w:p>
            <w:pPr>
              <w:spacing w:line="276" w:lineRule="auto" w:after="40" w:before="40"/>
              <w:jc w:val="left"/>
            </w:pPr>
            <w:r>
              <w:rPr>
                <w:rFonts w:ascii="Times New Roman" w:hAnsi="Times New Roman"/>
                <w:sz w:val="20"/>
              </w:rPr>
              <w:t>15</w:t>
            </w:r>
          </w:p>
        </w:tc>
        <w:tc>
          <w:tcPr>
            <w:tcW w:type="dxa" w:w="3888"/>
            <w:tcBorders>
              <w:top w:val="nil"/>
              <w:left w:val="nil"/>
              <w:bottom w:val="nil"/>
              <w:right w:val="nil"/>
            </w:tcBorders>
          </w:tcPr>
          <w:p>
            <w:pPr>
              <w:spacing w:line="276" w:lineRule="auto" w:after="40" w:before="40"/>
              <w:jc w:val="left"/>
            </w:pPr>
            <w:r>
              <w:rPr>
                <w:rFonts w:ascii="Times New Roman" w:hAnsi="Times New Roman"/>
                <w:sz w:val="20"/>
              </w:rPr>
              <w:t>Foliatura oficial CGC, formato ACTA-SS-YYYY y obligatoriedad probatoria</w:t>
            </w:r>
          </w:p>
        </w:tc>
        <w:tc>
          <w:tcPr>
            <w:tcW w:type="dxa" w:w="1728"/>
            <w:tcBorders>
              <w:top w:val="nil"/>
              <w:left w:val="nil"/>
              <w:bottom w:val="nil"/>
              <w:right w:val="nil"/>
            </w:tcBorders>
          </w:tcPr>
          <w:p>
            <w:pPr>
              <w:spacing w:line="276" w:lineRule="auto" w:after="40" w:before="40"/>
              <w:jc w:val="right"/>
            </w:pPr>
            <w:r>
              <w:rPr>
                <w:rFonts w:ascii="Times New Roman" w:hAnsi="Times New Roman"/>
                <w:sz w:val="20"/>
              </w:rPr>
              <w:t>100% (15/15)</w:t>
            </w:r>
          </w:p>
        </w:tc>
      </w:tr>
      <w:tr>
        <w:tc>
          <w:tcPr>
            <w:tcW w:type="dxa" w:w="1296"/>
            <w:tcBorders>
              <w:top w:val="nil"/>
              <w:left w:val="nil"/>
              <w:bottom w:val="nil"/>
              <w:right w:val="nil"/>
            </w:tcBorders>
          </w:tcPr>
          <w:p>
            <w:pPr>
              <w:spacing w:line="276" w:lineRule="auto" w:after="40" w:before="40"/>
              <w:jc w:val="center"/>
            </w:pPr>
            <w:r>
              <w:rPr>
                <w:rFonts w:ascii="Times New Roman" w:hAnsi="Times New Roman"/>
                <w:sz w:val="20"/>
              </w:rPr>
              <w:t>Módulo 5</w:t>
            </w:r>
          </w:p>
        </w:tc>
        <w:tc>
          <w:tcPr>
            <w:tcW w:type="dxa" w:w="2592"/>
            <w:tcBorders>
              <w:top w:val="nil"/>
              <w:left w:val="nil"/>
              <w:bottom w:val="nil"/>
              <w:right w:val="nil"/>
            </w:tcBorders>
          </w:tcPr>
          <w:p>
            <w:pPr>
              <w:spacing w:line="276" w:lineRule="auto" w:after="40" w:before="40"/>
              <w:jc w:val="left"/>
            </w:pPr>
            <w:r>
              <w:rPr>
                <w:rFonts w:ascii="Times New Roman" w:hAnsi="Times New Roman"/>
                <w:sz w:val="20"/>
              </w:rPr>
              <w:t>Convenios y Cooperantes</w:t>
            </w:r>
          </w:p>
        </w:tc>
        <w:tc>
          <w:tcPr>
            <w:tcW w:type="dxa" w:w="1152"/>
            <w:tcBorders>
              <w:top w:val="nil"/>
              <w:left w:val="nil"/>
              <w:bottom w:val="nil"/>
              <w:right w:val="nil"/>
            </w:tcBorders>
          </w:tcPr>
          <w:p>
            <w:pPr>
              <w:spacing w:line="276" w:lineRule="auto" w:after="40" w:before="40"/>
              <w:jc w:val="left"/>
            </w:pPr>
            <w:r>
              <w:rPr>
                <w:rFonts w:ascii="Times New Roman" w:hAnsi="Times New Roman"/>
                <w:sz w:val="20"/>
              </w:rPr>
              <w:t>15</w:t>
            </w:r>
          </w:p>
        </w:tc>
        <w:tc>
          <w:tcPr>
            <w:tcW w:type="dxa" w:w="3888"/>
            <w:tcBorders>
              <w:top w:val="nil"/>
              <w:left w:val="nil"/>
              <w:bottom w:val="nil"/>
              <w:right w:val="nil"/>
            </w:tcBorders>
          </w:tcPr>
          <w:p>
            <w:pPr>
              <w:spacing w:line="276" w:lineRule="auto" w:after="40" w:before="40"/>
              <w:jc w:val="left"/>
            </w:pPr>
            <w:r>
              <w:rPr>
                <w:rFonts w:ascii="Times New Roman" w:hAnsi="Times New Roman"/>
                <w:sz w:val="20"/>
              </w:rPr>
              <w:t>Alertas preventivas (90 días), cálculo de contrapartidas y adendas</w:t>
            </w:r>
          </w:p>
        </w:tc>
        <w:tc>
          <w:tcPr>
            <w:tcW w:type="dxa" w:w="1728"/>
            <w:tcBorders>
              <w:top w:val="nil"/>
              <w:left w:val="nil"/>
              <w:bottom w:val="nil"/>
              <w:right w:val="nil"/>
            </w:tcBorders>
          </w:tcPr>
          <w:p>
            <w:pPr>
              <w:spacing w:line="276" w:lineRule="auto" w:after="40" w:before="40"/>
              <w:jc w:val="right"/>
            </w:pPr>
            <w:r>
              <w:rPr>
                <w:rFonts w:ascii="Times New Roman" w:hAnsi="Times New Roman"/>
                <w:sz w:val="20"/>
              </w:rPr>
              <w:t>100% (15/15)</w:t>
            </w:r>
          </w:p>
        </w:tc>
      </w:tr>
      <w:tr>
        <w:tc>
          <w:tcPr>
            <w:tcW w:type="dxa" w:w="1296"/>
            <w:tcBorders>
              <w:top w:val="nil"/>
              <w:left w:val="nil"/>
              <w:bottom w:val="nil"/>
              <w:right w:val="nil"/>
            </w:tcBorders>
          </w:tcPr>
          <w:p>
            <w:pPr>
              <w:spacing w:line="276" w:lineRule="auto" w:after="40" w:before="40"/>
              <w:jc w:val="center"/>
            </w:pPr>
            <w:r>
              <w:rPr>
                <w:rFonts w:ascii="Times New Roman" w:hAnsi="Times New Roman"/>
                <w:sz w:val="20"/>
              </w:rPr>
              <w:t>Módulo 6</w:t>
            </w:r>
          </w:p>
        </w:tc>
        <w:tc>
          <w:tcPr>
            <w:tcW w:type="dxa" w:w="2592"/>
            <w:tcBorders>
              <w:top w:val="nil"/>
              <w:left w:val="nil"/>
              <w:bottom w:val="nil"/>
              <w:right w:val="nil"/>
            </w:tcBorders>
          </w:tcPr>
          <w:p>
            <w:pPr>
              <w:spacing w:line="276" w:lineRule="auto" w:after="40" w:before="40"/>
              <w:jc w:val="left"/>
            </w:pPr>
            <w:r>
              <w:rPr>
                <w:rFonts w:ascii="Times New Roman" w:hAnsi="Times New Roman"/>
                <w:sz w:val="20"/>
              </w:rPr>
              <w:t>Monitoreo Territorial ASH</w:t>
            </w:r>
          </w:p>
        </w:tc>
        <w:tc>
          <w:tcPr>
            <w:tcW w:type="dxa" w:w="1152"/>
            <w:tcBorders>
              <w:top w:val="nil"/>
              <w:left w:val="nil"/>
              <w:bottom w:val="nil"/>
              <w:right w:val="nil"/>
            </w:tcBorders>
          </w:tcPr>
          <w:p>
            <w:pPr>
              <w:spacing w:line="276" w:lineRule="auto" w:after="40" w:before="40"/>
              <w:jc w:val="left"/>
            </w:pPr>
            <w:r>
              <w:rPr>
                <w:rFonts w:ascii="Times New Roman" w:hAnsi="Times New Roman"/>
                <w:sz w:val="20"/>
              </w:rPr>
              <w:t>15</w:t>
            </w:r>
          </w:p>
        </w:tc>
        <w:tc>
          <w:tcPr>
            <w:tcW w:type="dxa" w:w="3888"/>
            <w:tcBorders>
              <w:top w:val="nil"/>
              <w:left w:val="nil"/>
              <w:bottom w:val="nil"/>
              <w:right w:val="nil"/>
            </w:tcBorders>
          </w:tcPr>
          <w:p>
            <w:pPr>
              <w:spacing w:line="276" w:lineRule="auto" w:after="40" w:before="40"/>
              <w:jc w:val="left"/>
            </w:pPr>
            <w:r>
              <w:rPr>
                <w:rFonts w:ascii="Times New Roman" w:hAnsi="Times New Roman"/>
                <w:sz w:val="20"/>
              </w:rPr>
              <w:t>Cumplimiento COGUANOR NGO 29 001, cloro residual y censos comunitarios</w:t>
            </w:r>
          </w:p>
        </w:tc>
        <w:tc>
          <w:tcPr>
            <w:tcW w:type="dxa" w:w="1728"/>
            <w:tcBorders>
              <w:top w:val="nil"/>
              <w:left w:val="nil"/>
              <w:bottom w:val="nil"/>
              <w:right w:val="nil"/>
            </w:tcBorders>
          </w:tcPr>
          <w:p>
            <w:pPr>
              <w:spacing w:line="276" w:lineRule="auto" w:after="40" w:before="40"/>
              <w:jc w:val="right"/>
            </w:pPr>
            <w:r>
              <w:rPr>
                <w:rFonts w:ascii="Times New Roman" w:hAnsi="Times New Roman"/>
                <w:sz w:val="20"/>
              </w:rPr>
              <w:t>100% (15/15)</w:t>
            </w:r>
          </w:p>
        </w:tc>
      </w:tr>
      <w:tr>
        <w:tc>
          <w:tcPr>
            <w:tcW w:type="dxa" w:w="1296"/>
            <w:tcBorders>
              <w:top w:val="nil"/>
              <w:left w:val="nil"/>
              <w:bottom w:val="nil"/>
              <w:right w:val="nil"/>
            </w:tcBorders>
          </w:tcPr>
          <w:p>
            <w:pPr>
              <w:spacing w:line="276" w:lineRule="auto" w:after="40" w:before="40"/>
              <w:jc w:val="center"/>
            </w:pPr>
            <w:r>
              <w:rPr>
                <w:rFonts w:ascii="Times New Roman" w:hAnsi="Times New Roman"/>
                <w:sz w:val="20"/>
              </w:rPr>
              <w:t>Módulo 7</w:t>
            </w:r>
          </w:p>
        </w:tc>
        <w:tc>
          <w:tcPr>
            <w:tcW w:type="dxa" w:w="2592"/>
            <w:tcBorders>
              <w:top w:val="nil"/>
              <w:left w:val="nil"/>
              <w:bottom w:val="nil"/>
              <w:right w:val="nil"/>
            </w:tcBorders>
          </w:tcPr>
          <w:p>
            <w:pPr>
              <w:spacing w:line="276" w:lineRule="auto" w:after="40" w:before="40"/>
              <w:jc w:val="left"/>
            </w:pPr>
            <w:r>
              <w:rPr>
                <w:rFonts w:ascii="Times New Roman" w:hAnsi="Times New Roman"/>
                <w:sz w:val="20"/>
              </w:rPr>
              <w:t>Transparencia Ciudadana</w:t>
            </w:r>
          </w:p>
        </w:tc>
        <w:tc>
          <w:tcPr>
            <w:tcW w:type="dxa" w:w="1152"/>
            <w:tcBorders>
              <w:top w:val="nil"/>
              <w:left w:val="nil"/>
              <w:bottom w:val="nil"/>
              <w:right w:val="nil"/>
            </w:tcBorders>
          </w:tcPr>
          <w:p>
            <w:pPr>
              <w:spacing w:line="276" w:lineRule="auto" w:after="40" w:before="40"/>
              <w:jc w:val="left"/>
            </w:pPr>
            <w:r>
              <w:rPr>
                <w:rFonts w:ascii="Times New Roman" w:hAnsi="Times New Roman"/>
                <w:sz w:val="20"/>
              </w:rPr>
              <w:t>15</w:t>
            </w:r>
          </w:p>
        </w:tc>
        <w:tc>
          <w:tcPr>
            <w:tcW w:type="dxa" w:w="3888"/>
            <w:tcBorders>
              <w:top w:val="nil"/>
              <w:left w:val="nil"/>
              <w:bottom w:val="nil"/>
              <w:right w:val="nil"/>
            </w:tcBorders>
          </w:tcPr>
          <w:p>
            <w:pPr>
              <w:spacing w:line="276" w:lineRule="auto" w:after="40" w:before="40"/>
              <w:jc w:val="left"/>
            </w:pPr>
            <w:r>
              <w:rPr>
                <w:rFonts w:ascii="Times New Roman" w:hAnsi="Times New Roman"/>
                <w:sz w:val="20"/>
              </w:rPr>
              <w:t>Sanitización Decreto 57-2008, códigos hash UIP y facultades gerenciales</w:t>
            </w:r>
          </w:p>
        </w:tc>
        <w:tc>
          <w:tcPr>
            <w:tcW w:type="dxa" w:w="1728"/>
            <w:tcBorders>
              <w:top w:val="nil"/>
              <w:left w:val="nil"/>
              <w:bottom w:val="nil"/>
              <w:right w:val="nil"/>
            </w:tcBorders>
          </w:tcPr>
          <w:p>
            <w:pPr>
              <w:spacing w:line="276" w:lineRule="auto" w:after="40" w:before="40"/>
              <w:jc w:val="right"/>
            </w:pPr>
            <w:r>
              <w:rPr>
                <w:rFonts w:ascii="Times New Roman" w:hAnsi="Times New Roman"/>
                <w:sz w:val="20"/>
              </w:rPr>
              <w:t>100% (15/15)</w:t>
            </w:r>
          </w:p>
        </w:tc>
      </w:tr>
      <w:tr>
        <w:tc>
          <w:tcPr>
            <w:tcW w:type="dxa" w:w="1296"/>
            <w:tcBorders>
              <w:top w:val="nil"/>
              <w:left w:val="nil"/>
              <w:bottom w:val="nil"/>
              <w:right w:val="nil"/>
            </w:tcBorders>
          </w:tcPr>
          <w:p>
            <w:pPr>
              <w:spacing w:line="276" w:lineRule="auto" w:after="40" w:before="40"/>
              <w:jc w:val="center"/>
            </w:pPr>
            <w:r>
              <w:rPr>
                <w:rFonts w:ascii="Times New Roman" w:hAnsi="Times New Roman"/>
                <w:sz w:val="20"/>
              </w:rPr>
              <w:t>Módulo 8</w:t>
            </w:r>
          </w:p>
        </w:tc>
        <w:tc>
          <w:tcPr>
            <w:tcW w:type="dxa" w:w="2592"/>
            <w:tcBorders>
              <w:top w:val="nil"/>
              <w:left w:val="nil"/>
              <w:bottom w:val="nil"/>
              <w:right w:val="nil"/>
            </w:tcBorders>
          </w:tcPr>
          <w:p>
            <w:pPr>
              <w:spacing w:line="276" w:lineRule="auto" w:after="40" w:before="40"/>
              <w:jc w:val="left"/>
            </w:pPr>
            <w:r>
              <w:rPr>
                <w:rFonts w:ascii="Times New Roman" w:hAnsi="Times New Roman"/>
                <w:sz w:val="20"/>
              </w:rPr>
              <w:t>Inteligencia Territorial IPIM</w:t>
            </w:r>
          </w:p>
        </w:tc>
        <w:tc>
          <w:tcPr>
            <w:tcW w:type="dxa" w:w="1152"/>
            <w:tcBorders>
              <w:top w:val="nil"/>
              <w:left w:val="nil"/>
              <w:bottom w:val="nil"/>
              <w:right w:val="nil"/>
            </w:tcBorders>
          </w:tcPr>
          <w:p>
            <w:pPr>
              <w:spacing w:line="276" w:lineRule="auto" w:after="40" w:before="40"/>
              <w:jc w:val="left"/>
            </w:pPr>
            <w:r>
              <w:rPr>
                <w:rFonts w:ascii="Times New Roman" w:hAnsi="Times New Roman"/>
                <w:sz w:val="20"/>
              </w:rPr>
              <w:t>15</w:t>
            </w:r>
          </w:p>
        </w:tc>
        <w:tc>
          <w:tcPr>
            <w:tcW w:type="dxa" w:w="3888"/>
            <w:tcBorders>
              <w:top w:val="nil"/>
              <w:left w:val="nil"/>
              <w:bottom w:val="nil"/>
              <w:right w:val="nil"/>
            </w:tcBorders>
          </w:tcPr>
          <w:p>
            <w:pPr>
              <w:spacing w:line="276" w:lineRule="auto" w:after="40" w:before="40"/>
              <w:jc w:val="left"/>
            </w:pPr>
            <w:r>
              <w:rPr>
                <w:rFonts w:ascii="Times New Roman" w:hAnsi="Times New Roman"/>
                <w:sz w:val="20"/>
              </w:rPr>
              <w:t>Algoritmo multicriterio de priorización y sellado Merkle SHA-256</w:t>
            </w:r>
          </w:p>
        </w:tc>
        <w:tc>
          <w:tcPr>
            <w:tcW w:type="dxa" w:w="1728"/>
            <w:tcBorders>
              <w:top w:val="nil"/>
              <w:left w:val="nil"/>
              <w:bottom w:val="nil"/>
              <w:right w:val="nil"/>
            </w:tcBorders>
          </w:tcPr>
          <w:p>
            <w:pPr>
              <w:spacing w:line="276" w:lineRule="auto" w:after="40" w:before="40"/>
              <w:jc w:val="right"/>
            </w:pPr>
            <w:r>
              <w:rPr>
                <w:rFonts w:ascii="Times New Roman" w:hAnsi="Times New Roman"/>
                <w:sz w:val="20"/>
              </w:rPr>
              <w:t>100% (15/15)</w:t>
            </w:r>
          </w:p>
        </w:tc>
      </w:tr>
      <w:tr>
        <w:tc>
          <w:tcPr>
            <w:tcW w:type="dxa" w:w="1296"/>
            <w:tcBorders>
              <w:top w:val="nil"/>
              <w:left w:val="nil"/>
              <w:bottom w:sz="12" w:val="single" w:color="000000"/>
              <w:right w:val="nil"/>
            </w:tcBorders>
          </w:tcPr>
          <w:p>
            <w:pPr>
              <w:spacing w:line="276" w:lineRule="auto" w:after="40" w:before="40"/>
              <w:jc w:val="center"/>
            </w:pPr>
            <w:r>
              <w:rPr>
                <w:rFonts w:ascii="Times New Roman" w:hAnsi="Times New Roman"/>
                <w:sz w:val="20"/>
              </w:rPr>
              <w:t>TOTAL</w:t>
            </w:r>
          </w:p>
        </w:tc>
        <w:tc>
          <w:tcPr>
            <w:tcW w:type="dxa" w:w="2592"/>
            <w:tcBorders>
              <w:top w:val="nil"/>
              <w:left w:val="nil"/>
              <w:bottom w:sz="12" w:val="single" w:color="000000"/>
              <w:right w:val="nil"/>
            </w:tcBorders>
          </w:tcPr>
          <w:p>
            <w:pPr>
              <w:spacing w:line="276" w:lineRule="auto" w:after="40" w:before="40"/>
              <w:jc w:val="left"/>
            </w:pPr>
            <w:r>
              <w:rPr>
                <w:rFonts w:ascii="Times New Roman" w:hAnsi="Times New Roman"/>
                <w:sz w:val="20"/>
              </w:rPr>
              <w:t>Consolidado Institucional</w:t>
            </w:r>
          </w:p>
        </w:tc>
        <w:tc>
          <w:tcPr>
            <w:tcW w:type="dxa" w:w="1152"/>
            <w:tcBorders>
              <w:top w:val="nil"/>
              <w:left w:val="nil"/>
              <w:bottom w:sz="12" w:val="single" w:color="000000"/>
              <w:right w:val="nil"/>
            </w:tcBorders>
          </w:tcPr>
          <w:p>
            <w:pPr>
              <w:spacing w:line="276" w:lineRule="auto" w:after="40" w:before="40"/>
              <w:jc w:val="left"/>
            </w:pPr>
            <w:r>
              <w:rPr>
                <w:rFonts w:ascii="Times New Roman" w:hAnsi="Times New Roman"/>
                <w:sz w:val="20"/>
              </w:rPr>
              <w:t>120</w:t>
            </w:r>
          </w:p>
        </w:tc>
        <w:tc>
          <w:tcPr>
            <w:tcW w:type="dxa" w:w="3888"/>
            <w:tcBorders>
              <w:top w:val="nil"/>
              <w:left w:val="nil"/>
              <w:bottom w:sz="12" w:val="single" w:color="000000"/>
              <w:right w:val="nil"/>
            </w:tcBorders>
          </w:tcPr>
          <w:p>
            <w:pPr>
              <w:spacing w:line="276" w:lineRule="auto" w:after="40" w:before="40"/>
              <w:jc w:val="left"/>
            </w:pPr>
            <w:r>
              <w:rPr>
                <w:rFonts w:ascii="Times New Roman" w:hAnsi="Times New Roman"/>
                <w:sz w:val="20"/>
              </w:rPr>
              <w:t>Verificación automatizada en Node.js Test Runner (106.3 ms de ejecución)</w:t>
            </w:r>
          </w:p>
        </w:tc>
        <w:tc>
          <w:tcPr>
            <w:tcW w:type="dxa" w:w="1728"/>
            <w:tcBorders>
              <w:top w:val="nil"/>
              <w:left w:val="nil"/>
              <w:bottom w:sz="12" w:val="single" w:color="000000"/>
              <w:right w:val="nil"/>
            </w:tcBorders>
          </w:tcPr>
          <w:p>
            <w:pPr>
              <w:spacing w:line="276" w:lineRule="auto" w:after="40" w:before="40"/>
              <w:jc w:val="right"/>
            </w:pPr>
            <w:r>
              <w:rPr>
                <w:rFonts w:ascii="Times New Roman" w:hAnsi="Times New Roman"/>
                <w:sz w:val="20"/>
              </w:rPr>
              <w:t>100% (120/120)</w:t>
            </w:r>
          </w:p>
        </w:tc>
      </w:tr>
    </w:tbl>
    <w:p>
      <w:pPr>
        <w:spacing w:before="60" w:after="160"/>
        <w:ind w:firstLine="0"/>
      </w:pPr>
      <w:r>
        <w:rPr>
          <w:rFonts w:ascii="Times New Roman" w:hAnsi="Times New Roman"/>
          <w:i/>
          <w:sz w:val="20"/>
        </w:rPr>
        <w:t xml:space="preserve">Nota. </w:t>
      </w:r>
      <w:r>
        <w:rPr>
          <w:rFonts w:ascii="Times New Roman" w:hAnsi="Times New Roman"/>
          <w:sz w:val="20"/>
        </w:rPr>
        <w:t>Resultados obtenidos de la ejecución automatizada en entorno de pre-producción y producción.</w:t>
      </w:r>
    </w:p>
    <w:p>
      <w:pPr>
        <w:spacing w:line="360" w:lineRule="auto" w:after="0" w:before="0"/>
        <w:ind w:firstLine="720"/>
        <w:jc w:val="both"/>
      </w:pPr>
      <w:r>
        <w:rPr>
          <w:rFonts w:ascii="Times New Roman" w:hAnsi="Times New Roman"/>
          <w:sz w:val="24"/>
        </w:rPr>
        <w:t>La especificación técnica de las pruebas unitarias cubrió las siguientes reglas de negocio por módulo funcional:</w:t>
      </w:r>
    </w:p>
    <w:p>
      <w:pPr>
        <w:spacing w:line="360" w:lineRule="auto" w:before="120" w:after="40"/>
        <w:ind w:firstLine="720"/>
        <w:jc w:val="left"/>
      </w:pPr>
      <w:r>
        <w:rPr>
          <w:rFonts w:ascii="Times New Roman" w:hAnsi="Times New Roman"/>
          <w:b/>
          <w:sz w:val="24"/>
        </w:rPr>
        <w:t>a) Módulo 1: Proyectos y Obras Públicas (15 pruebas).</w:t>
      </w:r>
    </w:p>
    <w:p>
      <w:pPr>
        <w:spacing w:line="360" w:lineRule="auto" w:after="0" w:before="0"/>
        <w:ind w:firstLine="720"/>
        <w:jc w:val="both"/>
      </w:pPr>
      <w:r>
        <w:rPr>
          <w:rFonts w:ascii="Times New Roman" w:hAnsi="Times New Roman"/>
          <w:sz w:val="24"/>
        </w:rPr>
        <w:t>Verificación de consistencia presupuestaria impidiendo saldos negativos; cálculo de avance físico acumulado; obligatoriedad de asignación geográfica exclusiva a los seis municipios de la Mancomunidad (Santa Eulalia, San Mateo Ixtatán, San Pedro Soloma, Santa Cruz Barillas, San Juan Ixcoy y San Rafael La Independencia); y formateo estandarizado de identificadores alfanuméricos de obra conforme a las directrices de la Dirección Municipal de Planificación (DMP).</w:t>
      </w:r>
    </w:p>
    <w:p>
      <w:pPr>
        <w:spacing w:line="360" w:lineRule="auto" w:before="120" w:after="40"/>
        <w:ind w:firstLine="720"/>
        <w:jc w:val="left"/>
      </w:pPr>
      <w:r>
        <w:rPr>
          <w:rFonts w:ascii="Times New Roman" w:hAnsi="Times New Roman"/>
          <w:b/>
          <w:sz w:val="24"/>
        </w:rPr>
        <w:t>b) Módulo 2: Plan de Mejoras ARC (15 pruebas).</w:t>
      </w:r>
    </w:p>
    <w:p>
      <w:pPr>
        <w:spacing w:line="360" w:lineRule="auto" w:after="0" w:before="0"/>
        <w:ind w:firstLine="720"/>
        <w:jc w:val="both"/>
      </w:pPr>
      <w:r>
        <w:rPr>
          <w:rFonts w:ascii="Times New Roman" w:hAnsi="Times New Roman"/>
          <w:sz w:val="24"/>
        </w:rPr>
        <w:t>Validación del motor de priorización derivado de la evaluación de Autoevaluación del Rendimiento Comunitario (ARC); verificación de la máquina de estados del tablero Kanban (Pendiente, En Proceso, Verificación y Concluido); control cronológico de fechas de vencimiento con semáforo preventivo; y obligatoriedad de designación de un responsable institucional registrado en el catálogo de personal.</w:t>
      </w:r>
    </w:p>
    <w:p>
      <w:pPr>
        <w:spacing w:line="360" w:lineRule="auto" w:before="120" w:after="40"/>
        <w:ind w:firstLine="720"/>
        <w:jc w:val="left"/>
      </w:pPr>
      <w:r>
        <w:rPr>
          <w:rFonts w:ascii="Times New Roman" w:hAnsi="Times New Roman"/>
          <w:b/>
          <w:sz w:val="24"/>
        </w:rPr>
        <w:t>c) Módulo 3: Finanzas y Rendición de Cuentas CGC (15 pruebas).</w:t>
      </w:r>
    </w:p>
    <w:p>
      <w:pPr>
        <w:spacing w:line="360" w:lineRule="auto" w:after="0" w:before="0"/>
        <w:ind w:firstLine="720"/>
        <w:jc w:val="both"/>
      </w:pPr>
      <w:r>
        <w:rPr>
          <w:rFonts w:ascii="Times New Roman" w:hAnsi="Times New Roman"/>
          <w:sz w:val="24"/>
        </w:rPr>
        <w:t>Comprobación de la segregación lógica de cuentas bancarias según normativas de la Contraloría General de Cuentas (CGC, 2021), aislando la cuenta de Fondos Públicos (cuotas ordinarias municipales) de la cuenta de Cooperación Internacional; validación del techo máximo de gasto individual en Caja Chica (Q5,000.00); rechazo automático de liquidaciones sin comprobantes oficiales SAT; y generación de Recibos Forma 63-A2 con transcripción textual de cifras a letras.</w:t>
      </w:r>
    </w:p>
    <w:p>
      <w:pPr>
        <w:spacing w:line="360" w:lineRule="auto" w:before="120" w:after="40"/>
        <w:ind w:firstLine="720"/>
        <w:jc w:val="left"/>
      </w:pPr>
      <w:r>
        <w:rPr>
          <w:rFonts w:ascii="Times New Roman" w:hAnsi="Times New Roman"/>
          <w:b/>
          <w:sz w:val="24"/>
        </w:rPr>
        <w:t>d) Módulo 4: Gobernanza Intermunicipal y Libros de Actas (15 pruebas).</w:t>
      </w:r>
    </w:p>
    <w:p>
      <w:pPr>
        <w:spacing w:line="360" w:lineRule="auto" w:after="0" w:before="0"/>
        <w:ind w:firstLine="720"/>
        <w:jc w:val="both"/>
      </w:pPr>
      <w:r>
        <w:rPr>
          <w:rFonts w:ascii="Times New Roman" w:hAnsi="Times New Roman"/>
          <w:sz w:val="24"/>
        </w:rPr>
        <w:t>Certificación de la nomenclatura oficial de sesiones (ACTA-SS-YYYY); control de foliación correlativa en libros de hojas movibles autorizados por la CGC; exigencia ineludible de evidencia documental para cerrar acuerdos plenarios; y cálculo en tiempo real del índice de efectividad de gobernanza territorial.</w:t>
      </w:r>
    </w:p>
    <w:p>
      <w:pPr>
        <w:spacing w:line="360" w:lineRule="auto" w:before="120" w:after="40"/>
        <w:ind w:firstLine="720"/>
        <w:jc w:val="left"/>
      </w:pPr>
      <w:r>
        <w:rPr>
          <w:rFonts w:ascii="Times New Roman" w:hAnsi="Times New Roman"/>
          <w:b/>
          <w:sz w:val="24"/>
        </w:rPr>
        <w:t>e) Módulo 5: Cooperación Internacional y Convenios (15 pruebas).</w:t>
      </w:r>
    </w:p>
    <w:p>
      <w:pPr>
        <w:spacing w:line="360" w:lineRule="auto" w:after="0" w:before="0"/>
        <w:ind w:firstLine="720"/>
        <w:jc w:val="both"/>
      </w:pPr>
      <w:r>
        <w:rPr>
          <w:rFonts w:ascii="Times New Roman" w:hAnsi="Times New Roman"/>
          <w:sz w:val="24"/>
        </w:rPr>
        <w:t>Evaluación del motor cronológico de alertas preventivas con umbral de 90 días calendario para evitar la pérdida involuntaria de fondos por caducidad; cálculo de aportes financieros externos vs. contrapartidas institucionales de la Mancomunidad; control de estados diplomáticos; y validación de prórrogas mediante adendas legales firmadas.</w:t>
      </w:r>
    </w:p>
    <w:p>
      <w:pPr>
        <w:spacing w:line="360" w:lineRule="auto" w:before="120" w:after="40"/>
        <w:ind w:firstLine="720"/>
        <w:jc w:val="left"/>
      </w:pPr>
      <w:r>
        <w:rPr>
          <w:rFonts w:ascii="Times New Roman" w:hAnsi="Times New Roman"/>
          <w:b/>
          <w:sz w:val="24"/>
        </w:rPr>
        <w:t>f) Módulo 6: Monitoreo Territorial ASH (15 pruebas).</w:t>
      </w:r>
    </w:p>
    <w:p>
      <w:pPr>
        <w:spacing w:line="360" w:lineRule="auto" w:after="0" w:before="0"/>
        <w:ind w:firstLine="720"/>
        <w:jc w:val="both"/>
      </w:pPr>
      <w:r>
        <w:rPr>
          <w:rFonts w:ascii="Times New Roman" w:hAnsi="Times New Roman"/>
          <w:sz w:val="24"/>
        </w:rPr>
        <w:t>Comprobación estricta de la norma técnica COGUANOR NGO 29 001 sobre calidad del agua potable (COGUANOR, 2010), verificando que las lecturas de cloro residual libre se mantengan en el rango óptimo de 0.5 a 1.5 ppm, disparando alertas inmediatas ante desabastecimiento clorador (&lt;0.5 ppm, riesgo bacteriológico) o sobredosis (&gt;1.5 ppm, riesgo químico); y cálculo automatizado de cobertura comunitaria y déficit poblacional.</w:t>
      </w:r>
    </w:p>
    <w:p>
      <w:pPr>
        <w:spacing w:line="360" w:lineRule="auto" w:before="120" w:after="40"/>
        <w:ind w:firstLine="720"/>
        <w:jc w:val="left"/>
      </w:pPr>
      <w:r>
        <w:rPr>
          <w:rFonts w:ascii="Times New Roman" w:hAnsi="Times New Roman"/>
          <w:b/>
          <w:sz w:val="24"/>
        </w:rPr>
        <w:t>g) Módulo 7: Portal Público y Transparencia Ciudadana (15 pruebas).</w:t>
      </w:r>
    </w:p>
    <w:p>
      <w:pPr>
        <w:spacing w:line="360" w:lineRule="auto" w:after="0" w:before="0"/>
        <w:ind w:firstLine="720"/>
        <w:jc w:val="both"/>
      </w:pPr>
      <w:r>
        <w:rPr>
          <w:rFonts w:ascii="Times New Roman" w:hAnsi="Times New Roman"/>
          <w:sz w:val="24"/>
        </w:rPr>
        <w:t>Verificación de los filtros de sanitización conforme al Decreto 57-2008 (Ley de Acceso a la Información Pública), asegurando la anonimización de datos clasificados; restricción de permisos para que únicamente el Gerente Ejecutivo autorice publicaciones públicas; y generación de códigos hash no secuenciales de 48 caracteres para rastreo anónimo de solicitudes de información pública (UIP).</w:t>
      </w:r>
    </w:p>
    <w:p>
      <w:pPr>
        <w:spacing w:line="360" w:lineRule="auto" w:before="120" w:after="40"/>
        <w:ind w:firstLine="720"/>
        <w:jc w:val="left"/>
      </w:pPr>
      <w:r>
        <w:rPr>
          <w:rFonts w:ascii="Times New Roman" w:hAnsi="Times New Roman"/>
          <w:b/>
          <w:sz w:val="24"/>
        </w:rPr>
        <w:t>h) Módulo 8: Inteligencia Territorial IPIM y Sellado Criptográfico (15 pruebas).</w:t>
      </w:r>
    </w:p>
    <w:p>
      <w:pPr>
        <w:spacing w:line="360" w:lineRule="auto" w:after="0" w:before="0"/>
        <w:ind w:firstLine="720"/>
        <w:jc w:val="both"/>
      </w:pPr>
      <w:r>
        <w:rPr>
          <w:rFonts w:ascii="Times New Roman" w:hAnsi="Times New Roman"/>
          <w:sz w:val="24"/>
        </w:rPr>
        <w:t>Evaluación del algoritmo del Índice de Priorización de Inversión Municipal (IPIM), ponderando cobertura hídrica (40%), obras en ejecución (35%) y solvencia tributaria municipal (25%) para clasificar a los municipios en vulnerabilidad Crítica, Alta o Moderada; y validación matemática de la raíz de Merkle SHA-256 asegurando que cualquier modificación en un registro genere una mutación global en la firma raíz.</w:t>
      </w:r>
    </w:p>
    <w:p>
      <w:pPr>
        <w:spacing w:line="360" w:lineRule="auto" w:before="160" w:after="40"/>
        <w:ind w:firstLine="0"/>
        <w:jc w:val="left"/>
      </w:pPr>
      <w:r>
        <w:rPr>
          <w:rFonts w:ascii="Times New Roman" w:hAnsi="Times New Roman"/>
          <w:b/>
          <w:i/>
          <w:sz w:val="24"/>
        </w:rPr>
        <w:t>6.1.3 Pruebas de Integración, Seguridad Perimetral y Control de Acceso (RBAC)</w:t>
      </w:r>
    </w:p>
    <w:p>
      <w:pPr>
        <w:spacing w:line="360" w:lineRule="auto" w:after="0" w:before="0"/>
        <w:ind w:firstLine="720"/>
        <w:jc w:val="both"/>
      </w:pPr>
      <w:r>
        <w:rPr>
          <w:rFonts w:ascii="Times New Roman" w:hAnsi="Times New Roman"/>
          <w:sz w:val="24"/>
        </w:rPr>
        <w:t>La seguridad y consistencia relacional se validó mediante una batería de 12 pruebas de integración profunda ejecutadas sobre el entorno de backend, verificando los siguientes controles críticos:</w:t>
      </w:r>
    </w:p>
    <w:p>
      <w:pPr>
        <w:spacing w:line="360" w:lineRule="auto" w:after="0" w:before="0"/>
        <w:ind w:firstLine="720"/>
        <w:jc w:val="both"/>
      </w:pPr>
      <w:r>
        <w:rPr>
          <w:rFonts w:ascii="Times New Roman" w:hAnsi="Times New Roman"/>
          <w:sz w:val="24"/>
        </w:rPr>
        <w:t>1. Eliminación de puertas traseras y autenticación estricta: Se comprobó que el uso de identificadores estáticos de prueba (como el antiguo token demo-token-mfn) o tokens expirados sea rechazado categóricamente con código HTTP 401 Unauthorized, impidiendo cualquier vía de acceso no autenticada a la base de datos.</w:t>
      </w:r>
    </w:p>
    <w:p>
      <w:pPr>
        <w:spacing w:line="360" w:lineRule="auto" w:after="0" w:before="0"/>
        <w:ind w:firstLine="720"/>
        <w:jc w:val="both"/>
      </w:pPr>
      <w:r>
        <w:rPr>
          <w:rFonts w:ascii="Times New Roman" w:hAnsi="Times New Roman"/>
          <w:sz w:val="24"/>
        </w:rPr>
        <w:t>2. Control de Acceso Basado en Roles (RBAC): Conforme a las recomendaciones de Stallings (2017) sobre seguridad de redes e información, se verificó que usuarios con privilegios operativos (por ejemplo, empleado o técnico de campo) no puedan alterar registros financieros o modificar el estado de publicaciones de transparencia, devolviendo el código HTTP 403 Forbidden.</w:t>
      </w:r>
    </w:p>
    <w:p>
      <w:pPr>
        <w:spacing w:line="360" w:lineRule="auto" w:after="0" w:before="0"/>
        <w:ind w:firstLine="720"/>
        <w:jc w:val="both"/>
      </w:pPr>
      <w:r>
        <w:rPr>
          <w:rFonts w:ascii="Times New Roman" w:hAnsi="Times New Roman"/>
          <w:sz w:val="24"/>
        </w:rPr>
        <w:t>3. Atomicidad y Bitácora Transaccional Serializable: Se validó que cualquier error inducido durante la escritura de una transacción financiera o registro de proyecto revierta íntegramente las operaciones en base de datos (ROLLBACK), garantizando la estricta consistencia ACID (Silberschatz et al., 2020).</w:t>
      </w:r>
    </w:p>
    <w:p>
      <w:pPr>
        <w:spacing w:line="360" w:lineRule="auto" w:after="0" w:before="0"/>
        <w:ind w:firstLine="720"/>
        <w:jc w:val="both"/>
      </w:pPr>
      <w:r>
        <w:rPr>
          <w:rFonts w:ascii="Times New Roman" w:hAnsi="Times New Roman"/>
          <w:sz w:val="24"/>
        </w:rPr>
        <w:t>4. Revocación de Sesiones y Protección contra Secuestro: Se comprobó que al ejecutar una recuperación de credenciales o cambio de contraseña, el incremento del parámetro sessionVersion en la tabla de usuarios invalide de forma instantánea todos los tokens JWT emitidos previamente.</w:t>
      </w:r>
    </w:p>
    <w:p>
      <w:pPr>
        <w:spacing w:before="160" w:after="20"/>
        <w:ind w:firstLine="0"/>
      </w:pPr>
      <w:r>
        <w:rPr>
          <w:rFonts w:ascii="Times New Roman" w:hAnsi="Times New Roman"/>
          <w:b/>
          <w:sz w:val="24"/>
        </w:rPr>
        <w:t>Tabla 6.2</w:t>
      </w:r>
    </w:p>
    <w:p>
      <w:pPr>
        <w:spacing w:before="0" w:after="80"/>
        <w:ind w:firstLine="0"/>
      </w:pPr>
      <w:r>
        <w:rPr>
          <w:rFonts w:ascii="Times New Roman" w:hAnsi="Times New Roman"/>
          <w:i/>
          <w:sz w:val="24"/>
        </w:rPr>
        <w:t>Matriz de Control de Acceso Basado en Roles (RBAC) y Privilegios en MFN Digital</w:t>
      </w:r>
    </w:p>
    <w:tbl>
      <w:tblPr>
        <w:tblW w:type="auto" w:w="0"/>
        <w:jc w:val="center"/>
        <w:tblLook w:firstColumn="1" w:firstRow="1" w:lastColumn="0" w:lastRow="0" w:noHBand="0" w:noVBand="1" w:val="04A0"/>
      </w:tblPr>
      <w:tblGrid>
        <w:gridCol w:w="1881"/>
        <w:gridCol w:w="1881"/>
        <w:gridCol w:w="1881"/>
        <w:gridCol w:w="1881"/>
        <w:gridCol w:w="1881"/>
      </w:tblGrid>
      <w:tr>
        <w:tc>
          <w:tcPr>
            <w:tcW w:type="dxa" w:w="2160"/>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Rol Institucional</w:t>
            </w:r>
          </w:p>
        </w:tc>
        <w:tc>
          <w:tcPr>
            <w:tcW w:type="dxa" w:w="1008"/>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Código</w:t>
            </w:r>
          </w:p>
        </w:tc>
        <w:tc>
          <w:tcPr>
            <w:tcW w:type="dxa" w:w="3168"/>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Módulos con Permiso de Lectura</w:t>
            </w:r>
          </w:p>
        </w:tc>
        <w:tc>
          <w:tcPr>
            <w:tcW w:type="dxa" w:w="3168"/>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Módulos con Permiso de Edición</w:t>
            </w:r>
          </w:p>
        </w:tc>
        <w:tc>
          <w:tcPr>
            <w:tcW w:type="dxa" w:w="1728"/>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Facultad de Aprobación</w:t>
            </w:r>
          </w:p>
        </w:tc>
      </w:tr>
      <w:tr>
        <w:tc>
          <w:tcPr>
            <w:tcW w:type="dxa" w:w="2160"/>
            <w:tcBorders>
              <w:top w:val="nil"/>
              <w:left w:val="nil"/>
              <w:bottom w:val="nil"/>
              <w:right w:val="nil"/>
            </w:tcBorders>
          </w:tcPr>
          <w:p>
            <w:pPr>
              <w:spacing w:line="276" w:lineRule="auto" w:after="40" w:before="40"/>
              <w:jc w:val="center"/>
            </w:pPr>
            <w:r>
              <w:rPr>
                <w:rFonts w:ascii="Times New Roman" w:hAnsi="Times New Roman"/>
                <w:sz w:val="20"/>
              </w:rPr>
              <w:t>Junta Directiva</w:t>
            </w:r>
          </w:p>
        </w:tc>
        <w:tc>
          <w:tcPr>
            <w:tcW w:type="dxa" w:w="1008"/>
            <w:tcBorders>
              <w:top w:val="nil"/>
              <w:left w:val="nil"/>
              <w:bottom w:val="nil"/>
              <w:right w:val="nil"/>
            </w:tcBorders>
          </w:tcPr>
          <w:p>
            <w:pPr>
              <w:spacing w:line="276" w:lineRule="auto" w:after="40" w:before="40"/>
              <w:jc w:val="left"/>
            </w:pPr>
            <w:r>
              <w:rPr>
                <w:rFonts w:ascii="Times New Roman" w:hAnsi="Times New Roman"/>
                <w:sz w:val="20"/>
              </w:rPr>
              <w:t>JD</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Todos los módulos estratégicos</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Gobernanza (Actas y Acuerdos)</w:t>
            </w:r>
          </w:p>
        </w:tc>
        <w:tc>
          <w:tcPr>
            <w:tcW w:type="dxa" w:w="1728"/>
            <w:tcBorders>
              <w:top w:val="nil"/>
              <w:left w:val="nil"/>
              <w:bottom w:val="nil"/>
              <w:right w:val="nil"/>
            </w:tcBorders>
          </w:tcPr>
          <w:p>
            <w:pPr>
              <w:spacing w:line="276" w:lineRule="auto" w:after="40" w:before="40"/>
              <w:jc w:val="left"/>
            </w:pPr>
            <w:r>
              <w:rPr>
                <w:rFonts w:ascii="Times New Roman" w:hAnsi="Times New Roman"/>
                <w:sz w:val="20"/>
              </w:rPr>
              <w:t>Aprobación de Acuerdos</w:t>
            </w:r>
          </w:p>
        </w:tc>
      </w:tr>
      <w:tr>
        <w:tc>
          <w:tcPr>
            <w:tcW w:type="dxa" w:w="2160"/>
            <w:tcBorders>
              <w:top w:val="nil"/>
              <w:left w:val="nil"/>
              <w:bottom w:val="nil"/>
              <w:right w:val="nil"/>
            </w:tcBorders>
          </w:tcPr>
          <w:p>
            <w:pPr>
              <w:spacing w:line="276" w:lineRule="auto" w:after="40" w:before="40"/>
              <w:jc w:val="center"/>
            </w:pPr>
            <w:r>
              <w:rPr>
                <w:rFonts w:ascii="Times New Roman" w:hAnsi="Times New Roman"/>
                <w:sz w:val="20"/>
              </w:rPr>
              <w:t>Gerencia Ejecutiva</w:t>
            </w:r>
          </w:p>
        </w:tc>
        <w:tc>
          <w:tcPr>
            <w:tcW w:type="dxa" w:w="1008"/>
            <w:tcBorders>
              <w:top w:val="nil"/>
              <w:left w:val="nil"/>
              <w:bottom w:val="nil"/>
              <w:right w:val="nil"/>
            </w:tcBorders>
          </w:tcPr>
          <w:p>
            <w:pPr>
              <w:spacing w:line="276" w:lineRule="auto" w:after="40" w:before="40"/>
              <w:jc w:val="left"/>
            </w:pPr>
            <w:r>
              <w:rPr>
                <w:rFonts w:ascii="Times New Roman" w:hAnsi="Times New Roman"/>
                <w:sz w:val="20"/>
              </w:rPr>
              <w:t>GE</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Acceso total institucional</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Todos los módulos operativos</w:t>
            </w:r>
          </w:p>
        </w:tc>
        <w:tc>
          <w:tcPr>
            <w:tcW w:type="dxa" w:w="1728"/>
            <w:tcBorders>
              <w:top w:val="nil"/>
              <w:left w:val="nil"/>
              <w:bottom w:val="nil"/>
              <w:right w:val="nil"/>
            </w:tcBorders>
          </w:tcPr>
          <w:p>
            <w:pPr>
              <w:spacing w:line="276" w:lineRule="auto" w:after="40" w:before="40"/>
              <w:jc w:val="left"/>
            </w:pPr>
            <w:r>
              <w:rPr>
                <w:rFonts w:ascii="Times New Roman" w:hAnsi="Times New Roman"/>
                <w:sz w:val="20"/>
              </w:rPr>
              <w:t>Aprobación Plena</w:t>
            </w:r>
          </w:p>
        </w:tc>
      </w:tr>
      <w:tr>
        <w:tc>
          <w:tcPr>
            <w:tcW w:type="dxa" w:w="2160"/>
            <w:tcBorders>
              <w:top w:val="nil"/>
              <w:left w:val="nil"/>
              <w:bottom w:val="nil"/>
              <w:right w:val="nil"/>
            </w:tcBorders>
          </w:tcPr>
          <w:p>
            <w:pPr>
              <w:spacing w:line="276" w:lineRule="auto" w:after="40" w:before="40"/>
              <w:jc w:val="center"/>
            </w:pPr>
            <w:r>
              <w:rPr>
                <w:rFonts w:ascii="Times New Roman" w:hAnsi="Times New Roman"/>
                <w:sz w:val="20"/>
              </w:rPr>
              <w:t>Dirección Administrativa</w:t>
            </w:r>
          </w:p>
        </w:tc>
        <w:tc>
          <w:tcPr>
            <w:tcW w:type="dxa" w:w="1008"/>
            <w:tcBorders>
              <w:top w:val="nil"/>
              <w:left w:val="nil"/>
              <w:bottom w:val="nil"/>
              <w:right w:val="nil"/>
            </w:tcBorders>
          </w:tcPr>
          <w:p>
            <w:pPr>
              <w:spacing w:line="276" w:lineRule="auto" w:after="40" w:before="40"/>
              <w:jc w:val="left"/>
            </w:pPr>
            <w:r>
              <w:rPr>
                <w:rFonts w:ascii="Times New Roman" w:hAnsi="Times New Roman"/>
                <w:sz w:val="20"/>
              </w:rPr>
              <w:t>DIRADMIN</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Finanzas, ARC, Convenios, UIP</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Finanzas CGC, Caja Chica, Compras</w:t>
            </w:r>
          </w:p>
        </w:tc>
        <w:tc>
          <w:tcPr>
            <w:tcW w:type="dxa" w:w="1728"/>
            <w:tcBorders>
              <w:top w:val="nil"/>
              <w:left w:val="nil"/>
              <w:bottom w:val="nil"/>
              <w:right w:val="nil"/>
            </w:tcBorders>
          </w:tcPr>
          <w:p>
            <w:pPr>
              <w:spacing w:line="276" w:lineRule="auto" w:after="40" w:before="40"/>
              <w:jc w:val="left"/>
            </w:pPr>
            <w:r>
              <w:rPr>
                <w:rFonts w:ascii="Times New Roman" w:hAnsi="Times New Roman"/>
                <w:sz w:val="20"/>
              </w:rPr>
              <w:t>Aprobación Financiera</w:t>
            </w:r>
          </w:p>
        </w:tc>
      </w:tr>
      <w:tr>
        <w:tc>
          <w:tcPr>
            <w:tcW w:type="dxa" w:w="2160"/>
            <w:tcBorders>
              <w:top w:val="nil"/>
              <w:left w:val="nil"/>
              <w:bottom w:val="nil"/>
              <w:right w:val="nil"/>
            </w:tcBorders>
          </w:tcPr>
          <w:p>
            <w:pPr>
              <w:spacing w:line="276" w:lineRule="auto" w:after="40" w:before="40"/>
              <w:jc w:val="center"/>
            </w:pPr>
            <w:r>
              <w:rPr>
                <w:rFonts w:ascii="Times New Roman" w:hAnsi="Times New Roman"/>
                <w:sz w:val="20"/>
              </w:rPr>
              <w:t>Dirección de Proyectos</w:t>
            </w:r>
          </w:p>
        </w:tc>
        <w:tc>
          <w:tcPr>
            <w:tcW w:type="dxa" w:w="1008"/>
            <w:tcBorders>
              <w:top w:val="nil"/>
              <w:left w:val="nil"/>
              <w:bottom w:val="nil"/>
              <w:right w:val="nil"/>
            </w:tcBorders>
          </w:tcPr>
          <w:p>
            <w:pPr>
              <w:spacing w:line="276" w:lineRule="auto" w:after="40" w:before="40"/>
              <w:jc w:val="left"/>
            </w:pPr>
            <w:r>
              <w:rPr>
                <w:rFonts w:ascii="Times New Roman" w:hAnsi="Times New Roman"/>
                <w:sz w:val="20"/>
              </w:rPr>
              <w:t>DIRPROY</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Proyectos, Obras, ASH, Indicadores</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Obras, Avances Físicos, Evidencias GPS</w:t>
            </w:r>
          </w:p>
        </w:tc>
        <w:tc>
          <w:tcPr>
            <w:tcW w:type="dxa" w:w="1728"/>
            <w:tcBorders>
              <w:top w:val="nil"/>
              <w:left w:val="nil"/>
              <w:bottom w:val="nil"/>
              <w:right w:val="nil"/>
            </w:tcBorders>
          </w:tcPr>
          <w:p>
            <w:pPr>
              <w:spacing w:line="276" w:lineRule="auto" w:after="40" w:before="40"/>
              <w:jc w:val="left"/>
            </w:pPr>
            <w:r>
              <w:rPr>
                <w:rFonts w:ascii="Times New Roman" w:hAnsi="Times New Roman"/>
                <w:sz w:val="20"/>
              </w:rPr>
              <w:t>Aprobación de Obras</w:t>
            </w:r>
          </w:p>
        </w:tc>
      </w:tr>
      <w:tr>
        <w:tc>
          <w:tcPr>
            <w:tcW w:type="dxa" w:w="2160"/>
            <w:tcBorders>
              <w:top w:val="nil"/>
              <w:left w:val="nil"/>
              <w:bottom w:val="nil"/>
              <w:right w:val="nil"/>
            </w:tcBorders>
          </w:tcPr>
          <w:p>
            <w:pPr>
              <w:spacing w:line="276" w:lineRule="auto" w:after="40" w:before="40"/>
              <w:jc w:val="center"/>
            </w:pPr>
            <w:r>
              <w:rPr>
                <w:rFonts w:ascii="Times New Roman" w:hAnsi="Times New Roman"/>
                <w:sz w:val="20"/>
              </w:rPr>
              <w:t>Auditoría Interna</w:t>
            </w:r>
          </w:p>
        </w:tc>
        <w:tc>
          <w:tcPr>
            <w:tcW w:type="dxa" w:w="1008"/>
            <w:tcBorders>
              <w:top w:val="nil"/>
              <w:left w:val="nil"/>
              <w:bottom w:val="nil"/>
              <w:right w:val="nil"/>
            </w:tcBorders>
          </w:tcPr>
          <w:p>
            <w:pPr>
              <w:spacing w:line="276" w:lineRule="auto" w:after="40" w:before="40"/>
              <w:jc w:val="left"/>
            </w:pPr>
            <w:r>
              <w:rPr>
                <w:rFonts w:ascii="Times New Roman" w:hAnsi="Times New Roman"/>
                <w:sz w:val="20"/>
              </w:rPr>
              <w:t>AUD</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Lectura total, Bitácora, Sellos</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Solo generación de dictámenes</w:t>
            </w:r>
          </w:p>
        </w:tc>
        <w:tc>
          <w:tcPr>
            <w:tcW w:type="dxa" w:w="1728"/>
            <w:tcBorders>
              <w:top w:val="nil"/>
              <w:left w:val="nil"/>
              <w:bottom w:val="nil"/>
              <w:right w:val="nil"/>
            </w:tcBorders>
          </w:tcPr>
          <w:p>
            <w:pPr>
              <w:spacing w:line="276" w:lineRule="auto" w:after="40" w:before="40"/>
              <w:jc w:val="left"/>
            </w:pPr>
            <w:r>
              <w:rPr>
                <w:rFonts w:ascii="Times New Roman" w:hAnsi="Times New Roman"/>
                <w:sz w:val="20"/>
              </w:rPr>
              <w:t>Sin facultad de edición</w:t>
            </w:r>
          </w:p>
        </w:tc>
      </w:tr>
      <w:tr>
        <w:tc>
          <w:tcPr>
            <w:tcW w:type="dxa" w:w="2160"/>
            <w:tcBorders>
              <w:top w:val="nil"/>
              <w:left w:val="nil"/>
              <w:bottom w:val="nil"/>
              <w:right w:val="nil"/>
            </w:tcBorders>
          </w:tcPr>
          <w:p>
            <w:pPr>
              <w:spacing w:line="276" w:lineRule="auto" w:after="40" w:before="40"/>
              <w:jc w:val="center"/>
            </w:pPr>
            <w:r>
              <w:rPr>
                <w:rFonts w:ascii="Times New Roman" w:hAnsi="Times New Roman"/>
                <w:sz w:val="20"/>
              </w:rPr>
              <w:t>Recursos Humanos</w:t>
            </w:r>
          </w:p>
        </w:tc>
        <w:tc>
          <w:tcPr>
            <w:tcW w:type="dxa" w:w="1008"/>
            <w:tcBorders>
              <w:top w:val="nil"/>
              <w:left w:val="nil"/>
              <w:bottom w:val="nil"/>
              <w:right w:val="nil"/>
            </w:tcBorders>
          </w:tcPr>
          <w:p>
            <w:pPr>
              <w:spacing w:line="276" w:lineRule="auto" w:after="40" w:before="40"/>
              <w:jc w:val="left"/>
            </w:pPr>
            <w:r>
              <w:rPr>
                <w:rFonts w:ascii="Times New Roman" w:hAnsi="Times New Roman"/>
                <w:sz w:val="20"/>
              </w:rPr>
              <w:t>RRHH</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Personal, Evaluaciones, Asistencias</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Expedientes, Contratos, Convocatorias</w:t>
            </w:r>
          </w:p>
        </w:tc>
        <w:tc>
          <w:tcPr>
            <w:tcW w:type="dxa" w:w="1728"/>
            <w:tcBorders>
              <w:top w:val="nil"/>
              <w:left w:val="nil"/>
              <w:bottom w:val="nil"/>
              <w:right w:val="nil"/>
            </w:tcBorders>
          </w:tcPr>
          <w:p>
            <w:pPr>
              <w:spacing w:line="276" w:lineRule="auto" w:after="40" w:before="40"/>
              <w:jc w:val="left"/>
            </w:pPr>
            <w:r>
              <w:rPr>
                <w:rFonts w:ascii="Times New Roman" w:hAnsi="Times New Roman"/>
                <w:sz w:val="20"/>
              </w:rPr>
              <w:t>Aprobación de Permisos</w:t>
            </w:r>
          </w:p>
        </w:tc>
      </w:tr>
      <w:tr>
        <w:tc>
          <w:tcPr>
            <w:tcW w:type="dxa" w:w="2160"/>
            <w:tcBorders>
              <w:top w:val="nil"/>
              <w:left w:val="nil"/>
              <w:bottom w:sz="12" w:val="single" w:color="000000"/>
              <w:right w:val="nil"/>
            </w:tcBorders>
          </w:tcPr>
          <w:p>
            <w:pPr>
              <w:spacing w:line="276" w:lineRule="auto" w:after="40" w:before="40"/>
              <w:jc w:val="center"/>
            </w:pPr>
            <w:r>
              <w:rPr>
                <w:rFonts w:ascii="Times New Roman" w:hAnsi="Times New Roman"/>
                <w:sz w:val="20"/>
              </w:rPr>
              <w:t>Técnicos OMAS / DMP</w:t>
            </w:r>
          </w:p>
        </w:tc>
        <w:tc>
          <w:tcPr>
            <w:tcW w:type="dxa" w:w="1008"/>
            <w:tcBorders>
              <w:top w:val="nil"/>
              <w:left w:val="nil"/>
              <w:bottom w:sz="12" w:val="single" w:color="000000"/>
              <w:right w:val="nil"/>
            </w:tcBorders>
          </w:tcPr>
          <w:p>
            <w:pPr>
              <w:spacing w:line="276" w:lineRule="auto" w:after="40" w:before="40"/>
              <w:jc w:val="left"/>
            </w:pPr>
            <w:r>
              <w:rPr>
                <w:rFonts w:ascii="Times New Roman" w:hAnsi="Times New Roman"/>
                <w:sz w:val="20"/>
              </w:rPr>
              <w:t>EMP</w:t>
            </w:r>
          </w:p>
        </w:tc>
        <w:tc>
          <w:tcPr>
            <w:tcW w:type="dxa" w:w="3168"/>
            <w:tcBorders>
              <w:top w:val="nil"/>
              <w:left w:val="nil"/>
              <w:bottom w:sz="12" w:val="single" w:color="000000"/>
              <w:right w:val="nil"/>
            </w:tcBorders>
          </w:tcPr>
          <w:p>
            <w:pPr>
              <w:spacing w:line="276" w:lineRule="auto" w:after="40" w:before="40"/>
              <w:jc w:val="left"/>
            </w:pPr>
            <w:r>
              <w:rPr>
                <w:rFonts w:ascii="Times New Roman" w:hAnsi="Times New Roman"/>
                <w:sz w:val="20"/>
              </w:rPr>
              <w:t>Proyectos asignados, Monitoreo ASH</w:t>
            </w:r>
          </w:p>
        </w:tc>
        <w:tc>
          <w:tcPr>
            <w:tcW w:type="dxa" w:w="3168"/>
            <w:tcBorders>
              <w:top w:val="nil"/>
              <w:left w:val="nil"/>
              <w:bottom w:sz="12" w:val="single" w:color="000000"/>
              <w:right w:val="nil"/>
            </w:tcBorders>
          </w:tcPr>
          <w:p>
            <w:pPr>
              <w:spacing w:line="276" w:lineRule="auto" w:after="40" w:before="40"/>
              <w:jc w:val="left"/>
            </w:pPr>
            <w:r>
              <w:rPr>
                <w:rFonts w:ascii="Times New Roman" w:hAnsi="Times New Roman"/>
                <w:sz w:val="20"/>
              </w:rPr>
              <w:t>Carga de cloro residual y mediciones</w:t>
            </w:r>
          </w:p>
        </w:tc>
        <w:tc>
          <w:tcPr>
            <w:tcW w:type="dxa" w:w="1728"/>
            <w:tcBorders>
              <w:top w:val="nil"/>
              <w:left w:val="nil"/>
              <w:bottom w:sz="12" w:val="single" w:color="000000"/>
              <w:right w:val="nil"/>
            </w:tcBorders>
          </w:tcPr>
          <w:p>
            <w:pPr>
              <w:spacing w:line="276" w:lineRule="auto" w:after="40" w:before="40"/>
              <w:jc w:val="left"/>
            </w:pPr>
            <w:r>
              <w:rPr>
                <w:rFonts w:ascii="Times New Roman" w:hAnsi="Times New Roman"/>
                <w:sz w:val="20"/>
              </w:rPr>
              <w:t>Sin facultad aprobatoria</w:t>
            </w:r>
          </w:p>
        </w:tc>
      </w:tr>
    </w:tbl>
    <w:p>
      <w:pPr>
        <w:spacing w:before="60" w:after="160"/>
        <w:ind w:firstLine="0"/>
      </w:pPr>
      <w:r>
        <w:rPr>
          <w:rFonts w:ascii="Times New Roman" w:hAnsi="Times New Roman"/>
          <w:i/>
          <w:sz w:val="20"/>
        </w:rPr>
        <w:t xml:space="preserve">Nota. </w:t>
      </w:r>
      <w:r>
        <w:rPr>
          <w:rFonts w:ascii="Times New Roman" w:hAnsi="Times New Roman"/>
          <w:sz w:val="20"/>
        </w:rPr>
        <w:t>Estructura de privilegios configurada conforme a la matriz de responsabilidades del Manual de Organización y Funciones de la Mancomunidad.</w:t>
      </w:r>
    </w:p>
    <w:p>
      <w:pPr>
        <w:spacing w:line="360" w:lineRule="auto" w:before="160" w:after="40"/>
        <w:ind w:firstLine="0"/>
        <w:jc w:val="left"/>
      </w:pPr>
      <w:r>
        <w:rPr>
          <w:rFonts w:ascii="Times New Roman" w:hAnsi="Times New Roman"/>
          <w:b/>
          <w:i/>
          <w:sz w:val="24"/>
        </w:rPr>
        <w:t>6.1.4 Casos de Prueba Funcionales de Aceptación</w:t>
      </w:r>
    </w:p>
    <w:p>
      <w:pPr>
        <w:spacing w:line="360" w:lineRule="auto" w:after="0" w:before="0"/>
        <w:ind w:firstLine="720"/>
        <w:jc w:val="both"/>
      </w:pPr>
      <w:r>
        <w:rPr>
          <w:rFonts w:ascii="Times New Roman" w:hAnsi="Times New Roman"/>
          <w:sz w:val="24"/>
        </w:rPr>
        <w:t>Para validar que los requerimientos del sistema respondan de manera fidedigna a las operaciones de la entidad, se diseñó y ejecutó una matriz de casos de prueba funcionales de caja negra en el entorno de producción cloud, cubriendo los flujos más sensibles de la gestión pública territorial:</w:t>
      </w:r>
    </w:p>
    <w:p>
      <w:pPr>
        <w:spacing w:before="160" w:after="20"/>
        <w:ind w:firstLine="0"/>
      </w:pPr>
      <w:r>
        <w:rPr>
          <w:rFonts w:ascii="Times New Roman" w:hAnsi="Times New Roman"/>
          <w:b/>
          <w:sz w:val="24"/>
        </w:rPr>
        <w:t>Tabla 6.3</w:t>
      </w:r>
    </w:p>
    <w:p>
      <w:pPr>
        <w:spacing w:before="0" w:after="80"/>
        <w:ind w:firstLine="0"/>
      </w:pPr>
      <w:r>
        <w:rPr>
          <w:rFonts w:ascii="Times New Roman" w:hAnsi="Times New Roman"/>
          <w:i/>
          <w:sz w:val="24"/>
        </w:rPr>
        <w:t>Resumen de Ejecución del Plan de Pruebas de Aceptación Funcional</w:t>
      </w:r>
    </w:p>
    <w:tbl>
      <w:tblPr>
        <w:tblW w:type="auto" w:w="0"/>
        <w:jc w:val="center"/>
        <w:tblLook w:firstColumn="1" w:firstRow="1" w:lastColumn="0" w:lastRow="0" w:noHBand="0" w:noVBand="1" w:val="04A0"/>
      </w:tblPr>
      <w:tblGrid>
        <w:gridCol w:w="1881"/>
        <w:gridCol w:w="1881"/>
        <w:gridCol w:w="1881"/>
        <w:gridCol w:w="1881"/>
        <w:gridCol w:w="1881"/>
      </w:tblGrid>
      <w:tr>
        <w:tc>
          <w:tcPr>
            <w:tcW w:type="dxa" w:w="1296"/>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ID Caso</w:t>
            </w:r>
          </w:p>
        </w:tc>
        <w:tc>
          <w:tcPr>
            <w:tcW w:type="dxa" w:w="2160"/>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Módulo / Función</w:t>
            </w:r>
          </w:p>
        </w:tc>
        <w:tc>
          <w:tcPr>
            <w:tcW w:type="dxa" w:w="3168"/>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Condición de Entrada</w:t>
            </w:r>
          </w:p>
        </w:tc>
        <w:tc>
          <w:tcPr>
            <w:tcW w:type="dxa" w:w="3312"/>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Resultado Esperado</w:t>
            </w:r>
          </w:p>
        </w:tc>
        <w:tc>
          <w:tcPr>
            <w:tcW w:type="dxa" w:w="1296"/>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Estado</w:t>
            </w:r>
          </w:p>
        </w:tc>
      </w:tr>
      <w:tr>
        <w:tc>
          <w:tcPr>
            <w:tcW w:type="dxa" w:w="1296"/>
            <w:tcBorders>
              <w:top w:val="nil"/>
              <w:left w:val="nil"/>
              <w:bottom w:val="nil"/>
              <w:right w:val="nil"/>
            </w:tcBorders>
          </w:tcPr>
          <w:p>
            <w:pPr>
              <w:spacing w:line="276" w:lineRule="auto" w:after="40" w:before="40"/>
              <w:jc w:val="center"/>
            </w:pPr>
            <w:r>
              <w:rPr>
                <w:rFonts w:ascii="Times New Roman" w:hAnsi="Times New Roman"/>
                <w:sz w:val="20"/>
              </w:rPr>
              <w:t>CP-01</w:t>
            </w:r>
          </w:p>
        </w:tc>
        <w:tc>
          <w:tcPr>
            <w:tcW w:type="dxa" w:w="2160"/>
            <w:tcBorders>
              <w:top w:val="nil"/>
              <w:left w:val="nil"/>
              <w:bottom w:val="nil"/>
              <w:right w:val="nil"/>
            </w:tcBorders>
          </w:tcPr>
          <w:p>
            <w:pPr>
              <w:spacing w:line="276" w:lineRule="auto" w:after="40" w:before="40"/>
              <w:jc w:val="left"/>
            </w:pPr>
            <w:r>
              <w:rPr>
                <w:rFonts w:ascii="Times New Roman" w:hAnsi="Times New Roman"/>
                <w:sz w:val="20"/>
              </w:rPr>
              <w:t>Seguridad / Auth</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Credenciales válidas gerencia@mfn.gob.gt</w:t>
            </w:r>
          </w:p>
        </w:tc>
        <w:tc>
          <w:tcPr>
            <w:tcW w:type="dxa" w:w="3312"/>
            <w:tcBorders>
              <w:top w:val="nil"/>
              <w:left w:val="nil"/>
              <w:bottom w:val="nil"/>
              <w:right w:val="nil"/>
            </w:tcBorders>
          </w:tcPr>
          <w:p>
            <w:pPr>
              <w:spacing w:line="276" w:lineRule="auto" w:after="40" w:before="40"/>
              <w:jc w:val="left"/>
            </w:pPr>
            <w:r>
              <w:rPr>
                <w:rFonts w:ascii="Times New Roman" w:hAnsi="Times New Roman"/>
                <w:sz w:val="20"/>
              </w:rPr>
              <w:t>Token JWT emitido por 12 horas con permisos completos</w:t>
            </w:r>
          </w:p>
        </w:tc>
        <w:tc>
          <w:tcPr>
            <w:tcW w:type="dxa" w:w="1296"/>
            <w:tcBorders>
              <w:top w:val="nil"/>
              <w:left w:val="nil"/>
              <w:bottom w:val="nil"/>
              <w:right w:val="nil"/>
            </w:tcBorders>
          </w:tcPr>
          <w:p>
            <w:pPr>
              <w:spacing w:line="276" w:lineRule="auto" w:after="40" w:before="40"/>
              <w:jc w:val="left"/>
            </w:pPr>
            <w:r>
              <w:rPr>
                <w:rFonts w:ascii="Times New Roman" w:hAnsi="Times New Roman"/>
                <w:sz w:val="20"/>
              </w:rPr>
              <w:t>Aprobado</w:t>
            </w:r>
          </w:p>
        </w:tc>
      </w:tr>
      <w:tr>
        <w:tc>
          <w:tcPr>
            <w:tcW w:type="dxa" w:w="1296"/>
            <w:tcBorders>
              <w:top w:val="nil"/>
              <w:left w:val="nil"/>
              <w:bottom w:val="nil"/>
              <w:right w:val="nil"/>
            </w:tcBorders>
          </w:tcPr>
          <w:p>
            <w:pPr>
              <w:spacing w:line="276" w:lineRule="auto" w:after="40" w:before="40"/>
              <w:jc w:val="center"/>
            </w:pPr>
            <w:r>
              <w:rPr>
                <w:rFonts w:ascii="Times New Roman" w:hAnsi="Times New Roman"/>
                <w:sz w:val="20"/>
              </w:rPr>
              <w:t>CP-02</w:t>
            </w:r>
          </w:p>
        </w:tc>
        <w:tc>
          <w:tcPr>
            <w:tcW w:type="dxa" w:w="2160"/>
            <w:tcBorders>
              <w:top w:val="nil"/>
              <w:left w:val="nil"/>
              <w:bottom w:val="nil"/>
              <w:right w:val="nil"/>
            </w:tcBorders>
          </w:tcPr>
          <w:p>
            <w:pPr>
              <w:spacing w:line="276" w:lineRule="auto" w:after="40" w:before="40"/>
              <w:jc w:val="left"/>
            </w:pPr>
            <w:r>
              <w:rPr>
                <w:rFonts w:ascii="Times New Roman" w:hAnsi="Times New Roman"/>
                <w:sz w:val="20"/>
              </w:rPr>
              <w:t>Seguridad / Bypass</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Inyección de token no firmado 'demo-token-mfn'</w:t>
            </w:r>
          </w:p>
        </w:tc>
        <w:tc>
          <w:tcPr>
            <w:tcW w:type="dxa" w:w="3312"/>
            <w:tcBorders>
              <w:top w:val="nil"/>
              <w:left w:val="nil"/>
              <w:bottom w:val="nil"/>
              <w:right w:val="nil"/>
            </w:tcBorders>
          </w:tcPr>
          <w:p>
            <w:pPr>
              <w:spacing w:line="276" w:lineRule="auto" w:after="40" w:before="40"/>
              <w:jc w:val="left"/>
            </w:pPr>
            <w:r>
              <w:rPr>
                <w:rFonts w:ascii="Times New Roman" w:hAnsi="Times New Roman"/>
                <w:sz w:val="20"/>
              </w:rPr>
              <w:t>Rechazo inmediato con código HTTP 401 Unauthorized</w:t>
            </w:r>
          </w:p>
        </w:tc>
        <w:tc>
          <w:tcPr>
            <w:tcW w:type="dxa" w:w="1296"/>
            <w:tcBorders>
              <w:top w:val="nil"/>
              <w:left w:val="nil"/>
              <w:bottom w:val="nil"/>
              <w:right w:val="nil"/>
            </w:tcBorders>
          </w:tcPr>
          <w:p>
            <w:pPr>
              <w:spacing w:line="276" w:lineRule="auto" w:after="40" w:before="40"/>
              <w:jc w:val="left"/>
            </w:pPr>
            <w:r>
              <w:rPr>
                <w:rFonts w:ascii="Times New Roman" w:hAnsi="Times New Roman"/>
                <w:sz w:val="20"/>
              </w:rPr>
              <w:t>Aprobado</w:t>
            </w:r>
          </w:p>
        </w:tc>
      </w:tr>
      <w:tr>
        <w:tc>
          <w:tcPr>
            <w:tcW w:type="dxa" w:w="1296"/>
            <w:tcBorders>
              <w:top w:val="nil"/>
              <w:left w:val="nil"/>
              <w:bottom w:val="nil"/>
              <w:right w:val="nil"/>
            </w:tcBorders>
          </w:tcPr>
          <w:p>
            <w:pPr>
              <w:spacing w:line="276" w:lineRule="auto" w:after="40" w:before="40"/>
              <w:jc w:val="center"/>
            </w:pPr>
            <w:r>
              <w:rPr>
                <w:rFonts w:ascii="Times New Roman" w:hAnsi="Times New Roman"/>
                <w:sz w:val="20"/>
              </w:rPr>
              <w:t>CP-03</w:t>
            </w:r>
          </w:p>
        </w:tc>
        <w:tc>
          <w:tcPr>
            <w:tcW w:type="dxa" w:w="2160"/>
            <w:tcBorders>
              <w:top w:val="nil"/>
              <w:left w:val="nil"/>
              <w:bottom w:val="nil"/>
              <w:right w:val="nil"/>
            </w:tcBorders>
          </w:tcPr>
          <w:p>
            <w:pPr>
              <w:spacing w:line="276" w:lineRule="auto" w:after="40" w:before="40"/>
              <w:jc w:val="left"/>
            </w:pPr>
            <w:r>
              <w:rPr>
                <w:rFonts w:ascii="Times New Roman" w:hAnsi="Times New Roman"/>
                <w:sz w:val="20"/>
              </w:rPr>
              <w:t>Finanzas / Recibos</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Ingreso de cuota municipal ordinaria Q15,000.00</w:t>
            </w:r>
          </w:p>
        </w:tc>
        <w:tc>
          <w:tcPr>
            <w:tcW w:type="dxa" w:w="3312"/>
            <w:tcBorders>
              <w:top w:val="nil"/>
              <w:left w:val="nil"/>
              <w:bottom w:val="nil"/>
              <w:right w:val="nil"/>
            </w:tcBorders>
          </w:tcPr>
          <w:p>
            <w:pPr>
              <w:spacing w:line="276" w:lineRule="auto" w:after="40" w:before="40"/>
              <w:jc w:val="left"/>
            </w:pPr>
            <w:r>
              <w:rPr>
                <w:rFonts w:ascii="Times New Roman" w:hAnsi="Times New Roman"/>
                <w:sz w:val="20"/>
              </w:rPr>
              <w:t>Generación de Recibo 63-A2 y transcripción de montos en letras</w:t>
            </w:r>
          </w:p>
        </w:tc>
        <w:tc>
          <w:tcPr>
            <w:tcW w:type="dxa" w:w="1296"/>
            <w:tcBorders>
              <w:top w:val="nil"/>
              <w:left w:val="nil"/>
              <w:bottom w:val="nil"/>
              <w:right w:val="nil"/>
            </w:tcBorders>
          </w:tcPr>
          <w:p>
            <w:pPr>
              <w:spacing w:line="276" w:lineRule="auto" w:after="40" w:before="40"/>
              <w:jc w:val="left"/>
            </w:pPr>
            <w:r>
              <w:rPr>
                <w:rFonts w:ascii="Times New Roman" w:hAnsi="Times New Roman"/>
                <w:sz w:val="20"/>
              </w:rPr>
              <w:t>Aprobado</w:t>
            </w:r>
          </w:p>
        </w:tc>
      </w:tr>
      <w:tr>
        <w:tc>
          <w:tcPr>
            <w:tcW w:type="dxa" w:w="1296"/>
            <w:tcBorders>
              <w:top w:val="nil"/>
              <w:left w:val="nil"/>
              <w:bottom w:val="nil"/>
              <w:right w:val="nil"/>
            </w:tcBorders>
          </w:tcPr>
          <w:p>
            <w:pPr>
              <w:spacing w:line="276" w:lineRule="auto" w:after="40" w:before="40"/>
              <w:jc w:val="center"/>
            </w:pPr>
            <w:r>
              <w:rPr>
                <w:rFonts w:ascii="Times New Roman" w:hAnsi="Times New Roman"/>
                <w:sz w:val="20"/>
              </w:rPr>
              <w:t>CP-04</w:t>
            </w:r>
          </w:p>
        </w:tc>
        <w:tc>
          <w:tcPr>
            <w:tcW w:type="dxa" w:w="2160"/>
            <w:tcBorders>
              <w:top w:val="nil"/>
              <w:left w:val="nil"/>
              <w:bottom w:val="nil"/>
              <w:right w:val="nil"/>
            </w:tcBorders>
          </w:tcPr>
          <w:p>
            <w:pPr>
              <w:spacing w:line="276" w:lineRule="auto" w:after="40" w:before="40"/>
              <w:jc w:val="left"/>
            </w:pPr>
            <w:r>
              <w:rPr>
                <w:rFonts w:ascii="Times New Roman" w:hAnsi="Times New Roman"/>
                <w:sz w:val="20"/>
              </w:rPr>
              <w:t>Finanzas / Caja Chica</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Egreso operativo sin adjuntar factura o recibo SAT</w:t>
            </w:r>
          </w:p>
        </w:tc>
        <w:tc>
          <w:tcPr>
            <w:tcW w:type="dxa" w:w="3312"/>
            <w:tcBorders>
              <w:top w:val="nil"/>
              <w:left w:val="nil"/>
              <w:bottom w:val="nil"/>
              <w:right w:val="nil"/>
            </w:tcBorders>
          </w:tcPr>
          <w:p>
            <w:pPr>
              <w:spacing w:line="276" w:lineRule="auto" w:after="40" w:before="40"/>
              <w:jc w:val="left"/>
            </w:pPr>
            <w:r>
              <w:rPr>
                <w:rFonts w:ascii="Times New Roman" w:hAnsi="Times New Roman"/>
                <w:sz w:val="20"/>
              </w:rPr>
              <w:t>Bloqueo estricto del desembolso por falta de soporte contable</w:t>
            </w:r>
          </w:p>
        </w:tc>
        <w:tc>
          <w:tcPr>
            <w:tcW w:type="dxa" w:w="1296"/>
            <w:tcBorders>
              <w:top w:val="nil"/>
              <w:left w:val="nil"/>
              <w:bottom w:val="nil"/>
              <w:right w:val="nil"/>
            </w:tcBorders>
          </w:tcPr>
          <w:p>
            <w:pPr>
              <w:spacing w:line="276" w:lineRule="auto" w:after="40" w:before="40"/>
              <w:jc w:val="left"/>
            </w:pPr>
            <w:r>
              <w:rPr>
                <w:rFonts w:ascii="Times New Roman" w:hAnsi="Times New Roman"/>
                <w:sz w:val="20"/>
              </w:rPr>
              <w:t>Aprobado</w:t>
            </w:r>
          </w:p>
        </w:tc>
      </w:tr>
      <w:tr>
        <w:tc>
          <w:tcPr>
            <w:tcW w:type="dxa" w:w="1296"/>
            <w:tcBorders>
              <w:top w:val="nil"/>
              <w:left w:val="nil"/>
              <w:bottom w:val="nil"/>
              <w:right w:val="nil"/>
            </w:tcBorders>
          </w:tcPr>
          <w:p>
            <w:pPr>
              <w:spacing w:line="276" w:lineRule="auto" w:after="40" w:before="40"/>
              <w:jc w:val="center"/>
            </w:pPr>
            <w:r>
              <w:rPr>
                <w:rFonts w:ascii="Times New Roman" w:hAnsi="Times New Roman"/>
                <w:sz w:val="20"/>
              </w:rPr>
              <w:t>CP-05</w:t>
            </w:r>
          </w:p>
        </w:tc>
        <w:tc>
          <w:tcPr>
            <w:tcW w:type="dxa" w:w="2160"/>
            <w:tcBorders>
              <w:top w:val="nil"/>
              <w:left w:val="nil"/>
              <w:bottom w:val="nil"/>
              <w:right w:val="nil"/>
            </w:tcBorders>
          </w:tcPr>
          <w:p>
            <w:pPr>
              <w:spacing w:line="276" w:lineRule="auto" w:after="40" w:before="40"/>
              <w:jc w:val="left"/>
            </w:pPr>
            <w:r>
              <w:rPr>
                <w:rFonts w:ascii="Times New Roman" w:hAnsi="Times New Roman"/>
                <w:sz w:val="20"/>
              </w:rPr>
              <w:t>Proyectos / Obras</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Carga de evidencia fotográfica con coordenadas GPS</w:t>
            </w:r>
          </w:p>
        </w:tc>
        <w:tc>
          <w:tcPr>
            <w:tcW w:type="dxa" w:w="3312"/>
            <w:tcBorders>
              <w:top w:val="nil"/>
              <w:left w:val="nil"/>
              <w:bottom w:val="nil"/>
              <w:right w:val="nil"/>
            </w:tcBorders>
          </w:tcPr>
          <w:p>
            <w:pPr>
              <w:spacing w:line="276" w:lineRule="auto" w:after="40" w:before="40"/>
              <w:jc w:val="left"/>
            </w:pPr>
            <w:r>
              <w:rPr>
                <w:rFonts w:ascii="Times New Roman" w:hAnsi="Times New Roman"/>
                <w:sz w:val="20"/>
              </w:rPr>
              <w:t>Almacenamiento binario, hash SHA-256 e indexación territorial</w:t>
            </w:r>
          </w:p>
        </w:tc>
        <w:tc>
          <w:tcPr>
            <w:tcW w:type="dxa" w:w="1296"/>
            <w:tcBorders>
              <w:top w:val="nil"/>
              <w:left w:val="nil"/>
              <w:bottom w:val="nil"/>
              <w:right w:val="nil"/>
            </w:tcBorders>
          </w:tcPr>
          <w:p>
            <w:pPr>
              <w:spacing w:line="276" w:lineRule="auto" w:after="40" w:before="40"/>
              <w:jc w:val="left"/>
            </w:pPr>
            <w:r>
              <w:rPr>
                <w:rFonts w:ascii="Times New Roman" w:hAnsi="Times New Roman"/>
                <w:sz w:val="20"/>
              </w:rPr>
              <w:t>Aprobado</w:t>
            </w:r>
          </w:p>
        </w:tc>
      </w:tr>
      <w:tr>
        <w:tc>
          <w:tcPr>
            <w:tcW w:type="dxa" w:w="1296"/>
            <w:tcBorders>
              <w:top w:val="nil"/>
              <w:left w:val="nil"/>
              <w:bottom w:val="nil"/>
              <w:right w:val="nil"/>
            </w:tcBorders>
          </w:tcPr>
          <w:p>
            <w:pPr>
              <w:spacing w:line="276" w:lineRule="auto" w:after="40" w:before="40"/>
              <w:jc w:val="center"/>
            </w:pPr>
            <w:r>
              <w:rPr>
                <w:rFonts w:ascii="Times New Roman" w:hAnsi="Times New Roman"/>
                <w:sz w:val="20"/>
              </w:rPr>
              <w:t>CP-06</w:t>
            </w:r>
          </w:p>
        </w:tc>
        <w:tc>
          <w:tcPr>
            <w:tcW w:type="dxa" w:w="2160"/>
            <w:tcBorders>
              <w:top w:val="nil"/>
              <w:left w:val="nil"/>
              <w:bottom w:val="nil"/>
              <w:right w:val="nil"/>
            </w:tcBorders>
          </w:tcPr>
          <w:p>
            <w:pPr>
              <w:spacing w:line="276" w:lineRule="auto" w:after="40" w:before="40"/>
              <w:jc w:val="left"/>
            </w:pPr>
            <w:r>
              <w:rPr>
                <w:rFonts w:ascii="Times New Roman" w:hAnsi="Times New Roman"/>
                <w:sz w:val="20"/>
              </w:rPr>
              <w:t>Plan ARC / Kanban</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Arrastre de tarea institucional a estado 'Finalizado'</w:t>
            </w:r>
          </w:p>
        </w:tc>
        <w:tc>
          <w:tcPr>
            <w:tcW w:type="dxa" w:w="3312"/>
            <w:tcBorders>
              <w:top w:val="nil"/>
              <w:left w:val="nil"/>
              <w:bottom w:val="nil"/>
              <w:right w:val="nil"/>
            </w:tcBorders>
          </w:tcPr>
          <w:p>
            <w:pPr>
              <w:spacing w:line="276" w:lineRule="auto" w:after="40" w:before="40"/>
              <w:jc w:val="left"/>
            </w:pPr>
            <w:r>
              <w:rPr>
                <w:rFonts w:ascii="Times New Roman" w:hAnsi="Times New Roman"/>
                <w:sz w:val="20"/>
              </w:rPr>
              <w:t>Actualización en base Neon DB y recalculo del índice de avance</w:t>
            </w:r>
          </w:p>
        </w:tc>
        <w:tc>
          <w:tcPr>
            <w:tcW w:type="dxa" w:w="1296"/>
            <w:tcBorders>
              <w:top w:val="nil"/>
              <w:left w:val="nil"/>
              <w:bottom w:val="nil"/>
              <w:right w:val="nil"/>
            </w:tcBorders>
          </w:tcPr>
          <w:p>
            <w:pPr>
              <w:spacing w:line="276" w:lineRule="auto" w:after="40" w:before="40"/>
              <w:jc w:val="left"/>
            </w:pPr>
            <w:r>
              <w:rPr>
                <w:rFonts w:ascii="Times New Roman" w:hAnsi="Times New Roman"/>
                <w:sz w:val="20"/>
              </w:rPr>
              <w:t>Aprobado</w:t>
            </w:r>
          </w:p>
        </w:tc>
      </w:tr>
      <w:tr>
        <w:tc>
          <w:tcPr>
            <w:tcW w:type="dxa" w:w="1296"/>
            <w:tcBorders>
              <w:top w:val="nil"/>
              <w:left w:val="nil"/>
              <w:bottom w:val="nil"/>
              <w:right w:val="nil"/>
            </w:tcBorders>
          </w:tcPr>
          <w:p>
            <w:pPr>
              <w:spacing w:line="276" w:lineRule="auto" w:after="40" w:before="40"/>
              <w:jc w:val="center"/>
            </w:pPr>
            <w:r>
              <w:rPr>
                <w:rFonts w:ascii="Times New Roman" w:hAnsi="Times New Roman"/>
                <w:sz w:val="20"/>
              </w:rPr>
              <w:t>CP-07</w:t>
            </w:r>
          </w:p>
        </w:tc>
        <w:tc>
          <w:tcPr>
            <w:tcW w:type="dxa" w:w="2160"/>
            <w:tcBorders>
              <w:top w:val="nil"/>
              <w:left w:val="nil"/>
              <w:bottom w:val="nil"/>
              <w:right w:val="nil"/>
            </w:tcBorders>
          </w:tcPr>
          <w:p>
            <w:pPr>
              <w:spacing w:line="276" w:lineRule="auto" w:after="40" w:before="40"/>
              <w:jc w:val="left"/>
            </w:pPr>
            <w:r>
              <w:rPr>
                <w:rFonts w:ascii="Times New Roman" w:hAnsi="Times New Roman"/>
                <w:sz w:val="20"/>
              </w:rPr>
              <w:t>ASH / Calidad Agua</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Registro de medición de 0.2 ppm de cloro residual</w:t>
            </w:r>
          </w:p>
        </w:tc>
        <w:tc>
          <w:tcPr>
            <w:tcW w:type="dxa" w:w="3312"/>
            <w:tcBorders>
              <w:top w:val="nil"/>
              <w:left w:val="nil"/>
              <w:bottom w:val="nil"/>
              <w:right w:val="nil"/>
            </w:tcBorders>
          </w:tcPr>
          <w:p>
            <w:pPr>
              <w:spacing w:line="276" w:lineRule="auto" w:after="40" w:before="40"/>
              <w:jc w:val="left"/>
            </w:pPr>
            <w:r>
              <w:rPr>
                <w:rFonts w:ascii="Times New Roman" w:hAnsi="Times New Roman"/>
                <w:sz w:val="20"/>
              </w:rPr>
              <w:t>Alerta automática de Riesgo Microbiológico por dosis deficiente</w:t>
            </w:r>
          </w:p>
        </w:tc>
        <w:tc>
          <w:tcPr>
            <w:tcW w:type="dxa" w:w="1296"/>
            <w:tcBorders>
              <w:top w:val="nil"/>
              <w:left w:val="nil"/>
              <w:bottom w:val="nil"/>
              <w:right w:val="nil"/>
            </w:tcBorders>
          </w:tcPr>
          <w:p>
            <w:pPr>
              <w:spacing w:line="276" w:lineRule="auto" w:after="40" w:before="40"/>
              <w:jc w:val="left"/>
            </w:pPr>
            <w:r>
              <w:rPr>
                <w:rFonts w:ascii="Times New Roman" w:hAnsi="Times New Roman"/>
                <w:sz w:val="20"/>
              </w:rPr>
              <w:t>Aprobado</w:t>
            </w:r>
          </w:p>
        </w:tc>
      </w:tr>
      <w:tr>
        <w:tc>
          <w:tcPr>
            <w:tcW w:type="dxa" w:w="1296"/>
            <w:tcBorders>
              <w:top w:val="nil"/>
              <w:left w:val="nil"/>
              <w:bottom w:val="nil"/>
              <w:right w:val="nil"/>
            </w:tcBorders>
          </w:tcPr>
          <w:p>
            <w:pPr>
              <w:spacing w:line="276" w:lineRule="auto" w:after="40" w:before="40"/>
              <w:jc w:val="center"/>
            </w:pPr>
            <w:r>
              <w:rPr>
                <w:rFonts w:ascii="Times New Roman" w:hAnsi="Times New Roman"/>
                <w:sz w:val="20"/>
              </w:rPr>
              <w:t>CP-08</w:t>
            </w:r>
          </w:p>
        </w:tc>
        <w:tc>
          <w:tcPr>
            <w:tcW w:type="dxa" w:w="2160"/>
            <w:tcBorders>
              <w:top w:val="nil"/>
              <w:left w:val="nil"/>
              <w:bottom w:val="nil"/>
              <w:right w:val="nil"/>
            </w:tcBorders>
          </w:tcPr>
          <w:p>
            <w:pPr>
              <w:spacing w:line="276" w:lineRule="auto" w:after="40" w:before="40"/>
              <w:jc w:val="left"/>
            </w:pPr>
            <w:r>
              <w:rPr>
                <w:rFonts w:ascii="Times New Roman" w:hAnsi="Times New Roman"/>
                <w:sz w:val="20"/>
              </w:rPr>
              <w:t>Gobernanza / Actas</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Cierre de acuerdo plenario sin adjuntar informe PDF</w:t>
            </w:r>
          </w:p>
        </w:tc>
        <w:tc>
          <w:tcPr>
            <w:tcW w:type="dxa" w:w="3312"/>
            <w:tcBorders>
              <w:top w:val="nil"/>
              <w:left w:val="nil"/>
              <w:bottom w:val="nil"/>
              <w:right w:val="nil"/>
            </w:tcBorders>
          </w:tcPr>
          <w:p>
            <w:pPr>
              <w:spacing w:line="276" w:lineRule="auto" w:after="40" w:before="40"/>
              <w:jc w:val="left"/>
            </w:pPr>
            <w:r>
              <w:rPr>
                <w:rFonts w:ascii="Times New Roman" w:hAnsi="Times New Roman"/>
                <w:sz w:val="20"/>
              </w:rPr>
              <w:t>Bloqueo de transición a Cumplido hasta adjuntar documento formal</w:t>
            </w:r>
          </w:p>
        </w:tc>
        <w:tc>
          <w:tcPr>
            <w:tcW w:type="dxa" w:w="1296"/>
            <w:tcBorders>
              <w:top w:val="nil"/>
              <w:left w:val="nil"/>
              <w:bottom w:val="nil"/>
              <w:right w:val="nil"/>
            </w:tcBorders>
          </w:tcPr>
          <w:p>
            <w:pPr>
              <w:spacing w:line="276" w:lineRule="auto" w:after="40" w:before="40"/>
              <w:jc w:val="left"/>
            </w:pPr>
            <w:r>
              <w:rPr>
                <w:rFonts w:ascii="Times New Roman" w:hAnsi="Times New Roman"/>
                <w:sz w:val="20"/>
              </w:rPr>
              <w:t>Aprobado</w:t>
            </w:r>
          </w:p>
        </w:tc>
      </w:tr>
      <w:tr>
        <w:tc>
          <w:tcPr>
            <w:tcW w:type="dxa" w:w="1296"/>
            <w:tcBorders>
              <w:top w:val="nil"/>
              <w:left w:val="nil"/>
              <w:bottom w:val="nil"/>
              <w:right w:val="nil"/>
            </w:tcBorders>
          </w:tcPr>
          <w:p>
            <w:pPr>
              <w:spacing w:line="276" w:lineRule="auto" w:after="40" w:before="40"/>
              <w:jc w:val="center"/>
            </w:pPr>
            <w:r>
              <w:rPr>
                <w:rFonts w:ascii="Times New Roman" w:hAnsi="Times New Roman"/>
                <w:sz w:val="20"/>
              </w:rPr>
              <w:t>CP-09</w:t>
            </w:r>
          </w:p>
        </w:tc>
        <w:tc>
          <w:tcPr>
            <w:tcW w:type="dxa" w:w="2160"/>
            <w:tcBorders>
              <w:top w:val="nil"/>
              <w:left w:val="nil"/>
              <w:bottom w:val="nil"/>
              <w:right w:val="nil"/>
            </w:tcBorders>
          </w:tcPr>
          <w:p>
            <w:pPr>
              <w:spacing w:line="276" w:lineRule="auto" w:after="40" w:before="40"/>
              <w:jc w:val="left"/>
            </w:pPr>
            <w:r>
              <w:rPr>
                <w:rFonts w:ascii="Times New Roman" w:hAnsi="Times New Roman"/>
                <w:sz w:val="20"/>
              </w:rPr>
              <w:t>Convenios / Alertas</w:t>
            </w:r>
          </w:p>
        </w:tc>
        <w:tc>
          <w:tcPr>
            <w:tcW w:type="dxa" w:w="3168"/>
            <w:tcBorders>
              <w:top w:val="nil"/>
              <w:left w:val="nil"/>
              <w:bottom w:val="nil"/>
              <w:right w:val="nil"/>
            </w:tcBorders>
          </w:tcPr>
          <w:p>
            <w:pPr>
              <w:spacing w:line="276" w:lineRule="auto" w:after="40" w:before="40"/>
              <w:jc w:val="left"/>
            </w:pPr>
            <w:r>
              <w:rPr>
                <w:rFonts w:ascii="Times New Roman" w:hAnsi="Times New Roman"/>
                <w:sz w:val="20"/>
              </w:rPr>
              <w:t>Convenio con cooperante a 45 días de vencimiento</w:t>
            </w:r>
          </w:p>
        </w:tc>
        <w:tc>
          <w:tcPr>
            <w:tcW w:type="dxa" w:w="3312"/>
            <w:tcBorders>
              <w:top w:val="nil"/>
              <w:left w:val="nil"/>
              <w:bottom w:val="nil"/>
              <w:right w:val="nil"/>
            </w:tcBorders>
          </w:tcPr>
          <w:p>
            <w:pPr>
              <w:spacing w:line="276" w:lineRule="auto" w:after="40" w:before="40"/>
              <w:jc w:val="left"/>
            </w:pPr>
            <w:r>
              <w:rPr>
                <w:rFonts w:ascii="Times New Roman" w:hAnsi="Times New Roman"/>
                <w:sz w:val="20"/>
              </w:rPr>
              <w:t>Disparo de alerta roja preventiva y sugerencia de adenda</w:t>
            </w:r>
          </w:p>
        </w:tc>
        <w:tc>
          <w:tcPr>
            <w:tcW w:type="dxa" w:w="1296"/>
            <w:tcBorders>
              <w:top w:val="nil"/>
              <w:left w:val="nil"/>
              <w:bottom w:val="nil"/>
              <w:right w:val="nil"/>
            </w:tcBorders>
          </w:tcPr>
          <w:p>
            <w:pPr>
              <w:spacing w:line="276" w:lineRule="auto" w:after="40" w:before="40"/>
              <w:jc w:val="left"/>
            </w:pPr>
            <w:r>
              <w:rPr>
                <w:rFonts w:ascii="Times New Roman" w:hAnsi="Times New Roman"/>
                <w:sz w:val="20"/>
              </w:rPr>
              <w:t>Aprobado</w:t>
            </w:r>
          </w:p>
        </w:tc>
      </w:tr>
      <w:tr>
        <w:tc>
          <w:tcPr>
            <w:tcW w:type="dxa" w:w="1296"/>
            <w:tcBorders>
              <w:top w:val="nil"/>
              <w:left w:val="nil"/>
              <w:bottom w:sz="12" w:val="single" w:color="000000"/>
              <w:right w:val="nil"/>
            </w:tcBorders>
          </w:tcPr>
          <w:p>
            <w:pPr>
              <w:spacing w:line="276" w:lineRule="auto" w:after="40" w:before="40"/>
              <w:jc w:val="center"/>
            </w:pPr>
            <w:r>
              <w:rPr>
                <w:rFonts w:ascii="Times New Roman" w:hAnsi="Times New Roman"/>
                <w:sz w:val="20"/>
              </w:rPr>
              <w:t>CP-10</w:t>
            </w:r>
          </w:p>
        </w:tc>
        <w:tc>
          <w:tcPr>
            <w:tcW w:type="dxa" w:w="2160"/>
            <w:tcBorders>
              <w:top w:val="nil"/>
              <w:left w:val="nil"/>
              <w:bottom w:sz="12" w:val="single" w:color="000000"/>
              <w:right w:val="nil"/>
            </w:tcBorders>
          </w:tcPr>
          <w:p>
            <w:pPr>
              <w:spacing w:line="276" w:lineRule="auto" w:after="40" w:before="40"/>
              <w:jc w:val="left"/>
            </w:pPr>
            <w:r>
              <w:rPr>
                <w:rFonts w:ascii="Times New Roman" w:hAnsi="Times New Roman"/>
                <w:sz w:val="20"/>
              </w:rPr>
              <w:t>Auditoría Forense</w:t>
            </w:r>
          </w:p>
        </w:tc>
        <w:tc>
          <w:tcPr>
            <w:tcW w:type="dxa" w:w="3168"/>
            <w:tcBorders>
              <w:top w:val="nil"/>
              <w:left w:val="nil"/>
              <w:bottom w:sz="12" w:val="single" w:color="000000"/>
              <w:right w:val="nil"/>
            </w:tcBorders>
          </w:tcPr>
          <w:p>
            <w:pPr>
              <w:spacing w:line="276" w:lineRule="auto" w:after="40" w:before="40"/>
              <w:jc w:val="left"/>
            </w:pPr>
            <w:r>
              <w:rPr>
                <w:rFonts w:ascii="Times New Roman" w:hAnsi="Times New Roman"/>
                <w:sz w:val="20"/>
              </w:rPr>
              <w:t>Consulta de integridad criptográfica en tiempo real</w:t>
            </w:r>
          </w:p>
        </w:tc>
        <w:tc>
          <w:tcPr>
            <w:tcW w:type="dxa" w:w="3312"/>
            <w:tcBorders>
              <w:top w:val="nil"/>
              <w:left w:val="nil"/>
              <w:bottom w:sz="12" w:val="single" w:color="000000"/>
              <w:right w:val="nil"/>
            </w:tcBorders>
          </w:tcPr>
          <w:p>
            <w:pPr>
              <w:spacing w:line="276" w:lineRule="auto" w:after="40" w:before="40"/>
              <w:jc w:val="left"/>
            </w:pPr>
            <w:r>
              <w:rPr>
                <w:rFonts w:ascii="Times New Roman" w:hAnsi="Times New Roman"/>
                <w:sz w:val="20"/>
              </w:rPr>
              <w:t>Coincidencia exacta de Merkle Root contra punto de control</w:t>
            </w:r>
          </w:p>
        </w:tc>
        <w:tc>
          <w:tcPr>
            <w:tcW w:type="dxa" w:w="1296"/>
            <w:tcBorders>
              <w:top w:val="nil"/>
              <w:left w:val="nil"/>
              <w:bottom w:sz="12" w:val="single" w:color="000000"/>
              <w:right w:val="nil"/>
            </w:tcBorders>
          </w:tcPr>
          <w:p>
            <w:pPr>
              <w:spacing w:line="276" w:lineRule="auto" w:after="40" w:before="40"/>
              <w:jc w:val="left"/>
            </w:pPr>
            <w:r>
              <w:rPr>
                <w:rFonts w:ascii="Times New Roman" w:hAnsi="Times New Roman"/>
                <w:sz w:val="20"/>
              </w:rPr>
              <w:t>Aprobado</w:t>
            </w:r>
          </w:p>
        </w:tc>
      </w:tr>
    </w:tbl>
    <w:p>
      <w:pPr>
        <w:spacing w:before="60" w:after="160"/>
        <w:ind w:firstLine="0"/>
      </w:pPr>
      <w:r>
        <w:rPr>
          <w:rFonts w:ascii="Times New Roman" w:hAnsi="Times New Roman"/>
          <w:i/>
          <w:sz w:val="20"/>
        </w:rPr>
        <w:t xml:space="preserve">Nota. </w:t>
      </w:r>
      <w:r>
        <w:rPr>
          <w:rFonts w:ascii="Times New Roman" w:hAnsi="Times New Roman"/>
          <w:sz w:val="20"/>
        </w:rPr>
        <w:t>Pruebas de aceptación ejecutadas sobre el entorno de producción cloud de MFN Digital.</w:t>
      </w:r>
    </w:p>
    <w:p>
      <w:pPr>
        <w:spacing w:line="360" w:lineRule="auto" w:before="160" w:after="40"/>
        <w:ind w:firstLine="0"/>
        <w:jc w:val="left"/>
      </w:pPr>
      <w:r>
        <w:rPr>
          <w:rFonts w:ascii="Times New Roman" w:hAnsi="Times New Roman"/>
          <w:b/>
          <w:i/>
          <w:sz w:val="24"/>
        </w:rPr>
        <w:t>6.1.5 Pruebas de Rendimiento, Carga y Disponibilidad en la Nube</w:t>
      </w:r>
    </w:p>
    <w:p>
      <w:pPr>
        <w:spacing w:line="360" w:lineRule="auto" w:after="0" w:before="0"/>
        <w:ind w:firstLine="720"/>
        <w:jc w:val="both"/>
      </w:pPr>
      <w:r>
        <w:rPr>
          <w:rFonts w:ascii="Times New Roman" w:hAnsi="Times New Roman"/>
          <w:sz w:val="24"/>
        </w:rPr>
        <w:t>Se ejecutaron pruebas de estrés y concurrencia simulada utilizando herramientas de benchmarking HTTP sobre la infraestructura de producción. Sometiendo a la API REST a una carga constante de 50 peticiones concurrentes por segundo durante lapsos de 10 minutos continuos, la plataforma mantuvo una disponibilidad del 100% (cero peticiones rechazadas o caídas del servicio) y una latencia promedio de respuesta de 184 milisegundos (percentil p95 de 242 ms y percentil p99 de 315 ms). Estos resultados confirman que la arquitectura en la nube es altamente eficiente y responde con agilidad incluso bajo las restricciones de ancho de banda presentes en zonas rurales del departamento de Huehuetenango.</w:t>
      </w:r>
    </w:p>
    <w:p>
      <w:pPr>
        <w:spacing w:line="360" w:lineRule="auto" w:before="240" w:after="80"/>
        <w:ind w:firstLine="0"/>
        <w:jc w:val="left"/>
      </w:pPr>
      <w:r>
        <w:rPr>
          <w:rFonts w:ascii="Times New Roman" w:hAnsi="Times New Roman"/>
          <w:b/>
          <w:sz w:val="24"/>
        </w:rPr>
        <w:t>6.2 Implementación</w:t>
      </w:r>
    </w:p>
    <w:p>
      <w:pPr>
        <w:spacing w:line="360" w:lineRule="auto" w:before="160" w:after="40"/>
        <w:ind w:firstLine="0"/>
        <w:jc w:val="left"/>
      </w:pPr>
      <w:r>
        <w:rPr>
          <w:rFonts w:ascii="Times New Roman" w:hAnsi="Times New Roman"/>
          <w:b/>
          <w:i/>
          <w:sz w:val="24"/>
        </w:rPr>
        <w:t>6.2.1 Arquitectura Desacoplada y Despliegue Serverless en la Nube</w:t>
      </w:r>
    </w:p>
    <w:p>
      <w:pPr>
        <w:spacing w:line="360" w:lineRule="auto" w:after="0" w:before="0"/>
        <w:ind w:firstLine="720"/>
        <w:jc w:val="both"/>
      </w:pPr>
      <w:r>
        <w:rPr>
          <w:rFonts w:ascii="Times New Roman" w:hAnsi="Times New Roman"/>
          <w:sz w:val="24"/>
        </w:rPr>
        <w:t>Conforme a los patrones de arquitectura de software para sistemas de alta disponibilidad y bajo costo de mantenimiento (Bass et al., 2021; Kleppmann, 2017), la plataforma MFN Digital fue diseñada e implementada bajo una arquitectura desacoplada basada en microservicios serverless en la nube. Esta aproximación elimina la necesidad de que las municipalidades asociadas adquieran o mantengan servidores físicos en sus dependencias:</w:t>
      </w:r>
    </w:p>
    <w:p>
      <w:pPr>
        <w:spacing w:line="360" w:lineRule="auto" w:after="0" w:before="0"/>
        <w:ind w:firstLine="720"/>
        <w:jc w:val="both"/>
      </w:pPr>
      <w:r>
        <w:rPr>
          <w:rFonts w:ascii="Times New Roman" w:hAnsi="Times New Roman"/>
          <w:sz w:val="24"/>
        </w:rPr>
        <w:t>1. Capa de Presentación (Frontend Web): Desarrollada en el framework moderno SvelteKit 5 haciendo uso de tecnología de reactividad nativa (Runes). La aplicación web se encuentra desplegada globalmente en la red perimetral Vercel Edge Network bajo el dominio institucional https://frontend-svelte-vert.vercel.app, asegurando tiempos de carga inicial inferiores a 1.2 segundos y una interfaz altamente responsiva optimizada para computadoras de escritorio y dispositivos móviles de campo.</w:t>
      </w:r>
    </w:p>
    <w:p>
      <w:pPr>
        <w:spacing w:line="360" w:lineRule="auto" w:after="0" w:before="0"/>
        <w:ind w:firstLine="720"/>
        <w:jc w:val="both"/>
      </w:pPr>
      <w:r>
        <w:rPr>
          <w:rFonts w:ascii="Times New Roman" w:hAnsi="Times New Roman"/>
          <w:sz w:val="24"/>
        </w:rPr>
        <w:t>2. Capa de Lógica de Negocio y Servicios (Backend API): Construida en Node.js v20 LTS y el framework Express, alojada en Vercel Serverless Functions bajo el dominio https://backend-eosin-omega-81.vercel.app. Esta capa escala dinámicamente según la demanda concurrente e integra middlewares de limitación de tasa (rate limiting), compresión de datos y encabezados de seguridad HTTP Helmet.</w:t>
      </w:r>
    </w:p>
    <w:p>
      <w:pPr>
        <w:spacing w:line="360" w:lineRule="auto" w:after="0" w:before="0"/>
        <w:ind w:firstLine="720"/>
        <w:jc w:val="both"/>
      </w:pPr>
      <w:r>
        <w:rPr>
          <w:rFonts w:ascii="Times New Roman" w:hAnsi="Times New Roman"/>
          <w:sz w:val="24"/>
        </w:rPr>
        <w:t>3. Capa de Persistencia Relacional (Base de Datos): Operada sobre PostgreSQL v16 en la plataforma cloud Neon DB, incorporando arquitectura serverless con escalado elástico, pools de conexiones mediante PgBouncer, cifrado en reposo AES-256 y copias de respaldo continuas con capacidad de restauración punto a punto (point-in-time recovery).</w:t>
      </w:r>
    </w:p>
    <w:p>
      <w:pPr>
        <w:spacing w:line="360" w:lineRule="auto" w:before="160" w:after="40"/>
        <w:ind w:firstLine="0"/>
        <w:jc w:val="left"/>
      </w:pPr>
      <w:r>
        <w:rPr>
          <w:rFonts w:ascii="Times New Roman" w:hAnsi="Times New Roman"/>
          <w:b/>
          <w:i/>
          <w:sz w:val="24"/>
        </w:rPr>
        <w:t>6.2.2 Persistencia Relacional, Aislamiento de Esquemas y Transacciones ACID</w:t>
      </w:r>
    </w:p>
    <w:p>
      <w:pPr>
        <w:spacing w:line="360" w:lineRule="auto" w:after="0" w:before="0"/>
        <w:ind w:firstLine="720"/>
        <w:jc w:val="both"/>
      </w:pPr>
      <w:r>
        <w:rPr>
          <w:rFonts w:ascii="Times New Roman" w:hAnsi="Times New Roman"/>
          <w:sz w:val="24"/>
        </w:rPr>
        <w:t>Un hito técnico crítico durante la fase de despliegue consistió en la segregación arquitectónica de los datos institucionales. Para garantizar un aislamiento total respecto a otras aplicaciones preexistentes en la base de datos en la nube, se creó y migró el esquema seguro 'mancomunidad'. Dicho esquema alberga 27 tablas relacionales normalizadas rigurosamente en Tercera Forma Normal (3FN), vinculadas mediante claves foráneas con reglas de integridad referencial en cascada controlada y protegidas por directivas de Row Level Security (RLS).</w:t>
      </w:r>
    </w:p>
    <w:p>
      <w:pPr>
        <w:spacing w:line="360" w:lineRule="auto" w:before="160" w:after="40"/>
        <w:ind w:firstLine="0"/>
        <w:jc w:val="left"/>
      </w:pPr>
      <w:r>
        <w:rPr>
          <w:rFonts w:ascii="Times New Roman" w:hAnsi="Times New Roman"/>
          <w:b/>
          <w:i/>
          <w:sz w:val="24"/>
        </w:rPr>
        <w:t>6.2.3 Verificación Criptográfica en Vivo y Sellado Forense mediante Árbol de Merkle</w:t>
      </w:r>
    </w:p>
    <w:p>
      <w:pPr>
        <w:spacing w:line="360" w:lineRule="auto" w:after="0" w:before="0"/>
        <w:ind w:firstLine="720"/>
        <w:jc w:val="both"/>
      </w:pPr>
      <w:r>
        <w:rPr>
          <w:rFonts w:ascii="Times New Roman" w:hAnsi="Times New Roman"/>
          <w:sz w:val="24"/>
        </w:rPr>
        <w:t>Para dar cumplimiento a los principios de rendición de cuentas e inalterabilidad de registros exigidos por los entes fiscalizadores gubernamentales, la plataforma implementó un motor de auditoría forense basado en la estructura criptográfica de árbol de Merkle SHA-256 (Merkle, 1987). Este motor procesa los bloques transaccionales de los ocho módulos y genera una raíz de Merkle canónica que se almacena inmutablemente en la base de datos.</w:t>
      </w:r>
    </w:p>
    <w:p>
      <w:pPr>
        <w:spacing w:line="360" w:lineRule="auto" w:after="0" w:before="0"/>
        <w:ind w:firstLine="720"/>
        <w:jc w:val="both"/>
      </w:pPr>
      <w:r>
        <w:rPr>
          <w:rFonts w:ascii="Times New Roman" w:hAnsi="Times New Roman"/>
          <w:sz w:val="24"/>
        </w:rPr>
        <w:t>Durante la auditoría forense en vivo ejecutada el 03 de octubre de 2026 sobre la base de datos de producción, el sistema certificó los siguientes parámetros oficiales:</w:t>
      </w:r>
    </w:p>
    <w:p>
      <w:pPr>
        <w:spacing w:line="360" w:lineRule="auto" w:after="0" w:before="0"/>
        <w:ind w:firstLine="720"/>
        <w:jc w:val="both"/>
      </w:pPr>
      <w:r>
        <w:rPr>
          <w:rFonts w:ascii="Times New Roman" w:hAnsi="Times New Roman"/>
          <w:sz w:val="24"/>
        </w:rPr>
        <w:t>a) Estado de Integridad: COINCIDE CON PUNTO DE CONTROL.</w:t>
        <w:br/>
        <w:t>b) Raíz Oficial Merkle Root SHA-256: aa36b169a418a0111902dcd7d88d4ba372e9203878e0456f1c7a1fbd8dca2908.</w:t>
        <w:br/>
        <w:t>c) Total de Registros Auditados: 35 registros certificados (3 proyectos, 3 evidencias binarias con GPS, 5 tareas ARC, 6 transacciones financieras, 2 actas de asamblea, 3 acuerdos resolutivos, 3 convenios internacionales, 5 censos ASH y 5 publicaciones de transparencia).</w:t>
        <w:br/>
        <w:t>d) Discrepancias Detectadas: 0 (Cero alteraciones, mutilaciones o firmas no coincidentes).</w:t>
        <w:br/>
        <w:t>e) Registro Histórico: Punto de Control ID 1 asentado inmutablemente en la tabla PuntoControlIntegridad.</w:t>
      </w:r>
    </w:p>
    <w:p>
      <w:pPr>
        <w:spacing w:line="360" w:lineRule="auto" w:before="160" w:after="40"/>
        <w:ind w:firstLine="0"/>
        <w:jc w:val="left"/>
      </w:pPr>
      <w:r>
        <w:rPr>
          <w:rFonts w:ascii="Times New Roman" w:hAnsi="Times New Roman"/>
          <w:b/>
          <w:i/>
          <w:sz w:val="24"/>
        </w:rPr>
        <w:t>6.2.4 Pipeline de Integración y Despliegue Continuo (CI/CD)</w:t>
      </w:r>
    </w:p>
    <w:p>
      <w:pPr>
        <w:spacing w:line="360" w:lineRule="auto" w:after="0" w:before="0"/>
        <w:ind w:firstLine="720"/>
        <w:jc w:val="both"/>
      </w:pPr>
      <w:r>
        <w:rPr>
          <w:rFonts w:ascii="Times New Roman" w:hAnsi="Times New Roman"/>
          <w:sz w:val="24"/>
        </w:rPr>
        <w:t>El ciclo de vida del desarrollo se automatizó mediante un flujo de Integración y Despliegue Continuo (CI/CD) vinculado al repositorio institucional en GitHub y conectado a los entornos de producción en Vercel. Cada cambio validado en la rama principal desencadena la compilación automatizada de los componentes, la ejecución de la suite de pruebas unitarias y el despliegue sin tiempo de inactividad (zero-downtime deployment), asegurando la continuidad del servicio institucional.</w:t>
      </w:r>
    </w:p>
    <w:p>
      <w:pPr>
        <w:spacing w:line="360" w:lineRule="auto" w:before="240" w:after="80"/>
        <w:ind w:firstLine="0"/>
        <w:jc w:val="left"/>
      </w:pPr>
      <w:r>
        <w:rPr>
          <w:rFonts w:ascii="Times New Roman" w:hAnsi="Times New Roman"/>
          <w:b/>
          <w:sz w:val="24"/>
        </w:rPr>
        <w:t>6.3 Capacitación y gestión del cambio</w:t>
      </w:r>
    </w:p>
    <w:p>
      <w:pPr>
        <w:spacing w:line="360" w:lineRule="auto" w:before="160" w:after="40"/>
        <w:ind w:firstLine="0"/>
        <w:jc w:val="left"/>
      </w:pPr>
      <w:r>
        <w:rPr>
          <w:rFonts w:ascii="Times New Roman" w:hAnsi="Times New Roman"/>
          <w:b/>
          <w:i/>
          <w:sz w:val="24"/>
        </w:rPr>
        <w:t>6.3.1 Diagnóstico de Competencias Digitales y Resistencia al Cambio Institucional</w:t>
      </w:r>
    </w:p>
    <w:p>
      <w:pPr>
        <w:spacing w:line="360" w:lineRule="auto" w:after="0" w:before="0"/>
        <w:ind w:firstLine="720"/>
        <w:jc w:val="both"/>
      </w:pPr>
      <w:r>
        <w:rPr>
          <w:rFonts w:ascii="Times New Roman" w:hAnsi="Times New Roman"/>
          <w:sz w:val="24"/>
        </w:rPr>
        <w:t>De acuerdo con los modelos de gestión del cambio en organizaciones públicas (Kotter, 2012; Chiavenato, 2020), la introducción de tecnologías digitales en entidades de administración territorial frecuentemente experimenta barreras culturales asociadas al arraigo de métodos manuales y al recelo hacia la fiscalización automatizada. El diagnóstico previo efectuado en la Mancomunidad indicó que el 72.7% de los colaboradores manifestaba aprensión ante la sustitución de libros de actas físicos y hojas de cálculo por una plataforma web centralizada.</w:t>
      </w:r>
    </w:p>
    <w:p>
      <w:pPr>
        <w:spacing w:line="360" w:lineRule="auto" w:before="160" w:after="40"/>
        <w:ind w:firstLine="0"/>
        <w:jc w:val="left"/>
      </w:pPr>
      <w:r>
        <w:rPr>
          <w:rFonts w:ascii="Times New Roman" w:hAnsi="Times New Roman"/>
          <w:b/>
          <w:i/>
          <w:sz w:val="24"/>
        </w:rPr>
        <w:t>6.3.2 Estructura y Metodología del Plan de Capacitación por Competencias</w:t>
      </w:r>
    </w:p>
    <w:p>
      <w:pPr>
        <w:spacing w:line="360" w:lineRule="auto" w:after="0" w:before="0"/>
        <w:ind w:firstLine="720"/>
        <w:jc w:val="both"/>
      </w:pPr>
      <w:r>
        <w:rPr>
          <w:rFonts w:ascii="Times New Roman" w:hAnsi="Times New Roman"/>
          <w:sz w:val="24"/>
        </w:rPr>
        <w:t>Para asegurar la adopción plena de la herramienta, se diseñó e implementó un Plan de Transferencia Tecnológica estructurado en cinco talleres prácticos y presenciales que capacitaron al 100% de la población censal institucional (N = 22 usuarios), distribuidos conforme a sus competencias funcionales:</w:t>
      </w:r>
    </w:p>
    <w:p>
      <w:pPr>
        <w:spacing w:line="360" w:lineRule="auto" w:after="0" w:before="0"/>
        <w:ind w:firstLine="720"/>
        <w:jc w:val="both"/>
      </w:pPr>
      <w:r>
        <w:rPr>
          <w:rFonts w:ascii="Times New Roman" w:hAnsi="Times New Roman"/>
          <w:sz w:val="24"/>
        </w:rPr>
        <w:t>1. Taller de Alta Dirección y Gobernanza Territorial: Impartido a los alcaldes municipales de la Junta Directiva y a la Gerencia Ejecutiva, profundizando en el seguimiento de acuerdos resolutivos, consulta del Índice IPIM y análisis de tableros de control estratégico.</w:t>
      </w:r>
    </w:p>
    <w:p>
      <w:pPr>
        <w:spacing w:line="360" w:lineRule="auto" w:after="0" w:before="0"/>
        <w:ind w:firstLine="720"/>
        <w:jc w:val="both"/>
      </w:pPr>
      <w:r>
        <w:rPr>
          <w:rFonts w:ascii="Times New Roman" w:hAnsi="Times New Roman"/>
          <w:sz w:val="24"/>
        </w:rPr>
        <w:t>2. Taller de Administración Financiera y Rendición de Cuentas: Impartido a la Dirección Administrativa y Financiera, Tesorería y Contabilidad, enfocándose en la emisión digital de Recibos Forma 63-A2, liquidación de Caja Chica y segregación de cuentas bancarias.</w:t>
      </w:r>
    </w:p>
    <w:p>
      <w:pPr>
        <w:spacing w:line="360" w:lineRule="auto" w:after="0" w:before="0"/>
        <w:ind w:firstLine="720"/>
        <w:jc w:val="both"/>
      </w:pPr>
      <w:r>
        <w:rPr>
          <w:rFonts w:ascii="Times New Roman" w:hAnsi="Times New Roman"/>
          <w:sz w:val="24"/>
        </w:rPr>
        <w:t>3. Taller de Planificación Técnica y Supervisión de Obras: Impartido a los coordinadores de las DMP y supervisores de campo, capacitando en el registro georreferenciado de proyectos, carga binaria de fotografías de obra y control de avances físicos.</w:t>
      </w:r>
    </w:p>
    <w:p>
      <w:pPr>
        <w:spacing w:line="360" w:lineRule="auto" w:after="0" w:before="0"/>
        <w:ind w:firstLine="720"/>
        <w:jc w:val="both"/>
      </w:pPr>
      <w:r>
        <w:rPr>
          <w:rFonts w:ascii="Times New Roman" w:hAnsi="Times New Roman"/>
          <w:sz w:val="24"/>
        </w:rPr>
        <w:t>4. Taller de Monitoreo Institucional ARC y Talento Humano: Impartido al Oficial de Monitoreo ARC y personal de Recursos Humanos, cubriendo la gestión del tablero Kanban de mejoras, expedientes laborales y cumplimiento del RIT.</w:t>
      </w:r>
    </w:p>
    <w:p>
      <w:pPr>
        <w:spacing w:line="360" w:lineRule="auto" w:after="0" w:before="0"/>
        <w:ind w:firstLine="720"/>
        <w:jc w:val="both"/>
      </w:pPr>
      <w:r>
        <w:rPr>
          <w:rFonts w:ascii="Times New Roman" w:hAnsi="Times New Roman"/>
          <w:sz w:val="24"/>
        </w:rPr>
        <w:t>5. Taller de Vigilancia Sanitaria y Agua Potable: Impartido a los técnicos de las Oficinas Municipales de Agua y Saneamiento (OMAS), abordando el registro de cloro residual según COGUANOR NGO 29 001 y procesamiento de censos comunitarios.</w:t>
      </w:r>
    </w:p>
    <w:p>
      <w:pPr>
        <w:spacing w:line="360" w:lineRule="auto" w:before="160" w:after="40"/>
        <w:ind w:firstLine="0"/>
        <w:jc w:val="left"/>
      </w:pPr>
      <w:r>
        <w:rPr>
          <w:rFonts w:ascii="Times New Roman" w:hAnsi="Times New Roman"/>
          <w:b/>
          <w:i/>
          <w:sz w:val="24"/>
        </w:rPr>
        <w:t>6.3.3 Instrumentos Técnicos y Manuales Transferidos a la Entidad</w:t>
      </w:r>
    </w:p>
    <w:p>
      <w:pPr>
        <w:spacing w:line="360" w:lineRule="auto" w:after="0" w:before="0"/>
        <w:ind w:firstLine="720"/>
        <w:jc w:val="both"/>
      </w:pPr>
      <w:r>
        <w:rPr>
          <w:rFonts w:ascii="Times New Roman" w:hAnsi="Times New Roman"/>
          <w:sz w:val="24"/>
        </w:rPr>
        <w:t>Se formalizó la entrega y recepción institucional de dos manuales técnicos redactados conforme a los estándares de documentación de sistemas: el Manual de Configuración y Administración del Sistema (documento de 48 páginas con especificaciones de administración cloud, gestión de llaves criptográficas y políticas de respaldo en Neon PostgreSQL) y las Guías Rápidas Ilustradas de Usuario por Perfil, elaboradas con diagramas de flujo y capturas paso a paso para resolver dudas operativas cotidianas.</w:t>
      </w:r>
    </w:p>
    <w:p>
      <w:pPr>
        <w:spacing w:line="360" w:lineRule="auto" w:before="160" w:after="40"/>
        <w:ind w:firstLine="0"/>
        <w:jc w:val="left"/>
      </w:pPr>
      <w:r>
        <w:rPr>
          <w:rFonts w:ascii="Times New Roman" w:hAnsi="Times New Roman"/>
          <w:b/>
          <w:i/>
          <w:sz w:val="24"/>
        </w:rPr>
        <w:t>6.3.4 Evaluación de Competencias Adquiridas y Curva de Adopción Institucional</w:t>
      </w:r>
    </w:p>
    <w:p>
      <w:pPr>
        <w:spacing w:line="360" w:lineRule="auto" w:after="0" w:before="0"/>
        <w:ind w:firstLine="720"/>
        <w:jc w:val="both"/>
      </w:pPr>
      <w:r>
        <w:rPr>
          <w:rFonts w:ascii="Times New Roman" w:hAnsi="Times New Roman"/>
          <w:sz w:val="24"/>
        </w:rPr>
        <w:t>Al finalizar las sesiones formativas, se administraron pruebas prácticas de desempeño en las que los colaboradores ejecutaron de manera autónoma las operaciones clave de sus perfiles. El 95.4% de los participantes (21 de 22 usuarios) completó satisfactoriamente las tareas evaluadas en el primer intento, demostrando que la interfaz intuitiva redujo sustancialmente la curva de aprendizaje institucional.</w:t>
      </w:r>
    </w:p>
    <w:p>
      <w:pPr>
        <w:spacing w:line="360" w:lineRule="auto" w:before="240" w:after="80"/>
        <w:ind w:firstLine="0"/>
        <w:jc w:val="left"/>
      </w:pPr>
      <w:r>
        <w:rPr>
          <w:rFonts w:ascii="Times New Roman" w:hAnsi="Times New Roman"/>
          <w:b/>
          <w:sz w:val="24"/>
        </w:rPr>
        <w:t>6.4 Mejoras, análisis de resultados y contrastación de hipótesis</w:t>
      </w:r>
    </w:p>
    <w:p>
      <w:pPr>
        <w:spacing w:line="360" w:lineRule="auto" w:before="160" w:after="40"/>
        <w:ind w:firstLine="0"/>
        <w:jc w:val="left"/>
      </w:pPr>
      <w:r>
        <w:rPr>
          <w:rFonts w:ascii="Times New Roman" w:hAnsi="Times New Roman"/>
          <w:b/>
          <w:i/>
          <w:sz w:val="24"/>
        </w:rPr>
        <w:t>6.4.1 Diseño Preexperimental Pretest-Postest</w:t>
      </w:r>
    </w:p>
    <w:p>
      <w:pPr>
        <w:spacing w:line="360" w:lineRule="auto" w:after="0" w:before="0"/>
        <w:ind w:firstLine="720"/>
        <w:jc w:val="both"/>
      </w:pPr>
      <w:r>
        <w:rPr>
          <w:rFonts w:ascii="Times New Roman" w:hAnsi="Times New Roman"/>
          <w:sz w:val="24"/>
        </w:rPr>
        <w:t>Para evaluar con rigor científico el impacto de la plataforma sobre los procesos de gestión institucional, se adoptó un diseño preexperimental de preprueba y posprueba con un solo grupo (O1 -&gt; X -&gt; O2), ampliamente respaldado en la literatura metodológica para estudios organizacionales donde no es factible estructurar grupos de control aleatorizados (Hernández-Sampieri &amp; Mendoza, 2018). En este diseño, O1 representa la medición basal de tiempos operativos antes de la implementación, X corresponde a la intervención mediante la plataforma MFN Digital, y O2 representa la medición postratamiento.</w:t>
      </w:r>
    </w:p>
    <w:p>
      <w:pPr>
        <w:spacing w:line="360" w:lineRule="auto" w:before="160" w:after="40"/>
        <w:ind w:firstLine="0"/>
        <w:jc w:val="left"/>
      </w:pPr>
      <w:r>
        <w:rPr>
          <w:rFonts w:ascii="Times New Roman" w:hAnsi="Times New Roman"/>
          <w:b/>
          <w:i/>
          <w:sz w:val="24"/>
        </w:rPr>
        <w:t>6.4.2 Análisis Cuantitativo y Comparativo de Tiempos de Tramitación Operativa</w:t>
      </w:r>
    </w:p>
    <w:p>
      <w:pPr>
        <w:spacing w:line="360" w:lineRule="auto" w:after="0" w:before="0"/>
        <w:ind w:firstLine="720"/>
        <w:jc w:val="both"/>
      </w:pPr>
      <w:r>
        <w:rPr>
          <w:rFonts w:ascii="Times New Roman" w:hAnsi="Times New Roman"/>
          <w:sz w:val="24"/>
        </w:rPr>
        <w:t>Se seleccionaron los seis procesos administrativos más representativos y críticos de la Mancomunidad, registrando de forma cronometrada el tiempo requerido (en minutos) para completar cada tarea antes y después de la implementación de la plataforma:</w:t>
      </w:r>
    </w:p>
    <w:p>
      <w:pPr>
        <w:spacing w:before="160" w:after="20"/>
        <w:ind w:firstLine="0"/>
      </w:pPr>
      <w:r>
        <w:rPr>
          <w:rFonts w:ascii="Times New Roman" w:hAnsi="Times New Roman"/>
          <w:b/>
          <w:sz w:val="24"/>
        </w:rPr>
        <w:t>Tabla 6.4</w:t>
      </w:r>
    </w:p>
    <w:p>
      <w:pPr>
        <w:spacing w:before="0" w:after="80"/>
        <w:ind w:firstLine="0"/>
      </w:pPr>
      <w:r>
        <w:rPr>
          <w:rFonts w:ascii="Times New Roman" w:hAnsi="Times New Roman"/>
          <w:i/>
          <w:sz w:val="24"/>
        </w:rPr>
        <w:t>Comparación de Tiempos Operativos Pretest (O1) vs. Postest (O2) en Procesos Clave</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864"/>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ID</w:t>
            </w:r>
          </w:p>
        </w:tc>
        <w:tc>
          <w:tcPr>
            <w:tcW w:type="dxa" w:w="3888"/>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Proceso Administrativo Clave</w:t>
            </w:r>
          </w:p>
        </w:tc>
        <w:tc>
          <w:tcPr>
            <w:tcW w:type="dxa" w:w="1584"/>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Pretest O1 (min)</w:t>
            </w:r>
          </w:p>
        </w:tc>
        <w:tc>
          <w:tcPr>
            <w:tcW w:type="dxa" w:w="1584"/>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Postest O2 (min)</w:t>
            </w:r>
          </w:p>
        </w:tc>
        <w:tc>
          <w:tcPr>
            <w:tcW w:type="dxa" w:w="1584"/>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Diferencia (min)</w:t>
            </w:r>
          </w:p>
        </w:tc>
        <w:tc>
          <w:tcPr>
            <w:tcW w:type="dxa" w:w="1728"/>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Optimización (%)</w:t>
            </w:r>
          </w:p>
        </w:tc>
      </w:tr>
      <w:tr>
        <w:tc>
          <w:tcPr>
            <w:tcW w:type="dxa" w:w="864"/>
            <w:tcBorders>
              <w:top w:val="nil"/>
              <w:left w:val="nil"/>
              <w:bottom w:val="nil"/>
              <w:right w:val="nil"/>
            </w:tcBorders>
          </w:tcPr>
          <w:p>
            <w:pPr>
              <w:spacing w:line="276" w:lineRule="auto" w:after="40" w:before="40"/>
              <w:jc w:val="center"/>
            </w:pPr>
            <w:r>
              <w:rPr>
                <w:rFonts w:ascii="Times New Roman" w:hAnsi="Times New Roman"/>
                <w:sz w:val="20"/>
              </w:rPr>
              <w:t>P1</w:t>
            </w:r>
          </w:p>
        </w:tc>
        <w:tc>
          <w:tcPr>
            <w:tcW w:type="dxa" w:w="3888"/>
            <w:tcBorders>
              <w:top w:val="nil"/>
              <w:left w:val="nil"/>
              <w:bottom w:val="nil"/>
              <w:right w:val="nil"/>
            </w:tcBorders>
          </w:tcPr>
          <w:p>
            <w:pPr>
              <w:spacing w:line="276" w:lineRule="auto" w:after="40" w:before="40"/>
              <w:jc w:val="left"/>
            </w:pPr>
            <w:r>
              <w:rPr>
                <w:rFonts w:ascii="Times New Roman" w:hAnsi="Times New Roman"/>
                <w:sz w:val="20"/>
              </w:rPr>
              <w:t>Emisión de Recibo 63-A2 y registro contable</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45.0</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3.5</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-41.5</w:t>
            </w:r>
          </w:p>
        </w:tc>
        <w:tc>
          <w:tcPr>
            <w:tcW w:type="dxa" w:w="1728"/>
            <w:tcBorders>
              <w:top w:val="nil"/>
              <w:left w:val="nil"/>
              <w:bottom w:val="nil"/>
              <w:right w:val="nil"/>
            </w:tcBorders>
          </w:tcPr>
          <w:p>
            <w:pPr>
              <w:spacing w:line="276" w:lineRule="auto" w:after="40" w:before="40"/>
              <w:jc w:val="right"/>
            </w:pPr>
            <w:r>
              <w:rPr>
                <w:rFonts w:ascii="Times New Roman" w:hAnsi="Times New Roman"/>
                <w:sz w:val="20"/>
              </w:rPr>
              <w:t>92.2%</w:t>
            </w:r>
          </w:p>
        </w:tc>
      </w:tr>
      <w:tr>
        <w:tc>
          <w:tcPr>
            <w:tcW w:type="dxa" w:w="864"/>
            <w:tcBorders>
              <w:top w:val="nil"/>
              <w:left w:val="nil"/>
              <w:bottom w:val="nil"/>
              <w:right w:val="nil"/>
            </w:tcBorders>
          </w:tcPr>
          <w:p>
            <w:pPr>
              <w:spacing w:line="276" w:lineRule="auto" w:after="40" w:before="40"/>
              <w:jc w:val="center"/>
            </w:pPr>
            <w:r>
              <w:rPr>
                <w:rFonts w:ascii="Times New Roman" w:hAnsi="Times New Roman"/>
                <w:sz w:val="20"/>
              </w:rPr>
              <w:t>P2</w:t>
            </w:r>
          </w:p>
        </w:tc>
        <w:tc>
          <w:tcPr>
            <w:tcW w:type="dxa" w:w="3888"/>
            <w:tcBorders>
              <w:top w:val="nil"/>
              <w:left w:val="nil"/>
              <w:bottom w:val="nil"/>
              <w:right w:val="nil"/>
            </w:tcBorders>
          </w:tcPr>
          <w:p>
            <w:pPr>
              <w:spacing w:line="276" w:lineRule="auto" w:after="40" w:before="40"/>
              <w:jc w:val="left"/>
            </w:pPr>
            <w:r>
              <w:rPr>
                <w:rFonts w:ascii="Times New Roman" w:hAnsi="Times New Roman"/>
                <w:sz w:val="20"/>
              </w:rPr>
              <w:t>Carga y verificación de avance físico de obra</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120.0</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8.0</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-112.0</w:t>
            </w:r>
          </w:p>
        </w:tc>
        <w:tc>
          <w:tcPr>
            <w:tcW w:type="dxa" w:w="1728"/>
            <w:tcBorders>
              <w:top w:val="nil"/>
              <w:left w:val="nil"/>
              <w:bottom w:val="nil"/>
              <w:right w:val="nil"/>
            </w:tcBorders>
          </w:tcPr>
          <w:p>
            <w:pPr>
              <w:spacing w:line="276" w:lineRule="auto" w:after="40" w:before="40"/>
              <w:jc w:val="right"/>
            </w:pPr>
            <w:r>
              <w:rPr>
                <w:rFonts w:ascii="Times New Roman" w:hAnsi="Times New Roman"/>
                <w:sz w:val="20"/>
              </w:rPr>
              <w:t>93.3%</w:t>
            </w:r>
          </w:p>
        </w:tc>
      </w:tr>
      <w:tr>
        <w:tc>
          <w:tcPr>
            <w:tcW w:type="dxa" w:w="864"/>
            <w:tcBorders>
              <w:top w:val="nil"/>
              <w:left w:val="nil"/>
              <w:bottom w:val="nil"/>
              <w:right w:val="nil"/>
            </w:tcBorders>
          </w:tcPr>
          <w:p>
            <w:pPr>
              <w:spacing w:line="276" w:lineRule="auto" w:after="40" w:before="40"/>
              <w:jc w:val="center"/>
            </w:pPr>
            <w:r>
              <w:rPr>
                <w:rFonts w:ascii="Times New Roman" w:hAnsi="Times New Roman"/>
                <w:sz w:val="20"/>
              </w:rPr>
              <w:t>P3</w:t>
            </w:r>
          </w:p>
        </w:tc>
        <w:tc>
          <w:tcPr>
            <w:tcW w:type="dxa" w:w="3888"/>
            <w:tcBorders>
              <w:top w:val="nil"/>
              <w:left w:val="nil"/>
              <w:bottom w:val="nil"/>
              <w:right w:val="nil"/>
            </w:tcBorders>
          </w:tcPr>
          <w:p>
            <w:pPr>
              <w:spacing w:line="276" w:lineRule="auto" w:after="40" w:before="40"/>
              <w:jc w:val="left"/>
            </w:pPr>
            <w:r>
              <w:rPr>
                <w:rFonts w:ascii="Times New Roman" w:hAnsi="Times New Roman"/>
                <w:sz w:val="20"/>
              </w:rPr>
              <w:t>Consulta de saldo vacacional y expediente laboral</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35.0</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2.0</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-33.0</w:t>
            </w:r>
          </w:p>
        </w:tc>
        <w:tc>
          <w:tcPr>
            <w:tcW w:type="dxa" w:w="1728"/>
            <w:tcBorders>
              <w:top w:val="nil"/>
              <w:left w:val="nil"/>
              <w:bottom w:val="nil"/>
              <w:right w:val="nil"/>
            </w:tcBorders>
          </w:tcPr>
          <w:p>
            <w:pPr>
              <w:spacing w:line="276" w:lineRule="auto" w:after="40" w:before="40"/>
              <w:jc w:val="right"/>
            </w:pPr>
            <w:r>
              <w:rPr>
                <w:rFonts w:ascii="Times New Roman" w:hAnsi="Times New Roman"/>
                <w:sz w:val="20"/>
              </w:rPr>
              <w:t>94.3%</w:t>
            </w:r>
          </w:p>
        </w:tc>
      </w:tr>
      <w:tr>
        <w:tc>
          <w:tcPr>
            <w:tcW w:type="dxa" w:w="864"/>
            <w:tcBorders>
              <w:top w:val="nil"/>
              <w:left w:val="nil"/>
              <w:bottom w:val="nil"/>
              <w:right w:val="nil"/>
            </w:tcBorders>
          </w:tcPr>
          <w:p>
            <w:pPr>
              <w:spacing w:line="276" w:lineRule="auto" w:after="40" w:before="40"/>
              <w:jc w:val="center"/>
            </w:pPr>
            <w:r>
              <w:rPr>
                <w:rFonts w:ascii="Times New Roman" w:hAnsi="Times New Roman"/>
                <w:sz w:val="20"/>
              </w:rPr>
              <w:t>P4</w:t>
            </w:r>
          </w:p>
        </w:tc>
        <w:tc>
          <w:tcPr>
            <w:tcW w:type="dxa" w:w="3888"/>
            <w:tcBorders>
              <w:top w:val="nil"/>
              <w:left w:val="nil"/>
              <w:bottom w:val="nil"/>
              <w:right w:val="nil"/>
            </w:tcBorders>
          </w:tcPr>
          <w:p>
            <w:pPr>
              <w:spacing w:line="276" w:lineRule="auto" w:after="40" w:before="40"/>
              <w:jc w:val="left"/>
            </w:pPr>
            <w:r>
              <w:rPr>
                <w:rFonts w:ascii="Times New Roman" w:hAnsi="Times New Roman"/>
                <w:sz w:val="20"/>
              </w:rPr>
              <w:t>Consolidación de informe de gestión para Asamblea</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240.0</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15.0</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-225.0</w:t>
            </w:r>
          </w:p>
        </w:tc>
        <w:tc>
          <w:tcPr>
            <w:tcW w:type="dxa" w:w="1728"/>
            <w:tcBorders>
              <w:top w:val="nil"/>
              <w:left w:val="nil"/>
              <w:bottom w:val="nil"/>
              <w:right w:val="nil"/>
            </w:tcBorders>
          </w:tcPr>
          <w:p>
            <w:pPr>
              <w:spacing w:line="276" w:lineRule="auto" w:after="40" w:before="40"/>
              <w:jc w:val="right"/>
            </w:pPr>
            <w:r>
              <w:rPr>
                <w:rFonts w:ascii="Times New Roman" w:hAnsi="Times New Roman"/>
                <w:sz w:val="20"/>
              </w:rPr>
              <w:t>93.8%</w:t>
            </w:r>
          </w:p>
        </w:tc>
      </w:tr>
      <w:tr>
        <w:tc>
          <w:tcPr>
            <w:tcW w:type="dxa" w:w="864"/>
            <w:tcBorders>
              <w:top w:val="nil"/>
              <w:left w:val="nil"/>
              <w:bottom w:val="nil"/>
              <w:right w:val="nil"/>
            </w:tcBorders>
          </w:tcPr>
          <w:p>
            <w:pPr>
              <w:spacing w:line="276" w:lineRule="auto" w:after="40" w:before="40"/>
              <w:jc w:val="center"/>
            </w:pPr>
            <w:r>
              <w:rPr>
                <w:rFonts w:ascii="Times New Roman" w:hAnsi="Times New Roman"/>
                <w:sz w:val="20"/>
              </w:rPr>
              <w:t>P5</w:t>
            </w:r>
          </w:p>
        </w:tc>
        <w:tc>
          <w:tcPr>
            <w:tcW w:type="dxa" w:w="3888"/>
            <w:tcBorders>
              <w:top w:val="nil"/>
              <w:left w:val="nil"/>
              <w:bottom w:val="nil"/>
              <w:right w:val="nil"/>
            </w:tcBorders>
          </w:tcPr>
          <w:p>
            <w:pPr>
              <w:spacing w:line="276" w:lineRule="auto" w:after="40" w:before="40"/>
              <w:jc w:val="left"/>
            </w:pPr>
            <w:r>
              <w:rPr>
                <w:rFonts w:ascii="Times New Roman" w:hAnsi="Times New Roman"/>
                <w:sz w:val="20"/>
              </w:rPr>
              <w:t>Levantamiento de censo ASH y cálculo de cobertura</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90.0</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5.0</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-85.0</w:t>
            </w:r>
          </w:p>
        </w:tc>
        <w:tc>
          <w:tcPr>
            <w:tcW w:type="dxa" w:w="1728"/>
            <w:tcBorders>
              <w:top w:val="nil"/>
              <w:left w:val="nil"/>
              <w:bottom w:val="nil"/>
              <w:right w:val="nil"/>
            </w:tcBorders>
          </w:tcPr>
          <w:p>
            <w:pPr>
              <w:spacing w:line="276" w:lineRule="auto" w:after="40" w:before="40"/>
              <w:jc w:val="right"/>
            </w:pPr>
            <w:r>
              <w:rPr>
                <w:rFonts w:ascii="Times New Roman" w:hAnsi="Times New Roman"/>
                <w:sz w:val="20"/>
              </w:rPr>
              <w:t>94.4%</w:t>
            </w:r>
          </w:p>
        </w:tc>
      </w:tr>
      <w:tr>
        <w:tc>
          <w:tcPr>
            <w:tcW w:type="dxa" w:w="864"/>
            <w:tcBorders>
              <w:top w:val="nil"/>
              <w:left w:val="nil"/>
              <w:bottom w:val="nil"/>
              <w:right w:val="nil"/>
            </w:tcBorders>
          </w:tcPr>
          <w:p>
            <w:pPr>
              <w:spacing w:line="276" w:lineRule="auto" w:after="40" w:before="40"/>
              <w:jc w:val="center"/>
            </w:pPr>
            <w:r>
              <w:rPr>
                <w:rFonts w:ascii="Times New Roman" w:hAnsi="Times New Roman"/>
                <w:sz w:val="20"/>
              </w:rPr>
              <w:t>P6</w:t>
            </w:r>
          </w:p>
        </w:tc>
        <w:tc>
          <w:tcPr>
            <w:tcW w:type="dxa" w:w="3888"/>
            <w:tcBorders>
              <w:top w:val="nil"/>
              <w:left w:val="nil"/>
              <w:bottom w:val="nil"/>
              <w:right w:val="nil"/>
            </w:tcBorders>
          </w:tcPr>
          <w:p>
            <w:pPr>
              <w:spacing w:line="276" w:lineRule="auto" w:after="40" w:before="40"/>
              <w:jc w:val="left"/>
            </w:pPr>
            <w:r>
              <w:rPr>
                <w:rFonts w:ascii="Times New Roman" w:hAnsi="Times New Roman"/>
                <w:sz w:val="20"/>
              </w:rPr>
              <w:t>Búsqueda y trazabilidad de actas y acuerdos</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60.0</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2.5</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-57.5</w:t>
            </w:r>
          </w:p>
        </w:tc>
        <w:tc>
          <w:tcPr>
            <w:tcW w:type="dxa" w:w="1728"/>
            <w:tcBorders>
              <w:top w:val="nil"/>
              <w:left w:val="nil"/>
              <w:bottom w:val="nil"/>
              <w:right w:val="nil"/>
            </w:tcBorders>
          </w:tcPr>
          <w:p>
            <w:pPr>
              <w:spacing w:line="276" w:lineRule="auto" w:after="40" w:before="40"/>
              <w:jc w:val="right"/>
            </w:pPr>
            <w:r>
              <w:rPr>
                <w:rFonts w:ascii="Times New Roman" w:hAnsi="Times New Roman"/>
                <w:sz w:val="20"/>
              </w:rPr>
              <w:t>95.8%</w:t>
            </w:r>
          </w:p>
        </w:tc>
      </w:tr>
      <w:tr>
        <w:tc>
          <w:tcPr>
            <w:tcW w:type="dxa" w:w="864"/>
            <w:tcBorders>
              <w:top w:val="nil"/>
              <w:left w:val="nil"/>
              <w:bottom w:sz="12" w:val="single" w:color="000000"/>
              <w:right w:val="nil"/>
            </w:tcBorders>
          </w:tcPr>
          <w:p>
            <w:pPr>
              <w:spacing w:line="276" w:lineRule="auto" w:after="40" w:before="40"/>
              <w:jc w:val="center"/>
            </w:pPr>
            <w:r>
              <w:rPr>
                <w:rFonts w:ascii="Times New Roman" w:hAnsi="Times New Roman"/>
                <w:sz w:val="20"/>
              </w:rPr>
              <w:t>-</w:t>
            </w:r>
          </w:p>
        </w:tc>
        <w:tc>
          <w:tcPr>
            <w:tcW w:type="dxa" w:w="3888"/>
            <w:tcBorders>
              <w:top w:val="nil"/>
              <w:left w:val="nil"/>
              <w:bottom w:sz="12" w:val="single" w:color="000000"/>
              <w:right w:val="nil"/>
            </w:tcBorders>
          </w:tcPr>
          <w:p>
            <w:pPr>
              <w:spacing w:line="276" w:lineRule="auto" w:after="40" w:before="40"/>
              <w:jc w:val="left"/>
            </w:pPr>
            <w:r>
              <w:rPr>
                <w:rFonts w:ascii="Times New Roman" w:hAnsi="Times New Roman"/>
                <w:sz w:val="20"/>
              </w:rPr>
              <w:t>PROMEDIO GENERAL CONSOLIDADO</w:t>
            </w:r>
          </w:p>
        </w:tc>
        <w:tc>
          <w:tcPr>
            <w:tcW w:type="dxa" w:w="1584"/>
            <w:tcBorders>
              <w:top w:val="nil"/>
              <w:left w:val="nil"/>
              <w:bottom w:sz="12" w:val="single" w:color="000000"/>
              <w:right w:val="nil"/>
            </w:tcBorders>
          </w:tcPr>
          <w:p>
            <w:pPr>
              <w:spacing w:line="276" w:lineRule="auto" w:after="40" w:before="40"/>
              <w:jc w:val="right"/>
            </w:pPr>
            <w:r>
              <w:rPr>
                <w:rFonts w:ascii="Times New Roman" w:hAnsi="Times New Roman"/>
                <w:sz w:val="20"/>
              </w:rPr>
              <w:t>98.3</w:t>
            </w:r>
          </w:p>
        </w:tc>
        <w:tc>
          <w:tcPr>
            <w:tcW w:type="dxa" w:w="1584"/>
            <w:tcBorders>
              <w:top w:val="nil"/>
              <w:left w:val="nil"/>
              <w:bottom w:sz="12" w:val="single" w:color="000000"/>
              <w:right w:val="nil"/>
            </w:tcBorders>
          </w:tcPr>
          <w:p>
            <w:pPr>
              <w:spacing w:line="276" w:lineRule="auto" w:after="40" w:before="40"/>
              <w:jc w:val="right"/>
            </w:pPr>
            <w:r>
              <w:rPr>
                <w:rFonts w:ascii="Times New Roman" w:hAnsi="Times New Roman"/>
                <w:sz w:val="20"/>
              </w:rPr>
              <w:t>6.0</w:t>
            </w:r>
          </w:p>
        </w:tc>
        <w:tc>
          <w:tcPr>
            <w:tcW w:type="dxa" w:w="1584"/>
            <w:tcBorders>
              <w:top w:val="nil"/>
              <w:left w:val="nil"/>
              <w:bottom w:sz="12" w:val="single" w:color="000000"/>
              <w:right w:val="nil"/>
            </w:tcBorders>
          </w:tcPr>
          <w:p>
            <w:pPr>
              <w:spacing w:line="276" w:lineRule="auto" w:after="40" w:before="40"/>
              <w:jc w:val="right"/>
            </w:pPr>
            <w:r>
              <w:rPr>
                <w:rFonts w:ascii="Times New Roman" w:hAnsi="Times New Roman"/>
                <w:sz w:val="20"/>
              </w:rPr>
              <w:t>-92.3</w:t>
            </w:r>
          </w:p>
        </w:tc>
        <w:tc>
          <w:tcPr>
            <w:tcW w:type="dxa" w:w="1728"/>
            <w:tcBorders>
              <w:top w:val="nil"/>
              <w:left w:val="nil"/>
              <w:bottom w:sz="12" w:val="single" w:color="000000"/>
              <w:right w:val="nil"/>
            </w:tcBorders>
          </w:tcPr>
          <w:p>
            <w:pPr>
              <w:spacing w:line="276" w:lineRule="auto" w:after="40" w:before="40"/>
              <w:jc w:val="right"/>
            </w:pPr>
            <w:r>
              <w:rPr>
                <w:rFonts w:ascii="Times New Roman" w:hAnsi="Times New Roman"/>
                <w:sz w:val="20"/>
              </w:rPr>
              <w:t>93.9%</w:t>
            </w:r>
          </w:p>
        </w:tc>
      </w:tr>
    </w:tbl>
    <w:p>
      <w:pPr>
        <w:spacing w:before="60" w:after="160"/>
        <w:ind w:firstLine="0"/>
      </w:pPr>
      <w:r>
        <w:rPr>
          <w:rFonts w:ascii="Times New Roman" w:hAnsi="Times New Roman"/>
          <w:i/>
          <w:sz w:val="20"/>
        </w:rPr>
        <w:t xml:space="preserve">Nota. </w:t>
      </w:r>
      <w:r>
        <w:rPr>
          <w:rFonts w:ascii="Times New Roman" w:hAnsi="Times New Roman"/>
          <w:sz w:val="20"/>
        </w:rPr>
        <w:t>Tiempos promedio cronometrados en la población censal de N = 22 colaboradores bajo condiciones estandarizadas de trabajo.</w:t>
      </w:r>
    </w:p>
    <w:p>
      <w:pPr>
        <w:spacing w:line="360" w:lineRule="auto" w:after="0" w:before="0"/>
        <w:ind w:firstLine="720"/>
        <w:jc w:val="both"/>
      </w:pPr>
      <w:r>
        <w:rPr>
          <w:rFonts w:ascii="Times New Roman" w:hAnsi="Times New Roman"/>
          <w:sz w:val="24"/>
        </w:rPr>
        <w:t>Los datos reflejan una optimización media global del 93.9% en los tiempos de gestión administrativa. Tareas institucionales que históricamente requerían hasta cuatro horas continuas de consolidación manual mediante archivos físicos dispersos (como la preparación de informes de gestión para la Asamblea General) pasaron a resolverse en 15 minutos mediante la generación automatizada de reportes.</w:t>
      </w:r>
    </w:p>
    <w:p>
      <w:pPr>
        <w:spacing w:line="360" w:lineRule="auto" w:before="160" w:after="40"/>
        <w:ind w:firstLine="0"/>
        <w:jc w:val="left"/>
      </w:pPr>
      <w:r>
        <w:rPr>
          <w:rFonts w:ascii="Times New Roman" w:hAnsi="Times New Roman"/>
          <w:b/>
          <w:i/>
          <w:sz w:val="24"/>
        </w:rPr>
        <w:t>6.4.3 Evaluación Psicométrica de Usabilidad (SUS) y Aceptación Tecnológica (TAM)</w:t>
      </w:r>
    </w:p>
    <w:p>
      <w:pPr>
        <w:spacing w:line="360" w:lineRule="auto" w:after="0" w:before="0"/>
        <w:ind w:firstLine="720"/>
        <w:jc w:val="both"/>
      </w:pPr>
      <w:r>
        <w:rPr>
          <w:rFonts w:ascii="Times New Roman" w:hAnsi="Times New Roman"/>
          <w:sz w:val="24"/>
        </w:rPr>
        <w:t>Concluido el periodo de prueba operativa, se evaluó la percepción de los usuarios mediante la aplicación del cuestionario estandarizado System Usability Scale (SUS) de Brooke (1996) y el Modelo de Aceptación Tecnológica (TAM) propuesto por Davis (1989) y adaptado por Venkatesh et al. (2003):</w:t>
      </w:r>
    </w:p>
    <w:p>
      <w:pPr>
        <w:spacing w:before="160" w:after="20"/>
        <w:ind w:firstLine="0"/>
      </w:pPr>
      <w:r>
        <w:rPr>
          <w:rFonts w:ascii="Times New Roman" w:hAnsi="Times New Roman"/>
          <w:b/>
          <w:sz w:val="24"/>
        </w:rPr>
        <w:t>Tabla 6.5</w:t>
      </w:r>
    </w:p>
    <w:p>
      <w:pPr>
        <w:spacing w:before="0" w:after="80"/>
        <w:ind w:firstLine="0"/>
      </w:pPr>
      <w:r>
        <w:rPr>
          <w:rFonts w:ascii="Times New Roman" w:hAnsi="Times New Roman"/>
          <w:i/>
          <w:sz w:val="24"/>
        </w:rPr>
        <w:t>Resultados Psicométricos de la Escala de Usabilidad del Sistema (SUS) y Modelo TAM (N = 22)</w:t>
      </w:r>
    </w:p>
    <w:tbl>
      <w:tblPr>
        <w:tblW w:type="auto" w:w="0"/>
        <w:jc w:val="center"/>
        <w:tblLook w:firstColumn="1" w:firstRow="1" w:lastColumn="0" w:lastRow="0" w:noHBand="0" w:noVBand="1" w:val="04A0"/>
      </w:tblPr>
      <w:tblGrid>
        <w:gridCol w:w="1881"/>
        <w:gridCol w:w="1881"/>
        <w:gridCol w:w="1881"/>
        <w:gridCol w:w="1881"/>
        <w:gridCol w:w="1881"/>
      </w:tblGrid>
      <w:tr>
        <w:tc>
          <w:tcPr>
            <w:tcW w:type="dxa" w:w="3456"/>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Dimensión Evaluada</w:t>
            </w:r>
          </w:p>
        </w:tc>
        <w:tc>
          <w:tcPr>
            <w:tcW w:type="dxa" w:w="1584"/>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Media (1 a 5)</w:t>
            </w:r>
          </w:p>
        </w:tc>
        <w:tc>
          <w:tcPr>
            <w:tcW w:type="dxa" w:w="1728"/>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Desviación Estándar</w:t>
            </w:r>
          </w:p>
        </w:tc>
        <w:tc>
          <w:tcPr>
            <w:tcW w:type="dxa" w:w="1728"/>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Nivel de Conformidad</w:t>
            </w:r>
          </w:p>
        </w:tc>
        <w:tc>
          <w:tcPr>
            <w:tcW w:type="dxa" w:w="2736"/>
            <w:tcBorders>
              <w:top w:sz="12" w:val="single" w:color="000000"/>
              <w:left w:val="nil"/>
              <w:bottom w:sz="12" w:val="single" w:color="000000"/>
              <w:right w:val="nil"/>
            </w:tcBorders>
          </w:tcPr>
          <w:p>
            <w:pPr>
              <w:spacing w:line="276" w:lineRule="auto" w:after="40" w:before="40"/>
              <w:jc w:val="center"/>
            </w:pPr>
            <w:r>
              <w:rPr>
                <w:rFonts w:ascii="Times New Roman" w:hAnsi="Times New Roman"/>
                <w:b/>
                <w:sz w:val="20"/>
              </w:rPr>
              <w:t>Interpretación Psicométrica</w:t>
            </w:r>
          </w:p>
        </w:tc>
      </w:tr>
      <w:tr>
        <w:tc>
          <w:tcPr>
            <w:tcW w:type="dxa" w:w="3456"/>
            <w:tcBorders>
              <w:top w:val="nil"/>
              <w:left w:val="nil"/>
              <w:bottom w:val="nil"/>
              <w:right w:val="nil"/>
            </w:tcBorders>
          </w:tcPr>
          <w:p>
            <w:pPr>
              <w:spacing w:line="276" w:lineRule="auto" w:after="40" w:before="40"/>
              <w:jc w:val="center"/>
            </w:pPr>
            <w:r>
              <w:rPr>
                <w:rFonts w:ascii="Times New Roman" w:hAnsi="Times New Roman"/>
                <w:sz w:val="20"/>
              </w:rPr>
              <w:t>Facilidad de uso percibida (PEOU)</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4.68</w:t>
            </w:r>
          </w:p>
        </w:tc>
        <w:tc>
          <w:tcPr>
            <w:tcW w:type="dxa" w:w="1728"/>
            <w:tcBorders>
              <w:top w:val="nil"/>
              <w:left w:val="nil"/>
              <w:bottom w:val="nil"/>
              <w:right w:val="nil"/>
            </w:tcBorders>
          </w:tcPr>
          <w:p>
            <w:pPr>
              <w:spacing w:line="276" w:lineRule="auto" w:after="40" w:before="40"/>
              <w:jc w:val="right"/>
            </w:pPr>
            <w:r>
              <w:rPr>
                <w:rFonts w:ascii="Times New Roman" w:hAnsi="Times New Roman"/>
                <w:sz w:val="20"/>
              </w:rPr>
              <w:t>0.48</w:t>
            </w:r>
          </w:p>
        </w:tc>
        <w:tc>
          <w:tcPr>
            <w:tcW w:type="dxa" w:w="1728"/>
            <w:tcBorders>
              <w:top w:val="nil"/>
              <w:left w:val="nil"/>
              <w:bottom w:val="nil"/>
              <w:right w:val="nil"/>
            </w:tcBorders>
          </w:tcPr>
          <w:p>
            <w:pPr>
              <w:spacing w:line="276" w:lineRule="auto" w:after="40" w:before="40"/>
              <w:jc w:val="left"/>
            </w:pPr>
            <w:r>
              <w:rPr>
                <w:rFonts w:ascii="Times New Roman" w:hAnsi="Times New Roman"/>
                <w:sz w:val="20"/>
              </w:rPr>
              <w:t>Muy Alto</w:t>
            </w:r>
          </w:p>
        </w:tc>
        <w:tc>
          <w:tcPr>
            <w:tcW w:type="dxa" w:w="2736"/>
            <w:tcBorders>
              <w:top w:val="nil"/>
              <w:left w:val="nil"/>
              <w:bottom w:val="nil"/>
              <w:right w:val="nil"/>
            </w:tcBorders>
          </w:tcPr>
          <w:p>
            <w:pPr>
              <w:spacing w:line="276" w:lineRule="auto" w:after="40" w:before="40"/>
              <w:jc w:val="left"/>
            </w:pPr>
            <w:r>
              <w:rPr>
                <w:rFonts w:ascii="Times New Roman" w:hAnsi="Times New Roman"/>
                <w:sz w:val="20"/>
              </w:rPr>
              <w:t>Curva de aprendizaje mínima y alta claridad</w:t>
            </w:r>
          </w:p>
        </w:tc>
      </w:tr>
      <w:tr>
        <w:tc>
          <w:tcPr>
            <w:tcW w:type="dxa" w:w="3456"/>
            <w:tcBorders>
              <w:top w:val="nil"/>
              <w:left w:val="nil"/>
              <w:bottom w:val="nil"/>
              <w:right w:val="nil"/>
            </w:tcBorders>
          </w:tcPr>
          <w:p>
            <w:pPr>
              <w:spacing w:line="276" w:lineRule="auto" w:after="40" w:before="40"/>
              <w:jc w:val="center"/>
            </w:pPr>
            <w:r>
              <w:rPr>
                <w:rFonts w:ascii="Times New Roman" w:hAnsi="Times New Roman"/>
                <w:sz w:val="20"/>
              </w:rPr>
              <w:t>Utilidad percibida en el trabajo (PU)</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4.82</w:t>
            </w:r>
          </w:p>
        </w:tc>
        <w:tc>
          <w:tcPr>
            <w:tcW w:type="dxa" w:w="1728"/>
            <w:tcBorders>
              <w:top w:val="nil"/>
              <w:left w:val="nil"/>
              <w:bottom w:val="nil"/>
              <w:right w:val="nil"/>
            </w:tcBorders>
          </w:tcPr>
          <w:p>
            <w:pPr>
              <w:spacing w:line="276" w:lineRule="auto" w:after="40" w:before="40"/>
              <w:jc w:val="right"/>
            </w:pPr>
            <w:r>
              <w:rPr>
                <w:rFonts w:ascii="Times New Roman" w:hAnsi="Times New Roman"/>
                <w:sz w:val="20"/>
              </w:rPr>
              <w:t>0.39</w:t>
            </w:r>
          </w:p>
        </w:tc>
        <w:tc>
          <w:tcPr>
            <w:tcW w:type="dxa" w:w="1728"/>
            <w:tcBorders>
              <w:top w:val="nil"/>
              <w:left w:val="nil"/>
              <w:bottom w:val="nil"/>
              <w:right w:val="nil"/>
            </w:tcBorders>
          </w:tcPr>
          <w:p>
            <w:pPr>
              <w:spacing w:line="276" w:lineRule="auto" w:after="40" w:before="40"/>
              <w:jc w:val="left"/>
            </w:pPr>
            <w:r>
              <w:rPr>
                <w:rFonts w:ascii="Times New Roman" w:hAnsi="Times New Roman"/>
                <w:sz w:val="20"/>
              </w:rPr>
              <w:t>Muy Alto</w:t>
            </w:r>
          </w:p>
        </w:tc>
        <w:tc>
          <w:tcPr>
            <w:tcW w:type="dxa" w:w="2736"/>
            <w:tcBorders>
              <w:top w:val="nil"/>
              <w:left w:val="nil"/>
              <w:bottom w:val="nil"/>
              <w:right w:val="nil"/>
            </w:tcBorders>
          </w:tcPr>
          <w:p>
            <w:pPr>
              <w:spacing w:line="276" w:lineRule="auto" w:after="40" w:before="40"/>
              <w:jc w:val="left"/>
            </w:pPr>
            <w:r>
              <w:rPr>
                <w:rFonts w:ascii="Times New Roman" w:hAnsi="Times New Roman"/>
                <w:sz w:val="20"/>
              </w:rPr>
              <w:t>Alto valor agregado para tareas operativas</w:t>
            </w:r>
          </w:p>
        </w:tc>
      </w:tr>
      <w:tr>
        <w:tc>
          <w:tcPr>
            <w:tcW w:type="dxa" w:w="3456"/>
            <w:tcBorders>
              <w:top w:val="nil"/>
              <w:left w:val="nil"/>
              <w:bottom w:val="nil"/>
              <w:right w:val="nil"/>
            </w:tcBorders>
          </w:tcPr>
          <w:p>
            <w:pPr>
              <w:spacing w:line="276" w:lineRule="auto" w:after="40" w:before="40"/>
              <w:jc w:val="center"/>
            </w:pPr>
            <w:r>
              <w:rPr>
                <w:rFonts w:ascii="Times New Roman" w:hAnsi="Times New Roman"/>
                <w:sz w:val="20"/>
              </w:rPr>
              <w:t>Confianza en la integridad y seguridad</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4.77</w:t>
            </w:r>
          </w:p>
        </w:tc>
        <w:tc>
          <w:tcPr>
            <w:tcW w:type="dxa" w:w="1728"/>
            <w:tcBorders>
              <w:top w:val="nil"/>
              <w:left w:val="nil"/>
              <w:bottom w:val="nil"/>
              <w:right w:val="nil"/>
            </w:tcBorders>
          </w:tcPr>
          <w:p>
            <w:pPr>
              <w:spacing w:line="276" w:lineRule="auto" w:after="40" w:before="40"/>
              <w:jc w:val="right"/>
            </w:pPr>
            <w:r>
              <w:rPr>
                <w:rFonts w:ascii="Times New Roman" w:hAnsi="Times New Roman"/>
                <w:sz w:val="20"/>
              </w:rPr>
              <w:t>0.43</w:t>
            </w:r>
          </w:p>
        </w:tc>
        <w:tc>
          <w:tcPr>
            <w:tcW w:type="dxa" w:w="1728"/>
            <w:tcBorders>
              <w:top w:val="nil"/>
              <w:left w:val="nil"/>
              <w:bottom w:val="nil"/>
              <w:right w:val="nil"/>
            </w:tcBorders>
          </w:tcPr>
          <w:p>
            <w:pPr>
              <w:spacing w:line="276" w:lineRule="auto" w:after="40" w:before="40"/>
              <w:jc w:val="left"/>
            </w:pPr>
            <w:r>
              <w:rPr>
                <w:rFonts w:ascii="Times New Roman" w:hAnsi="Times New Roman"/>
                <w:sz w:val="20"/>
              </w:rPr>
              <w:t>Muy Alto</w:t>
            </w:r>
          </w:p>
        </w:tc>
        <w:tc>
          <w:tcPr>
            <w:tcW w:type="dxa" w:w="2736"/>
            <w:tcBorders>
              <w:top w:val="nil"/>
              <w:left w:val="nil"/>
              <w:bottom w:val="nil"/>
              <w:right w:val="nil"/>
            </w:tcBorders>
          </w:tcPr>
          <w:p>
            <w:pPr>
              <w:spacing w:line="276" w:lineRule="auto" w:after="40" w:before="40"/>
              <w:jc w:val="left"/>
            </w:pPr>
            <w:r>
              <w:rPr>
                <w:rFonts w:ascii="Times New Roman" w:hAnsi="Times New Roman"/>
                <w:sz w:val="20"/>
              </w:rPr>
              <w:t>Certeza en la inalterabilidad de datos</w:t>
            </w:r>
          </w:p>
        </w:tc>
      </w:tr>
      <w:tr>
        <w:tc>
          <w:tcPr>
            <w:tcW w:type="dxa" w:w="3456"/>
            <w:tcBorders>
              <w:top w:val="nil"/>
              <w:left w:val="nil"/>
              <w:bottom w:val="nil"/>
              <w:right w:val="nil"/>
            </w:tcBorders>
          </w:tcPr>
          <w:p>
            <w:pPr>
              <w:spacing w:line="276" w:lineRule="auto" w:after="40" w:before="40"/>
              <w:jc w:val="center"/>
            </w:pPr>
            <w:r>
              <w:rPr>
                <w:rFonts w:ascii="Times New Roman" w:hAnsi="Times New Roman"/>
                <w:sz w:val="20"/>
              </w:rPr>
              <w:t>Satisfacción general con la plataforma</w:t>
            </w:r>
          </w:p>
        </w:tc>
        <w:tc>
          <w:tcPr>
            <w:tcW w:type="dxa" w:w="1584"/>
            <w:tcBorders>
              <w:top w:val="nil"/>
              <w:left w:val="nil"/>
              <w:bottom w:val="nil"/>
              <w:right w:val="nil"/>
            </w:tcBorders>
          </w:tcPr>
          <w:p>
            <w:pPr>
              <w:spacing w:line="276" w:lineRule="auto" w:after="40" w:before="40"/>
              <w:jc w:val="right"/>
            </w:pPr>
            <w:r>
              <w:rPr>
                <w:rFonts w:ascii="Times New Roman" w:hAnsi="Times New Roman"/>
                <w:sz w:val="20"/>
              </w:rPr>
              <w:t>4.73</w:t>
            </w:r>
          </w:p>
        </w:tc>
        <w:tc>
          <w:tcPr>
            <w:tcW w:type="dxa" w:w="1728"/>
            <w:tcBorders>
              <w:top w:val="nil"/>
              <w:left w:val="nil"/>
              <w:bottom w:val="nil"/>
              <w:right w:val="nil"/>
            </w:tcBorders>
          </w:tcPr>
          <w:p>
            <w:pPr>
              <w:spacing w:line="276" w:lineRule="auto" w:after="40" w:before="40"/>
              <w:jc w:val="right"/>
            </w:pPr>
            <w:r>
              <w:rPr>
                <w:rFonts w:ascii="Times New Roman" w:hAnsi="Times New Roman"/>
                <w:sz w:val="20"/>
              </w:rPr>
              <w:t>0.46</w:t>
            </w:r>
          </w:p>
        </w:tc>
        <w:tc>
          <w:tcPr>
            <w:tcW w:type="dxa" w:w="1728"/>
            <w:tcBorders>
              <w:top w:val="nil"/>
              <w:left w:val="nil"/>
              <w:bottom w:val="nil"/>
              <w:right w:val="nil"/>
            </w:tcBorders>
          </w:tcPr>
          <w:p>
            <w:pPr>
              <w:spacing w:line="276" w:lineRule="auto" w:after="40" w:before="40"/>
              <w:jc w:val="left"/>
            </w:pPr>
            <w:r>
              <w:rPr>
                <w:rFonts w:ascii="Times New Roman" w:hAnsi="Times New Roman"/>
                <w:sz w:val="20"/>
              </w:rPr>
              <w:t>Muy Alto</w:t>
            </w:r>
          </w:p>
        </w:tc>
        <w:tc>
          <w:tcPr>
            <w:tcW w:type="dxa" w:w="2736"/>
            <w:tcBorders>
              <w:top w:val="nil"/>
              <w:left w:val="nil"/>
              <w:bottom w:val="nil"/>
              <w:right w:val="nil"/>
            </w:tcBorders>
          </w:tcPr>
          <w:p>
            <w:pPr>
              <w:spacing w:line="276" w:lineRule="auto" w:after="40" w:before="40"/>
              <w:jc w:val="left"/>
            </w:pPr>
            <w:r>
              <w:rPr>
                <w:rFonts w:ascii="Times New Roman" w:hAnsi="Times New Roman"/>
                <w:sz w:val="20"/>
              </w:rPr>
              <w:t>Disposición favorable para adopción plena</w:t>
            </w:r>
          </w:p>
        </w:tc>
      </w:tr>
      <w:tr>
        <w:tc>
          <w:tcPr>
            <w:tcW w:type="dxa" w:w="3456"/>
            <w:tcBorders>
              <w:top w:val="nil"/>
              <w:left w:val="nil"/>
              <w:bottom w:sz="12" w:val="single" w:color="000000"/>
              <w:right w:val="nil"/>
            </w:tcBorders>
          </w:tcPr>
          <w:p>
            <w:pPr>
              <w:spacing w:line="276" w:lineRule="auto" w:after="40" w:before="40"/>
              <w:jc w:val="center"/>
            </w:pPr>
            <w:r>
              <w:rPr>
                <w:rFonts w:ascii="Times New Roman" w:hAnsi="Times New Roman"/>
                <w:sz w:val="20"/>
              </w:rPr>
              <w:t>PUNTUACIÓN GLOBAL ESCALA SUS</w:t>
            </w:r>
          </w:p>
        </w:tc>
        <w:tc>
          <w:tcPr>
            <w:tcW w:type="dxa" w:w="1584"/>
            <w:tcBorders>
              <w:top w:val="nil"/>
              <w:left w:val="nil"/>
              <w:bottom w:sz="12" w:val="single" w:color="000000"/>
              <w:right w:val="nil"/>
            </w:tcBorders>
          </w:tcPr>
          <w:p>
            <w:pPr>
              <w:spacing w:line="276" w:lineRule="auto" w:after="40" w:before="40"/>
              <w:jc w:val="right"/>
            </w:pPr>
            <w:r>
              <w:rPr>
                <w:rFonts w:ascii="Times New Roman" w:hAnsi="Times New Roman"/>
                <w:sz w:val="20"/>
              </w:rPr>
              <w:t>88.5 / 100</w:t>
            </w:r>
          </w:p>
        </w:tc>
        <w:tc>
          <w:tcPr>
            <w:tcW w:type="dxa" w:w="1728"/>
            <w:tcBorders>
              <w:top w:val="nil"/>
              <w:left w:val="nil"/>
              <w:bottom w:sz="12" w:val="single" w:color="000000"/>
              <w:right w:val="nil"/>
            </w:tcBorders>
          </w:tcPr>
          <w:p>
            <w:pPr>
              <w:spacing w:line="276" w:lineRule="auto" w:after="40" w:before="40"/>
              <w:jc w:val="right"/>
            </w:pPr>
            <w:r>
              <w:rPr>
                <w:rFonts w:ascii="Times New Roman" w:hAnsi="Times New Roman"/>
                <w:sz w:val="20"/>
              </w:rPr>
              <w:t>5.12</w:t>
            </w:r>
          </w:p>
        </w:tc>
        <w:tc>
          <w:tcPr>
            <w:tcW w:type="dxa" w:w="1728"/>
            <w:tcBorders>
              <w:top w:val="nil"/>
              <w:left w:val="nil"/>
              <w:bottom w:sz="12" w:val="single" w:color="000000"/>
              <w:right w:val="nil"/>
            </w:tcBorders>
          </w:tcPr>
          <w:p>
            <w:pPr>
              <w:spacing w:line="276" w:lineRule="auto" w:after="40" w:before="40"/>
              <w:jc w:val="left"/>
            </w:pPr>
            <w:r>
              <w:rPr>
                <w:rFonts w:ascii="Times New Roman" w:hAnsi="Times New Roman"/>
                <w:sz w:val="20"/>
              </w:rPr>
              <w:t>Grado 'A'</w:t>
            </w:r>
          </w:p>
        </w:tc>
        <w:tc>
          <w:tcPr>
            <w:tcW w:type="dxa" w:w="2736"/>
            <w:tcBorders>
              <w:top w:val="nil"/>
              <w:left w:val="nil"/>
              <w:bottom w:sz="12" w:val="single" w:color="000000"/>
              <w:right w:val="nil"/>
            </w:tcBorders>
          </w:tcPr>
          <w:p>
            <w:pPr>
              <w:spacing w:line="276" w:lineRule="auto" w:after="40" w:before="40"/>
              <w:jc w:val="left"/>
            </w:pPr>
            <w:r>
              <w:rPr>
                <w:rFonts w:ascii="Times New Roman" w:hAnsi="Times New Roman"/>
                <w:sz w:val="20"/>
              </w:rPr>
              <w:t>Excelente Usabilidad (Bangor et al., 2008)</w:t>
            </w:r>
          </w:p>
        </w:tc>
      </w:tr>
    </w:tbl>
    <w:p>
      <w:pPr>
        <w:spacing w:before="60" w:after="160"/>
        <w:ind w:firstLine="0"/>
      </w:pPr>
      <w:r>
        <w:rPr>
          <w:rFonts w:ascii="Times New Roman" w:hAnsi="Times New Roman"/>
          <w:i/>
          <w:sz w:val="20"/>
        </w:rPr>
        <w:t xml:space="preserve">Nota. </w:t>
      </w:r>
      <w:r>
        <w:rPr>
          <w:rFonts w:ascii="Times New Roman" w:hAnsi="Times New Roman"/>
          <w:sz w:val="20"/>
        </w:rPr>
        <w:t>Puntuación consolidada obtenida a partir del censo completo de N = 22 funcionarios institucionales.</w:t>
      </w:r>
    </w:p>
    <w:p>
      <w:pPr>
        <w:spacing w:line="360" w:lineRule="auto" w:after="0" w:before="0"/>
        <w:ind w:firstLine="720"/>
        <w:jc w:val="both"/>
      </w:pPr>
      <w:r>
        <w:rPr>
          <w:rFonts w:ascii="Times New Roman" w:hAnsi="Times New Roman"/>
          <w:sz w:val="24"/>
        </w:rPr>
        <w:t>De acuerdo con la escala psicométrica estandarizada de Bangor et al. (2008), una calificación SUS superior a 80 puntos sitúa al sistema en la categoría Grado 'A' de usabilidad sobresaliente, certificando que la plataforma ofrece una experiencia de usuario sumamente satisfactoria.</w:t>
      </w:r>
    </w:p>
    <w:p>
      <w:pPr>
        <w:spacing w:line="360" w:lineRule="auto" w:before="160" w:after="40"/>
        <w:ind w:firstLine="0"/>
        <w:jc w:val="left"/>
      </w:pPr>
      <w:r>
        <w:rPr>
          <w:rFonts w:ascii="Times New Roman" w:hAnsi="Times New Roman"/>
          <w:b/>
          <w:i/>
          <w:sz w:val="24"/>
        </w:rPr>
        <w:t>6.4.4 Procedimiento Formal de Contrastación de la Hipótesis Estadística</w:t>
      </w:r>
    </w:p>
    <w:p>
      <w:pPr>
        <w:spacing w:line="360" w:lineRule="auto" w:after="0" w:before="0"/>
        <w:ind w:firstLine="720"/>
        <w:jc w:val="both"/>
      </w:pPr>
      <w:r>
        <w:rPr>
          <w:rFonts w:ascii="Times New Roman" w:hAnsi="Times New Roman"/>
          <w:sz w:val="24"/>
        </w:rPr>
        <w:t>Para determinar si las mejoras observadas entre el método analógico y la plataforma digital poseen validez científica o si pudieran atribuirse a fluctuaciones aleatorias, se procedió a la contrastación estadística formal (Montgomery, 2017; Walpole et al., 2012):</w:t>
      </w:r>
    </w:p>
    <w:p>
      <w:pPr>
        <w:spacing w:line="360" w:lineRule="auto" w:after="0" w:before="0"/>
        <w:ind w:firstLine="720"/>
        <w:jc w:val="both"/>
      </w:pPr>
      <w:r>
        <w:rPr>
          <w:rFonts w:ascii="Times New Roman" w:hAnsi="Times New Roman"/>
          <w:sz w:val="24"/>
        </w:rPr>
        <w:t>Planteamiento formal de hipótesis:</w:t>
        <w:br/>
        <w:t>- Hipótesis de Investigación (H1): La implementación de la plataforma web MFN Digital optimiza significativamente la trazabilidad operativa, asegura el control financiero y agiliza la toma de decisiones gerenciales en la Mancomunidad Frontera del Norte.</w:t>
        <w:br/>
        <w:t>- Hipótesis Nula (H0): La implementación de la plataforma web MFN Digital no genera una optimización estadísticamente significativa en los tiempos operativos ni en el control institucional de la Mancomunidad Frontera del Norte.</w:t>
      </w:r>
    </w:p>
    <w:p>
      <w:pPr>
        <w:spacing w:line="360" w:lineRule="auto" w:after="0" w:before="0"/>
        <w:ind w:firstLine="720"/>
        <w:jc w:val="both"/>
      </w:pPr>
      <w:r>
        <w:rPr>
          <w:rFonts w:ascii="Times New Roman" w:hAnsi="Times New Roman"/>
          <w:sz w:val="24"/>
        </w:rPr>
        <w:t>Dado que se evalúa una variable continua (tiempo en minutos) sobre una misma muestra censal antes y después de la intervención tecnológica (diseño de muestras relacionadas o emparejadas con N = 22 colaboradores), se aplicó la prueba paramétrica t de Student para muestras emparejadas con un nivel de significancia alfa = 0.05 y gl = N - 1 = 21 grados de libertad.</w:t>
      </w:r>
    </w:p>
    <w:p>
      <w:pPr>
        <w:spacing w:line="360" w:lineRule="auto" w:after="0" w:before="0"/>
        <w:ind w:firstLine="720"/>
        <w:jc w:val="both"/>
      </w:pPr>
      <w:r>
        <w:rPr>
          <w:rFonts w:ascii="Times New Roman" w:hAnsi="Times New Roman"/>
          <w:sz w:val="24"/>
        </w:rPr>
        <w:t>Cálculo algebraico paso a paso:</w:t>
        <w:br/>
        <w:t>1. Media de las diferencias muestrales: D̄ = 92.33 minutos de optimización promedio por proceso.</w:t>
        <w:br/>
        <w:t>2. Varianza de las diferencias: S²_D = 534.07, arrojando una desviación estándar muestral S_D = 23.11 minutos.</w:t>
        <w:br/>
        <w:t>3. Error estándar de la media de las diferencias: SE = S_D / √N = 23.11 / √22 = 4.927 minutos.</w:t>
        <w:br/>
        <w:t>4. Estadístico de prueba t calculado: t = (D̄ - μ_0) / SE = (92.33 - 0) / 4.927 = 18.74.</w:t>
        <w:br/>
        <w:t>5. Valor crítico tabular: Para una distribución t de dos colas con gl = 21 y nivel de significancia alfa = 0.05, el valor crítico es t_crítico = 2.080.</w:t>
        <w:br/>
        <w:t>6. Probabilidad asociada (p-valor): p &lt; 0.0001.</w:t>
      </w:r>
    </w:p>
    <w:p>
      <w:pPr>
        <w:spacing w:line="360" w:lineRule="auto" w:after="0" w:before="0"/>
        <w:ind w:firstLine="720"/>
        <w:jc w:val="both"/>
      </w:pPr>
      <w:r>
        <w:rPr>
          <w:rFonts w:ascii="Times New Roman" w:hAnsi="Times New Roman"/>
          <w:sz w:val="24"/>
        </w:rPr>
        <w:t>Regla de decisión y conclusión científica: Dado que el estadístico t calculado (18.74) es holgadamente superior al valor crítico tabular (2.080) y el p-valor es menor al umbral de 0.05 (p &lt; 0.0001), se RECHAZA categóricamente la Hipótesis Nula (H0) y se ACEPTA con un 99.99% de confianza estadística la Hipótesis de Investigación (H1), demostrando fehacientemente que la plataforma web MFN Digital produce una optimización significativa en el desempeño administrativo e intermunicipal.</w:t>
      </w:r>
    </w:p>
    <w:p>
      <w:r>
        <w:br w:type="page"/>
      </w:r>
    </w:p>
    <w:p>
      <w:pPr>
        <w:spacing w:line="360" w:lineRule="auto" w:before="240" w:after="120"/>
        <w:ind w:firstLine="0"/>
        <w:jc w:val="center"/>
      </w:pPr>
      <w:r>
        <w:rPr>
          <w:rFonts w:ascii="Times New Roman" w:hAnsi="Times New Roman"/>
          <w:b/>
          <w:sz w:val="24"/>
        </w:rPr>
        <w:t>CONCLUSIONES</w:t>
      </w:r>
    </w:p>
    <w:p>
      <w:pPr>
        <w:spacing w:line="360" w:lineRule="auto" w:after="0" w:before="0"/>
        <w:ind w:firstLine="0"/>
        <w:jc w:val="both"/>
      </w:pPr>
      <w:r>
        <w:rPr>
          <w:rFonts w:ascii="Times New Roman" w:hAnsi="Times New Roman"/>
          <w:sz w:val="24"/>
        </w:rPr>
        <w:t>1. Se desarrolló e implementó con éxito la plataforma web MFN Digital bajo una arquitectura cloud serverless en Vercel y Neon PostgreSQL, logrando una reducción del 93.9% en los tiempos de gestión administrativa en los seis procesos operativos clave de la Mancomunidad.</w:t>
      </w:r>
    </w:p>
    <w:p>
      <w:pPr>
        <w:spacing w:line="360" w:lineRule="auto" w:after="0" w:before="0"/>
        <w:ind w:firstLine="0"/>
        <w:jc w:val="both"/>
      </w:pPr>
      <w:r>
        <w:rPr>
          <w:rFonts w:ascii="Times New Roman" w:hAnsi="Times New Roman"/>
          <w:sz w:val="24"/>
        </w:rPr>
        <w:t>2. Se garantizó la inalterabilidad y transparencia institucional mediante un árbol criptográfico de Merkle SHA-256, certificando el 100% de los 35 registros canónicos de la base de datos sin registrar ninguna discrepancia contra el punto de control inmutable asentado.</w:t>
      </w:r>
    </w:p>
    <w:p>
      <w:pPr>
        <w:spacing w:line="360" w:lineRule="auto" w:after="0" w:before="0"/>
        <w:ind w:firstLine="0"/>
        <w:jc w:val="both"/>
      </w:pPr>
      <w:r>
        <w:rPr>
          <w:rFonts w:ascii="Times New Roman" w:hAnsi="Times New Roman"/>
          <w:sz w:val="24"/>
        </w:rPr>
        <w:t>3. Se fortaleció la rendición de cuentas ante la Contraloría General de Cuentas al implementar la separación bancaria estricta de cuentas y la emisión digital del Recibo Forma 63-A2, eliminando el 100% de las inconsistencias en la liquidación de fondos públicos.</w:t>
      </w:r>
    </w:p>
    <w:p>
      <w:pPr>
        <w:spacing w:line="360" w:lineRule="auto" w:after="0" w:before="0"/>
        <w:ind w:firstLine="0"/>
        <w:jc w:val="both"/>
      </w:pPr>
      <w:r>
        <w:rPr>
          <w:rFonts w:ascii="Times New Roman" w:hAnsi="Times New Roman"/>
          <w:sz w:val="24"/>
        </w:rPr>
        <w:t>4. Se alcanzó un índice de satisfacción y aceptación tecnológica sobresaliente de 88.5 puntos sobre 100 en la escala SUS (Grado 'A'), sustentado en una muestra censal del 100% de los 22 colaboradores de la entidad capacitados en cinco talleres especializados.</w:t>
      </w:r>
    </w:p>
    <w:p>
      <w:pPr>
        <w:spacing w:line="360" w:lineRule="auto" w:after="0" w:before="0"/>
        <w:ind w:firstLine="0"/>
        <w:jc w:val="both"/>
      </w:pPr>
      <w:r>
        <w:rPr>
          <w:rFonts w:ascii="Times New Roman" w:hAnsi="Times New Roman"/>
          <w:sz w:val="24"/>
        </w:rPr>
        <w:t>5. Se validaron 132 pruebas automatizadas (120 unitarias y 12 de integración y seguridad) con un 100% de aprobación, verificando tiempos de respuesta de la API inferiores a 250 milisegundos y un rechazo estricto de accesos no autorizados mediante políticas RBAC.</w:t>
      </w:r>
    </w:p>
    <w:p>
      <w:r>
        <w:br w:type="page"/>
      </w:r>
    </w:p>
    <w:p>
      <w:pPr>
        <w:spacing w:line="360" w:lineRule="auto" w:before="240" w:after="120"/>
        <w:ind w:firstLine="0"/>
        <w:jc w:val="center"/>
      </w:pPr>
      <w:r>
        <w:rPr>
          <w:rFonts w:ascii="Times New Roman" w:hAnsi="Times New Roman"/>
          <w:b/>
          <w:sz w:val="24"/>
        </w:rPr>
        <w:t>RECOMENDACIONES</w:t>
      </w:r>
    </w:p>
    <w:p>
      <w:pPr>
        <w:spacing w:line="360" w:lineRule="auto" w:after="0" w:before="0"/>
        <w:ind w:firstLine="0"/>
        <w:jc w:val="both"/>
      </w:pPr>
      <w:r>
        <w:rPr>
          <w:rFonts w:ascii="Times New Roman" w:hAnsi="Times New Roman"/>
          <w:sz w:val="24"/>
        </w:rPr>
        <w:t>1. Se recomienda a la Junta Directiva y a la Gerencia Ejecutiva de la Mancomunidad Frontera del Norte emitir un acuerdo formal que establezca el uso obligatorio y exclusivo del sistema MFN Digital como la herramienta oficial de gestión, seguimiento de proyectos y rendición de cuentas.</w:t>
      </w:r>
    </w:p>
    <w:p>
      <w:pPr>
        <w:spacing w:line="360" w:lineRule="auto" w:after="0" w:before="0"/>
        <w:ind w:firstLine="0"/>
        <w:jc w:val="both"/>
      </w:pPr>
      <w:r>
        <w:rPr>
          <w:rFonts w:ascii="Times New Roman" w:hAnsi="Times New Roman"/>
          <w:sz w:val="24"/>
        </w:rPr>
        <w:t>2. Se aconseja a las Oficinas Municipales de Agua y Saneamiento (OMAS) institucionalizar el registro semanal de lecturas de cloro residual en el módulo ASH, permitiendo fundamentar técnicamente solicitudes de financiamiento ante cooperantes internacionales.</w:t>
      </w:r>
    </w:p>
    <w:p>
      <w:pPr>
        <w:spacing w:line="360" w:lineRule="auto" w:after="0" w:before="0"/>
        <w:ind w:firstLine="0"/>
        <w:jc w:val="both"/>
      </w:pPr>
      <w:r>
        <w:rPr>
          <w:rFonts w:ascii="Times New Roman" w:hAnsi="Times New Roman"/>
          <w:sz w:val="24"/>
        </w:rPr>
        <w:t>3. Se recomienda al departamento de auditoría interna incorporar en sus manuales la verificación mensual del sello forense criptográfico de la plataforma, emitiendo constancias de inmutabilidad de actas y transacciones financieras para la Contraloría General de Cuentas.</w:t>
      </w:r>
    </w:p>
    <w:p>
      <w:pPr>
        <w:spacing w:line="360" w:lineRule="auto" w:after="0" w:before="0"/>
        <w:ind w:firstLine="0"/>
        <w:jc w:val="both"/>
      </w:pPr>
      <w:r>
        <w:rPr>
          <w:rFonts w:ascii="Times New Roman" w:hAnsi="Times New Roman"/>
          <w:sz w:val="24"/>
        </w:rPr>
        <w:t>4. Se sugiere a la Dirección Administrativa y Financiera actualizar semestralmente los perfiles de acceso y permisos RBAC en el sistema, asegurando que las altas, bajas o traslados de personal mantengan el principio de mínimo privilegio en el marco del RIT institucional.</w:t>
      </w:r>
    </w:p>
    <w:p>
      <w:pPr>
        <w:spacing w:line="360" w:lineRule="auto" w:after="0" w:before="0"/>
        <w:ind w:firstLine="0"/>
        <w:jc w:val="both"/>
      </w:pPr>
      <w:r>
        <w:rPr>
          <w:rFonts w:ascii="Times New Roman" w:hAnsi="Times New Roman"/>
          <w:sz w:val="24"/>
        </w:rPr>
        <w:t>5. Se recomienda a la coordinación técnica planificar una segunda fase de integración que contemple la sincronización automatizada de proyectos con los catálogos de obras de los Consejos Departamentales de Desarrollo (CODEDE) y el Sistema Nacional de Inversión Pública (SNIP).</w:t>
      </w:r>
    </w:p>
    <w:p>
      <w:r>
        <w:br w:type="page"/>
      </w:r>
    </w:p>
    <w:p>
      <w:pPr>
        <w:spacing w:line="360" w:lineRule="auto" w:before="240" w:after="120"/>
        <w:ind w:firstLine="0"/>
        <w:jc w:val="center"/>
      </w:pPr>
      <w:r>
        <w:rPr>
          <w:rFonts w:ascii="Times New Roman" w:hAnsi="Times New Roman"/>
          <w:b/>
          <w:sz w:val="24"/>
        </w:rPr>
        <w:t>REFERENCIAS BIBLIOGRÁFICAS</w:t>
      </w:r>
    </w:p>
    <w:p>
      <w:pPr>
        <w:spacing w:line="360" w:lineRule="auto" w:after="80" w:before="0"/>
        <w:ind w:hanging="720" w:left="720"/>
        <w:jc w:val="both"/>
      </w:pPr>
      <w:r>
        <w:rPr>
          <w:rFonts w:ascii="Times New Roman" w:hAnsi="Times New Roman"/>
          <w:sz w:val="24"/>
        </w:rPr>
        <w:t>Bangor, A., Kortum, P. T., &amp; Miller, J. T. (2008). An empirical evaluation of the System Usability Scale. International Journal of Human-Computer Interaction, 24(6), 574–594. https://doi.org/10.1080/10447310802205776</w:t>
      </w:r>
    </w:p>
    <w:p>
      <w:pPr>
        <w:spacing w:line="360" w:lineRule="auto" w:after="80" w:before="0"/>
        <w:ind w:hanging="720" w:left="720"/>
        <w:jc w:val="both"/>
      </w:pPr>
      <w:r>
        <w:rPr>
          <w:rFonts w:ascii="Times New Roman" w:hAnsi="Times New Roman"/>
          <w:sz w:val="24"/>
        </w:rPr>
        <w:t>Bass, L., Clements, P., &amp; Kazman, R. (2021). Software architecture in practice (4th ed.). Addison-Wesley Professional.</w:t>
      </w:r>
    </w:p>
    <w:p>
      <w:pPr>
        <w:spacing w:line="360" w:lineRule="auto" w:after="80" w:before="0"/>
        <w:ind w:hanging="720" w:left="720"/>
        <w:jc w:val="both"/>
      </w:pPr>
      <w:r>
        <w:rPr>
          <w:rFonts w:ascii="Times New Roman" w:hAnsi="Times New Roman"/>
          <w:sz w:val="24"/>
        </w:rPr>
        <w:t>Brooke, J. (1996). SUS: A 'quick and dirty' usability scale. In P. W. Jordan, B. Thomas, I. L. McClelland, &amp; B. Weerdmeester (Eds.), Usability evaluation in industry (pp. 189–194). Taylor &amp; Francis.</w:t>
      </w:r>
    </w:p>
    <w:p>
      <w:pPr>
        <w:spacing w:line="360" w:lineRule="auto" w:after="80" w:before="0"/>
        <w:ind w:hanging="720" w:left="720"/>
        <w:jc w:val="both"/>
      </w:pPr>
      <w:r>
        <w:rPr>
          <w:rFonts w:ascii="Times New Roman" w:hAnsi="Times New Roman"/>
          <w:sz w:val="24"/>
        </w:rPr>
        <w:t>Chiavenato, I. (2020). Comportamiento organizacional: La dinámica del éxito en las organizaciones (3a ed.). McGraw-Hill Interamericana.</w:t>
      </w:r>
    </w:p>
    <w:p>
      <w:pPr>
        <w:spacing w:line="360" w:lineRule="auto" w:after="80" w:before="0"/>
        <w:ind w:hanging="720" w:left="720"/>
        <w:jc w:val="both"/>
      </w:pPr>
      <w:r>
        <w:rPr>
          <w:rFonts w:ascii="Times New Roman" w:hAnsi="Times New Roman"/>
          <w:sz w:val="24"/>
        </w:rPr>
        <w:t>Comisión Guatemalteca de Normas [COGUANOR]. (2010). Norma técnica guatemalteca COGUANOR NGO 29 001: Agua para consumo humano (especificaciones). Ministerio de Economía de Guatemala.</w:t>
      </w:r>
    </w:p>
    <w:p>
      <w:pPr>
        <w:spacing w:line="360" w:lineRule="auto" w:after="80" w:before="0"/>
        <w:ind w:hanging="720" w:left="720"/>
        <w:jc w:val="both"/>
      </w:pPr>
      <w:r>
        <w:rPr>
          <w:rFonts w:ascii="Times New Roman" w:hAnsi="Times New Roman"/>
          <w:sz w:val="24"/>
        </w:rPr>
        <w:t>Congreso de la República de Guatemala. (2002). Decreto Número 12-2002: Código Municipal. Diario de Centro América.</w:t>
      </w:r>
    </w:p>
    <w:p>
      <w:pPr>
        <w:spacing w:line="360" w:lineRule="auto" w:after="80" w:before="0"/>
        <w:ind w:hanging="720" w:left="720"/>
        <w:jc w:val="both"/>
      </w:pPr>
      <w:r>
        <w:rPr>
          <w:rFonts w:ascii="Times New Roman" w:hAnsi="Times New Roman"/>
          <w:sz w:val="24"/>
        </w:rPr>
        <w:t>Congreso de la República de Guatemala. (2008). Decreto Número 57-2008: Ley de Acceso a la Información Pública. Diario de Centro América.</w:t>
      </w:r>
    </w:p>
    <w:p>
      <w:pPr>
        <w:spacing w:line="360" w:lineRule="auto" w:after="80" w:before="0"/>
        <w:ind w:hanging="720" w:left="720"/>
        <w:jc w:val="both"/>
      </w:pPr>
      <w:r>
        <w:rPr>
          <w:rFonts w:ascii="Times New Roman" w:hAnsi="Times New Roman"/>
          <w:sz w:val="24"/>
        </w:rPr>
        <w:t>Contraloría General de Cuentas [CGC]. (2021). Manual de normas generales de control interno para el sector público gubernamental. Dirección de Auditoría Gubernamental.</w:t>
      </w:r>
    </w:p>
    <w:p>
      <w:pPr>
        <w:spacing w:line="360" w:lineRule="auto" w:after="80" w:before="0"/>
        <w:ind w:hanging="720" w:left="720"/>
        <w:jc w:val="both"/>
      </w:pPr>
      <w:r>
        <w:rPr>
          <w:rFonts w:ascii="Times New Roman" w:hAnsi="Times New Roman"/>
          <w:sz w:val="24"/>
        </w:rPr>
        <w:t>Davis, F. D. (1989). Perceived usefulness, perceived ease of use, and user acceptance of information technology. MIS Quarterly, 13(3), 319–340. https://doi.org/10.2307/249008</w:t>
      </w:r>
    </w:p>
    <w:p>
      <w:pPr>
        <w:spacing w:line="360" w:lineRule="auto" w:after="80" w:before="0"/>
        <w:ind w:hanging="720" w:left="720"/>
        <w:jc w:val="both"/>
      </w:pPr>
      <w:r>
        <w:rPr>
          <w:rFonts w:ascii="Times New Roman" w:hAnsi="Times New Roman"/>
          <w:sz w:val="24"/>
        </w:rPr>
        <w:t>Hernández-Sampieri, R., &amp; Mendoza, C. P. (2018). Metodología de la investigación: Las rutas cuantitativa, cualitativa y mixta. McGraw-Hill Interamericana.</w:t>
      </w:r>
    </w:p>
    <w:p>
      <w:pPr>
        <w:spacing w:line="360" w:lineRule="auto" w:after="80" w:before="0"/>
        <w:ind w:hanging="720" w:left="720"/>
        <w:jc w:val="both"/>
      </w:pPr>
      <w:r>
        <w:rPr>
          <w:rFonts w:ascii="Times New Roman" w:hAnsi="Times New Roman"/>
          <w:sz w:val="24"/>
        </w:rPr>
        <w:t>IEEE Computer Society. (1998). IEEE Standard for Software Test Documentation (IEEE Std 829-1998). Institute of Electrical and Electronics Engineers.</w:t>
      </w:r>
    </w:p>
    <w:p>
      <w:pPr>
        <w:spacing w:line="360" w:lineRule="auto" w:after="80" w:before="0"/>
        <w:ind w:hanging="720" w:left="720"/>
        <w:jc w:val="both"/>
      </w:pPr>
      <w:r>
        <w:rPr>
          <w:rFonts w:ascii="Times New Roman" w:hAnsi="Times New Roman"/>
          <w:sz w:val="24"/>
        </w:rPr>
        <w:t>ISO/IEC. (2011). Systems and software engineering — Systems and software Quality Requirements and Evaluation (SQuaRE) — System and software quality models (ISO/IEC Standard No. 25010:2011). International Organization for Standardization.</w:t>
      </w:r>
    </w:p>
    <w:p>
      <w:pPr>
        <w:spacing w:line="360" w:lineRule="auto" w:after="80" w:before="0"/>
        <w:ind w:hanging="720" w:left="720"/>
        <w:jc w:val="both"/>
      </w:pPr>
      <w:r>
        <w:rPr>
          <w:rFonts w:ascii="Times New Roman" w:hAnsi="Times New Roman"/>
          <w:sz w:val="24"/>
        </w:rPr>
        <w:t>Kleppmann, M. (2017). Designing data-intensive applications: The big ideas behind reliable, scalable, and maintainable systems. O'Reilly Media.</w:t>
      </w:r>
    </w:p>
    <w:p>
      <w:pPr>
        <w:spacing w:line="360" w:lineRule="auto" w:after="80" w:before="0"/>
        <w:ind w:hanging="720" w:left="720"/>
        <w:jc w:val="both"/>
      </w:pPr>
      <w:r>
        <w:rPr>
          <w:rFonts w:ascii="Times New Roman" w:hAnsi="Times New Roman"/>
          <w:sz w:val="24"/>
        </w:rPr>
        <w:t>Kotter, J. P. (2012). Leading change. Harvard Business Review Press.</w:t>
      </w:r>
    </w:p>
    <w:p>
      <w:pPr>
        <w:spacing w:line="360" w:lineRule="auto" w:after="80" w:before="0"/>
        <w:ind w:hanging="720" w:left="720"/>
        <w:jc w:val="both"/>
      </w:pPr>
      <w:r>
        <w:rPr>
          <w:rFonts w:ascii="Times New Roman" w:hAnsi="Times New Roman"/>
          <w:sz w:val="24"/>
        </w:rPr>
        <w:t>Merkle, R. C. (1987). A digital signature based on a conventional encryption function. In Advances in Cryptology — CRYPTO '87 (pp. 369–378). Springer. https://doi.org/10.1007/3-540-48184-2_32</w:t>
      </w:r>
    </w:p>
    <w:p>
      <w:pPr>
        <w:spacing w:line="360" w:lineRule="auto" w:after="80" w:before="0"/>
        <w:ind w:hanging="720" w:left="720"/>
        <w:jc w:val="both"/>
      </w:pPr>
      <w:r>
        <w:rPr>
          <w:rFonts w:ascii="Times New Roman" w:hAnsi="Times New Roman"/>
          <w:sz w:val="24"/>
        </w:rPr>
        <w:t>Montgomery, D. C. (2017). Design and analysis of experiments (9th ed.). John Wiley &amp; Sons.</w:t>
      </w:r>
    </w:p>
    <w:p>
      <w:pPr>
        <w:spacing w:line="360" w:lineRule="auto" w:after="80" w:before="0"/>
        <w:ind w:hanging="720" w:left="720"/>
        <w:jc w:val="both"/>
      </w:pPr>
      <w:r>
        <w:rPr>
          <w:rFonts w:ascii="Times New Roman" w:hAnsi="Times New Roman"/>
          <w:sz w:val="24"/>
        </w:rPr>
        <w:t>Pressman, R. S., &amp; Maxim, B. R. (2020). Software engineering: A practitioner's approach (9th ed.). McGraw-Hill Education.</w:t>
      </w:r>
    </w:p>
    <w:p>
      <w:pPr>
        <w:spacing w:line="360" w:lineRule="auto" w:after="80" w:before="0"/>
        <w:ind w:hanging="720" w:left="720"/>
        <w:jc w:val="both"/>
      </w:pPr>
      <w:r>
        <w:rPr>
          <w:rFonts w:ascii="Times New Roman" w:hAnsi="Times New Roman"/>
          <w:sz w:val="24"/>
        </w:rPr>
        <w:t>Silberschatz, A., Korth, H. F., &amp; Sudarshan, S. (2020). Database system concepts (7th ed.). McGraw-Hill Education.</w:t>
      </w:r>
    </w:p>
    <w:p>
      <w:pPr>
        <w:spacing w:line="360" w:lineRule="auto" w:after="80" w:before="0"/>
        <w:ind w:hanging="720" w:left="720"/>
        <w:jc w:val="both"/>
      </w:pPr>
      <w:r>
        <w:rPr>
          <w:rFonts w:ascii="Times New Roman" w:hAnsi="Times New Roman"/>
          <w:sz w:val="24"/>
        </w:rPr>
        <w:t>Sommerville, I. (2019). Software engineering (10th ed.). Pearson Education.</w:t>
      </w:r>
    </w:p>
    <w:p>
      <w:pPr>
        <w:spacing w:line="360" w:lineRule="auto" w:after="80" w:before="0"/>
        <w:ind w:hanging="720" w:left="720"/>
        <w:jc w:val="both"/>
      </w:pPr>
      <w:r>
        <w:rPr>
          <w:rFonts w:ascii="Times New Roman" w:hAnsi="Times New Roman"/>
          <w:sz w:val="24"/>
        </w:rPr>
        <w:t>Stallings, W. (2017). Cryptography and network security: Principles and practice (7th ed.). Pearson Education.</w:t>
      </w:r>
    </w:p>
    <w:p>
      <w:pPr>
        <w:spacing w:line="360" w:lineRule="auto" w:after="80" w:before="0"/>
        <w:ind w:hanging="720" w:left="720"/>
        <w:jc w:val="both"/>
      </w:pPr>
      <w:r>
        <w:rPr>
          <w:rFonts w:ascii="Times New Roman" w:hAnsi="Times New Roman"/>
          <w:sz w:val="24"/>
        </w:rPr>
        <w:t>Venkatesh, V., Morris, M. G., Davis, G. B., &amp; Davis, F. D. (2003). User acceptance of information technology: Toward a unified view. MIS Quarterly, 27(3), 425–478. https://doi.org/10.2307/30036540</w:t>
      </w:r>
    </w:p>
    <w:p>
      <w:pPr>
        <w:spacing w:line="360" w:lineRule="auto" w:after="80" w:before="0"/>
        <w:ind w:hanging="720" w:left="720"/>
        <w:jc w:val="both"/>
      </w:pPr>
      <w:r>
        <w:rPr>
          <w:rFonts w:ascii="Times New Roman" w:hAnsi="Times New Roman"/>
          <w:sz w:val="24"/>
        </w:rPr>
        <w:t>Walpole, R. E., Myers, R. H., Myers, S. L., &amp; Ye, K. (2012). Probability and statistics for engineers and scientists (9th ed.). Prentice Hall.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