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標楷體" w:cs="標楷體" w:eastAsia="標楷體" w:hAnsi="標楷體"/>
          <w:b/>
          <w:bCs/>
          <w:color w:val="1A3A5C"/>
          <w:sz w:val="44"/>
          <w:szCs w:val="44"/>
        </w:rPr>
        <w:t xml:space="preserve">台鹼安順廠戴奧辛污染案</w:t>
      </w:r>
    </w:p>
    <w:p>
      <w:pPr>
        <w:spacing w:after="0" w:before="140"/>
        <w:jc w:val="center"/>
      </w:pPr>
      <w:r>
        <w:rPr>
          <w:rFonts w:ascii="標楷體" w:cs="標楷體" w:eastAsia="標楷體" w:hAnsi="標楷體"/>
          <w:color w:val="2B5C8A"/>
          <w:sz w:val="32"/>
          <w:szCs w:val="32"/>
        </w:rPr>
        <w:t xml:space="preserve">政府資訊公開訴願事件　三書對照分析</w:t>
      </w:r>
    </w:p>
    <w:p>
      <w:pPr>
        <w:spacing w:after="0" w:before="400"/>
        <w:jc w:val="center"/>
      </w:pPr>
      <w:r>
        <w:rPr>
          <w:rFonts w:ascii="標楷體" w:cs="標楷體" w:eastAsia="標楷體" w:hAnsi="標楷體"/>
          <w:sz w:val="24"/>
          <w:szCs w:val="24"/>
        </w:rPr>
        <w:t xml:space="preserve">訴願書主張　→　機關答辯　→　訴願會論斷</w:t>
      </w:r>
    </w:p>
    <w:p>
      <w:pPr>
        <w:spacing w:after="0" w:before="900"/>
        <w:jc w:val="center"/>
      </w:pPr>
      <w:r>
        <w:rPr>
          <w:rFonts w:ascii="標楷體" w:cs="標楷體" w:eastAsia="標楷體" w:hAnsi="標楷體"/>
          <w:color w:val="555555"/>
          <w:sz w:val="21"/>
          <w:szCs w:val="21"/>
        </w:rPr>
        <w:t xml:space="preserve">訴願人　林吉進（台鹼安順廠戴奧辛污染自救會理事長）</w:t>
      </w:r>
    </w:p>
    <w:p>
      <w:pPr>
        <w:spacing w:after="0"/>
        <w:jc w:val="center"/>
      </w:pPr>
      <w:r>
        <w:rPr>
          <w:rFonts w:ascii="標楷體" w:cs="標楷體" w:eastAsia="標楷體" w:hAnsi="標楷體"/>
          <w:color w:val="555555"/>
          <w:sz w:val="21"/>
          <w:szCs w:val="21"/>
        </w:rPr>
        <w:t xml:space="preserve">原處分機關　臺南市衛生局　｜　受理訴願機關　臺南市政府</w:t>
      </w:r>
    </w:p>
    <w:p>
      <w:pPr>
        <w:spacing w:after="0" w:before="500"/>
        <w:jc w:val="center"/>
      </w:pPr>
      <w:r>
        <w:rPr>
          <w:rFonts w:ascii="標楷體" w:cs="標楷體" w:eastAsia="標楷體" w:hAnsi="標楷體"/>
          <w:color w:val="888888"/>
          <w:sz w:val="19"/>
          <w:szCs w:val="19"/>
        </w:rPr>
        <w:t xml:space="preserve">資料來源：Scribd 公開上傳之三份文書掃描檔（上傳者 transparency111）</w:t>
      </w:r>
    </w:p>
    <w:p>
      <w:r>
        <w:br w:type="page"/>
      </w:r>
    </w:p>
    <w:p>
      <w:pPr>
        <w:pStyle w:val="Heading1"/>
        <w:spacing w:after="180" w:before="340"/>
      </w:pPr>
      <w:r>
        <w:rPr>
          <w:rFonts w:ascii="標楷體" w:cs="標楷體" w:eastAsia="標楷體" w:hAnsi="標楷體"/>
          <w:b/>
          <w:bCs/>
          <w:color w:val="1A3A5C"/>
          <w:sz w:val="30"/>
          <w:szCs w:val="30"/>
        </w:rPr>
        <w:t xml:space="preserve">壹、案件基本資料與資料來源說明</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200"/>
        <w:gridCol w:w="12238"/>
      </w:tblGrid>
      <w:tr>
        <w:trPr>
          <w:tblHeader/>
        </w:trPr>
        <w:tc>
          <w:tcPr>
            <w:tcW w:type="dxa" w:w="22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項目</w:t>
            </w:r>
          </w:p>
        </w:tc>
        <w:tc>
          <w:tcPr>
            <w:tcW w:type="dxa" w:w="12238"/>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內容</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案　　由</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政府資訊公開事件（申請提供戴奧辛健康調查研究報告全文遭部分拒絕）</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 願 人</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林吉進（台鹼安順廠戴奧辛污染自救會理事長）</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原處分機關</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臺南市衛生局</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原 處 分</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96年8月22日南市衛保字第0960019955號函（僅提供部分資料）</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受理訴願機關</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臺南市政府（訴願審議委員會）</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決 定 書</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96年12月12日南市法濟字第09609511780號，案號96年訴字第75號</w:t>
            </w:r>
          </w:p>
        </w:tc>
      </w:tr>
      <w:tr>
        <w:trPr>
          <w:tblHeader w:val="false"/>
        </w:trPr>
        <w:tc>
          <w:tcPr>
            <w:tcW w:type="dxa" w:w="2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決定結果</w:t>
            </w:r>
          </w:p>
        </w:tc>
        <w:tc>
          <w:tcPr>
            <w:tcW w:type="dxa" w:w="12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原處分撤銷，由原處分機關於文到30日內另為適法之處分（訴願法第81條）</w:t>
            </w:r>
          </w:p>
        </w:tc>
      </w:tr>
    </w:tbl>
    <boldFirstCol>true</boldFirstCol>
    <w:p>
      <w:pPr>
        <w:spacing w:after="120" w:line="320"/>
        <w:jc w:val="both"/>
      </w:pPr>
      <w:r>
        <w:rPr>
          <w:rFonts w:ascii="標楷體" w:cs="標楷體" w:eastAsia="標楷體" w:hAnsi="標楷體"/>
          <w:b w:val="false"/>
          <w:bCs w:val="false"/>
          <w:sz w:val="21"/>
          <w:szCs w:val="21"/>
        </w:rPr>
        <w:t xml:space="preserve"/>
      </w:r>
    </w:p>
    <w:p>
      <w:pPr>
        <w:shd w:fill="FBF0E4" w:val="clear"/>
        <w:spacing w:after="140" w:line="300"/>
        <w:ind w:left="288"/>
      </w:pPr>
      <w:r>
        <w:rPr>
          <w:rFonts w:ascii="標楷體" w:cs="標楷體" w:eastAsia="標楷體" w:hAnsi="標楷體"/>
          <w:color w:val="7A4A12"/>
          <w:sz w:val="20"/>
          <w:szCs w:val="20"/>
        </w:rPr>
        <w:t xml:space="preserve">資料來源的重要但書：本分析所用的三份文書，「訴願書」與「訴願決定書」確為同一案（原處分文號 0960019955 一致）；但那份「衛生局之訴願答辯書」受文者為訴願人王額正，發文字號南市衛保字第0960020744號、96年9月6日，是同一批自救會成員另一件平行訴願的答辯書。兩案爭點、原處分理由與答辯論述幾乎相同，仍具高度對照價值，但引用時務必註明並非同一案卷。</w:t>
      </w:r>
    </w:p>
    <w:p>
      <w:pPr>
        <w:pStyle w:val="Heading2"/>
        <w:spacing w:after="130" w:before="260"/>
      </w:pPr>
      <w:r>
        <w:rPr>
          <w:rFonts w:ascii="標楷體" w:cs="標楷體" w:eastAsia="標楷體" w:hAnsi="標楷體"/>
          <w:b/>
          <w:bCs/>
          <w:color w:val="2B5C8A"/>
          <w:sz w:val="25"/>
          <w:szCs w:val="25"/>
        </w:rPr>
        <w:t xml:space="preserve">事件背景</w:t>
      </w:r>
    </w:p>
    <w:p>
      <w:pPr>
        <w:spacing w:after="60" w:line="320"/>
        <w:ind w:left="360" w:hanging="259"/>
        <w:jc w:val="both"/>
      </w:pPr>
      <w:r>
        <w:rPr>
          <w:rFonts w:ascii="標楷體" w:cs="標楷體" w:eastAsia="標楷體" w:hAnsi="標楷體"/>
          <w:b w:val="false"/>
          <w:bCs w:val="false"/>
          <w:sz w:val="21"/>
          <w:szCs w:val="21"/>
        </w:rPr>
        <w:t xml:space="preserve">‧ 中石化舊台鹼安順廠戴奧辛污染案。臺南市安南區顯宮、鹿耳、四草一帶居民血液檢出戴奧辛。</w:t>
      </w:r>
    </w:p>
    <w:p>
      <w:pPr>
        <w:spacing w:after="60" w:line="320"/>
        <w:ind w:left="360" w:hanging="259"/>
        <w:jc w:val="both"/>
      </w:pPr>
      <w:r>
        <w:rPr>
          <w:rFonts w:ascii="標楷體" w:cs="標楷體" w:eastAsia="標楷體" w:hAnsi="標楷體"/>
          <w:b w:val="false"/>
          <w:bCs w:val="false"/>
          <w:sz w:val="21"/>
          <w:szCs w:val="21"/>
        </w:rPr>
        <w:t xml:space="preserve">‧ 臺南市政府編列預算、公開招標，由國立成功大學環境微量毒物中心承作「中石化舊臺鹼安順廠污染區居民血液中戴奧辛暴露評估及健康影響調查計畫」，分5年執行。</w:t>
      </w:r>
    </w:p>
    <w:p>
      <w:pPr>
        <w:spacing w:after="60" w:line="320"/>
        <w:ind w:left="360" w:hanging="259"/>
        <w:jc w:val="both"/>
      </w:pPr>
      <w:r>
        <w:rPr>
          <w:rFonts w:ascii="標楷體" w:cs="標楷體" w:eastAsia="標楷體" w:hAnsi="標楷體"/>
          <w:b w:val="false"/>
          <w:bCs w:val="false"/>
          <w:sz w:val="21"/>
          <w:szCs w:val="21"/>
        </w:rPr>
        <w:t xml:space="preserve">‧ 該研究成果是市政府訂定5年13億元補償費發放標準、擬定居民健康照護計畫的依據。</w:t>
      </w:r>
    </w:p>
    <w:p>
      <w:pPr>
        <w:spacing w:after="60" w:line="320"/>
        <w:ind w:left="360" w:hanging="259"/>
        <w:jc w:val="both"/>
      </w:pPr>
      <w:r>
        <w:rPr>
          <w:rFonts w:ascii="標楷體" w:cs="標楷體" w:eastAsia="標楷體" w:hAnsi="標楷體"/>
          <w:b w:val="false"/>
          <w:bCs w:val="false"/>
          <w:sz w:val="21"/>
          <w:szCs w:val="21"/>
        </w:rPr>
        <w:t xml:space="preserve">‧ 自救會為監督補償與健康照護政策、向政府機關提出建言，需要完整的研究報告作為基礎。</w:t>
      </w:r>
    </w:p>
    <w:p>
      <w:pPr>
        <w:pStyle w:val="Heading2"/>
        <w:spacing w:after="130" w:before="260"/>
      </w:pPr>
      <w:r>
        <w:rPr>
          <w:rFonts w:ascii="標楷體" w:cs="標楷體" w:eastAsia="標楷體" w:hAnsi="標楷體"/>
          <w:b/>
          <w:bCs/>
          <w:color w:val="2B5C8A"/>
          <w:sz w:val="25"/>
          <w:szCs w:val="25"/>
        </w:rPr>
        <w:t xml:space="preserve">時序</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800"/>
        <w:gridCol w:w="12638"/>
      </w:tblGrid>
      <w:tr>
        <w:trPr>
          <w:tblHeader/>
        </w:trPr>
        <w:tc>
          <w:tcPr>
            <w:tcW w:type="dxa" w:w="18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日期</w:t>
            </w:r>
          </w:p>
        </w:tc>
        <w:tc>
          <w:tcPr>
            <w:tcW w:type="dxa" w:w="12638"/>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事件</w:t>
            </w:r>
          </w:p>
        </w:tc>
      </w:tr>
      <w:tr>
        <w:trPr>
          <w:tblHeader w:val="false"/>
        </w:trPr>
        <w:tc>
          <w:tcPr>
            <w:tcW w:type="dxa" w:w="18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96.4.16</w:t>
            </w:r>
          </w:p>
        </w:tc>
        <w:tc>
          <w:tcPr>
            <w:tcW w:type="dxa" w:w="126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「96年度中石化安順廠土壤污染專案小組第一次會議」，自救會成員向市長許添財請求公開相關資料，市長當場允諾「只要不涉及個人隱私，均可公開」</w:t>
            </w:r>
          </w:p>
        </w:tc>
      </w:tr>
      <w:tr>
        <w:trPr>
          <w:tblHeader w:val="false"/>
        </w:trPr>
        <w:tc>
          <w:tcPr>
            <w:tcW w:type="dxa" w:w="18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96.7.7</w:t>
            </w:r>
          </w:p>
        </w:tc>
        <w:tc>
          <w:tcPr>
            <w:tcW w:type="dxa" w:w="126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衛生局於鹿耳門天后宮公館舉行「居民戴奧辛檢測結果公開說明會」，提供簡報及書面報告（訴願人稱當場取得資料37頁）</w:t>
            </w:r>
          </w:p>
        </w:tc>
      </w:tr>
      <w:tr>
        <w:trPr>
          <w:tblHeader w:val="false"/>
        </w:trPr>
        <w:tc>
          <w:tcPr>
            <w:tcW w:type="dxa" w:w="18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96.8.21</w:t>
            </w:r>
          </w:p>
        </w:tc>
        <w:tc>
          <w:tcPr>
            <w:tcW w:type="dxa" w:w="126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訴願人書具申請書，依政府資訊公開法請求提供該計畫96年度期中及期末報告</w:t>
            </w:r>
          </w:p>
        </w:tc>
      </w:tr>
      <w:tr>
        <w:trPr>
          <w:tblHeader w:val="false"/>
        </w:trPr>
        <w:tc>
          <w:tcPr>
            <w:tcW w:type="dxa" w:w="18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96.8.22</w:t>
            </w:r>
          </w:p>
        </w:tc>
        <w:tc>
          <w:tcPr>
            <w:tcW w:type="dxa" w:w="126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衛生局函復（南市衛保字第0960019955號），僅提供部分資料（訴願人稱僅6頁，且統計資料全數刪除）</w:t>
            </w:r>
          </w:p>
        </w:tc>
      </w:tr>
      <w:tr>
        <w:trPr>
          <w:tblHeader w:val="false"/>
        </w:trPr>
        <w:tc>
          <w:tcPr>
            <w:tcW w:type="dxa" w:w="18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96.8.27</w:t>
            </w:r>
          </w:p>
        </w:tc>
        <w:tc>
          <w:tcPr>
            <w:tcW w:type="dxa" w:w="126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訴願人收受處分書</w:t>
            </w:r>
          </w:p>
        </w:tc>
      </w:tr>
      <w:tr>
        <w:trPr>
          <w:tblHeader w:val="false"/>
        </w:trPr>
        <w:tc>
          <w:tcPr>
            <w:tcW w:type="dxa" w:w="18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96.8.30</w:t>
            </w:r>
          </w:p>
        </w:tc>
        <w:tc>
          <w:tcPr>
            <w:tcW w:type="dxa" w:w="126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衛生局保健課長於一場會議中對外說明（訴願書引為佐證）</w:t>
            </w:r>
          </w:p>
        </w:tc>
      </w:tr>
      <w:tr>
        <w:trPr>
          <w:tblHeader w:val="false"/>
        </w:trPr>
        <w:tc>
          <w:tcPr>
            <w:tcW w:type="dxa" w:w="18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96.9.17</w:t>
            </w:r>
          </w:p>
        </w:tc>
        <w:tc>
          <w:tcPr>
            <w:tcW w:type="dxa" w:w="126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訴願人具狀提起訴願（距收受處分21日，在30日不變期間內）</w:t>
            </w:r>
          </w:p>
        </w:tc>
      </w:tr>
      <w:tr>
        <w:trPr>
          <w:tblHeader w:val="false"/>
        </w:trPr>
        <w:tc>
          <w:tcPr>
            <w:tcW w:type="dxa" w:w="18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96.11.23</w:t>
            </w:r>
          </w:p>
        </w:tc>
        <w:tc>
          <w:tcPr>
            <w:tcW w:type="dxa" w:w="126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臺南市政府訴願審議委員會審議完竣</w:t>
            </w:r>
          </w:p>
        </w:tc>
      </w:tr>
      <w:tr>
        <w:trPr>
          <w:tblHeader w:val="false"/>
        </w:trPr>
        <w:tc>
          <w:tcPr>
            <w:tcW w:type="dxa" w:w="18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96.12.12</w:t>
            </w:r>
          </w:p>
        </w:tc>
        <w:tc>
          <w:tcPr>
            <w:tcW w:type="dxa" w:w="126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臺南市政府作成訴願決定：原處分撤銷</w:t>
            </w:r>
          </w:p>
        </w:tc>
      </w:tr>
    </w:tbl>
    <w:p>
      <w:r>
        <w:br w:type="page"/>
      </w:r>
    </w:p>
    <w:p>
      <w:pPr>
        <w:pStyle w:val="Heading1"/>
        <w:spacing w:after="180" w:before="340"/>
      </w:pPr>
      <w:r>
        <w:rPr>
          <w:rFonts w:ascii="標楷體" w:cs="標楷體" w:eastAsia="標楷體" w:hAnsi="標楷體"/>
          <w:b/>
          <w:bCs/>
          <w:color w:val="1A3A5C"/>
          <w:sz w:val="30"/>
          <w:szCs w:val="30"/>
        </w:rPr>
        <w:t xml:space="preserve">貳、逐項爭點三欄對照</w:t>
      </w:r>
    </w:p>
    <w:p>
      <w:pPr>
        <w:spacing w:after="120" w:line="320"/>
        <w:jc w:val="both"/>
      </w:pPr>
      <w:r>
        <w:rPr>
          <w:rFonts w:ascii="標楷體" w:cs="標楷體" w:eastAsia="標楷體" w:hAnsi="標楷體"/>
          <w:b w:val="false"/>
          <w:bCs w:val="false"/>
          <w:sz w:val="21"/>
          <w:szCs w:val="21"/>
        </w:rPr>
        <w:t xml:space="preserve">左欄為訴願人在訴願書中提出的攻擊方法，中欄為原處分機關答辯書的回應，右欄為訴願審議委員會的論斷。空白處代表該方未就此爭點表示意見——那些空白正是勝負的關鍵。</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4100"/>
        <w:gridCol w:w="4238"/>
      </w:tblGrid>
      <w:tr>
        <w:trPr>
          <w:tblHeader/>
        </w:trPr>
        <w:tc>
          <w:tcPr>
            <w:tcW w:type="dxa" w:w="19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爭　點</w:t>
            </w:r>
          </w:p>
        </w:tc>
        <w:tc>
          <w:tcPr>
            <w:tcW w:type="dxa" w:w="42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訴願人主張（訴願書）</w:t>
            </w:r>
          </w:p>
        </w:tc>
        <w:tc>
          <w:tcPr>
            <w:tcW w:type="dxa" w:w="41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原處分機關答辯（答辯書）</w:t>
            </w:r>
          </w:p>
        </w:tc>
        <w:tc>
          <w:tcPr>
            <w:tcW w:type="dxa" w:w="4238"/>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訴願會論斷（決定書）</w:t>
            </w:r>
          </w:p>
        </w:tc>
      </w:tr>
      <w:tr>
        <w:trPr>
          <w:tblHeader w:val="false"/>
        </w:trPr>
        <w:tc>
          <w:tcPr>
            <w:tcW w:type="dxa" w:w="19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資訊公開的原則</w:t>
            </w:r>
          </w:p>
        </w:tc>
        <w:tc>
          <w:tcPr>
            <w:tcW w:type="dxa" w:w="4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政府資訊公開法第7條第1項第5款明定研究報告應主動公開；除有第18條各款事由外，機關即應主動公開，更何況人民已依法提出請求。</w:t>
            </w:r>
          </w:p>
          <w:p>
            <w:pPr>
              <w:spacing w:after="40" w:line="270"/>
              <w:jc w:val="left"/>
            </w:pPr>
            <w:r>
              <w:rPr>
                <w:rFonts w:ascii="標楷體" w:cs="標楷體" w:eastAsia="標楷體" w:hAnsi="標楷體"/>
                <w:b w:val="false"/>
                <w:bCs w:val="false"/>
                <w:sz w:val="18"/>
                <w:szCs w:val="18"/>
              </w:rPr>
              <w:t xml:space="preserve">第18條第2項另定：資訊含限制公開事項者，應僅就其他部分公開或提供之——即應遮蔽後給其餘部分。</w:t>
            </w:r>
          </w:p>
        </w:tc>
        <w:tc>
          <w:tcPr>
            <w:tcW w:type="dxa" w:w="41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（未直接回應主動公開義務，僅稱已於96.7.7說明會提供可公開內容，已符合第7條第1項第5款）</w:t>
            </w:r>
          </w:p>
        </w:tc>
        <w:tc>
          <w:tcPr>
            <w:tcW w:type="dxa" w:w="4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採訴願人見解。研究報告指政府機關編列預算委託專家學者進行之報告（第7條第2項）；如無第18條第1項各款事由，機關應主動公開或應請求提供。</w:t>
            </w:r>
          </w:p>
        </w:tc>
      </w:tr>
      <w:tr>
        <w:trPr>
          <w:tblHeader w:val="false"/>
        </w:trPr>
        <w:tc>
          <w:tcPr>
            <w:tcW w:type="dxa" w:w="19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第18條第1項第1款
國家機密</w:t>
            </w:r>
          </w:p>
        </w:tc>
        <w:tc>
          <w:tcPr>
            <w:tcW w:type="dxa" w:w="42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（訴願書未特別著墨）</w:t>
            </w:r>
          </w:p>
        </w:tc>
        <w:tc>
          <w:tcPr>
            <w:tcW w:type="dxa" w:w="41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（未主張）</w:t>
            </w:r>
          </w:p>
        </w:tc>
        <w:tc>
          <w:tcPr>
            <w:tcW w:type="dxa" w:w="42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本研究報告並非國家機密；機關將其列為密件，並無法律或法規命令之依據，故無第1款事由。</w:t>
            </w:r>
          </w:p>
        </w:tc>
      </w:tr>
      <w:tr>
        <w:trPr>
          <w:tblHeader w:val="false"/>
        </w:trPr>
        <w:tc>
          <w:tcPr>
            <w:tcW w:type="dxa" w:w="19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第18條第1項第2款
妨礙偵查追訴</w:t>
            </w:r>
          </w:p>
        </w:tc>
        <w:tc>
          <w:tcPr>
            <w:tcW w:type="dxa" w:w="4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（未主張）</w:t>
            </w:r>
          </w:p>
        </w:tc>
        <w:tc>
          <w:tcPr>
            <w:tcW w:type="dxa" w:w="41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（未主張）</w:t>
            </w:r>
          </w:p>
        </w:tc>
        <w:tc>
          <w:tcPr>
            <w:tcW w:type="dxa" w:w="4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申請用途為自救會研究受污染居民請求完整健康照護及醫療照顧優先順序之基礎，與犯罪之偵查、追訴、執行或裁判並無任何關聯，無第2款事由。</w:t>
            </w:r>
          </w:p>
        </w:tc>
      </w:tr>
      <w:tr>
        <w:trPr>
          <w:tblHeader w:val="false"/>
        </w:trPr>
        <w:tc>
          <w:tcPr>
            <w:tcW w:type="dxa" w:w="19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第18條第1項第3款
內部擬稿或準備作業</w:t>
            </w:r>
          </w:p>
        </w:tc>
        <w:tc>
          <w:tcPr>
            <w:tcW w:type="dxa" w:w="42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本研究計畫並非第3款所稱資訊。該款所指為「政府機關作成意思決定前，內部單位之擬稿或其他準備作業」；本案為研究計畫，係機關編列預算委託專家學者進行之報告，二者定義顯不相同。</w:t>
            </w:r>
          </w:p>
          <w:p>
            <w:pPr>
              <w:spacing w:after="40" w:line="270"/>
              <w:jc w:val="left"/>
            </w:pPr>
            <w:r>
              <w:rPr>
                <w:rFonts w:ascii="標楷體" w:cs="標楷體" w:eastAsia="標楷體" w:hAnsi="標楷體"/>
                <w:b w:val="false"/>
                <w:bCs w:val="false"/>
                <w:sz w:val="18"/>
                <w:szCs w:val="18"/>
              </w:rPr>
              <w:t xml:space="preserve">若將受委託執行之研究計畫都當成「內部單位擬稿」，則與政府機關業務現狀不符，更形同容許「專家或學術壟斷」，使其豁免於民主法治之拘束。</w:t>
            </w:r>
          </w:p>
          <w:p>
            <w:pPr>
              <w:spacing w:after="40" w:line="270"/>
              <w:jc w:val="left"/>
            </w:pPr>
            <w:r>
              <w:rPr>
                <w:rFonts w:ascii="標楷體" w:cs="標楷體" w:eastAsia="標楷體" w:hAnsi="標楷體"/>
                <w:b w:val="false"/>
                <w:bCs w:val="false"/>
                <w:sz w:val="18"/>
                <w:szCs w:val="18"/>
              </w:rPr>
              <w:t xml:space="preserve">立法者有意將該款認定加以限縮，以免政府「資訊壟斷」。</w:t>
            </w:r>
          </w:p>
        </w:tc>
        <w:tc>
          <w:tcPr>
            <w:tcW w:type="dxa" w:w="41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計畫分5年執行，目前僅完成第一階段（5分之1樣本）。如公開提供單年度工作報告內容，恐影響日後整體計畫評估之完整性，對於公益有嚴重危害之虞，爰依第18條第1項第3、5、7款規定，審慎斟酌後僅提供對公益有必要及得公開之部分資料。</w:t>
            </w:r>
          </w:p>
        </w:tc>
        <w:tc>
          <w:tcPr>
            <w:tcW w:type="dxa" w:w="42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本府已作成發放補償費予因台鹼安順廠戴奧辛污染受損害當地居民之決定，是本研究報告並非政府機關作成意思決定前內部單位之擬稿或其他準備作業，無第3款事由。</w:t>
            </w:r>
          </w:p>
        </w:tc>
      </w:tr>
      <w:tr>
        <w:trPr>
          <w:tblHeader w:val="false"/>
        </w:trPr>
        <w:tc>
          <w:tcPr>
            <w:tcW w:type="dxa" w:w="19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第18條第1項第5款
考試檢定鑑定資料</w:t>
            </w:r>
          </w:p>
        </w:tc>
        <w:tc>
          <w:tcPr>
            <w:tcW w:type="dxa" w:w="4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5款所指乃「有關專門知識、技能或資格所為之考試、檢定或鑑定等有關資料」，無論從本法立法過程、學說文獻或說明觀之，皆指涉本款所稱之資訊係「與考試相關之資訊或資料」（引湯德宗、王仁越、施惠芬等學說文獻）。</w:t>
            </w:r>
          </w:p>
          <w:p>
            <w:pPr>
              <w:spacing w:after="40" w:line="270"/>
              <w:jc w:val="left"/>
            </w:pPr>
            <w:r>
              <w:rPr>
                <w:rFonts w:ascii="標楷體" w:cs="標楷體" w:eastAsia="標楷體" w:hAnsi="標楷體"/>
                <w:b w:val="false"/>
                <w:bCs w:val="false"/>
                <w:sz w:val="18"/>
                <w:szCs w:val="18"/>
              </w:rPr>
              <w:t xml:space="preserve">原處分機關將研究計畫逕解釋為第5款，其理論依據何在？若無法提出具體說明，則恐僅是主觀恣意解釋法條，其目的僅謂拒絕人民請求。</w:t>
            </w:r>
          </w:p>
        </w:tc>
        <w:tc>
          <w:tcPr>
            <w:tcW w:type="dxa" w:w="41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（未針對第5款作實質論述，僅於結論援引該款請求駁回）</w:t>
            </w:r>
          </w:p>
        </w:tc>
        <w:tc>
          <w:tcPr>
            <w:tcW w:type="dxa" w:w="4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本研究報告係調查損害相關之報告；至於中石化舊臺鹼安順廠污染行為與當地居民所受損害間有無相當因果關係（即疫學相當因果關係），並非本研究報告探究之範疇，故縱主動公開或應請求提供，難認足以影響求償費發放基準執行之實質公正性。原處分機關依第5款駁回請求，難謂有據。</w:t>
            </w:r>
          </w:p>
        </w:tc>
      </w:tr>
      <w:tr>
        <w:trPr>
          <w:tblHeader w:val="false"/>
        </w:trPr>
        <w:tc>
          <w:tcPr>
            <w:tcW w:type="dxa" w:w="19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第18條第1項第7款
營業秘密</w:t>
            </w:r>
          </w:p>
        </w:tc>
        <w:tc>
          <w:tcPr>
            <w:tcW w:type="dxa" w:w="42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第7款為「個人、法人或團體營業上秘密或經營事業有關之資訊，其公開或提供有侵害該個人、法人或團體之權利、競爭地位或其他正當利益者」，該條乃參考美國法中之 trade secret 概念，與本案研究報告無涉。</w:t>
            </w:r>
          </w:p>
        </w:tc>
        <w:tc>
          <w:tcPr>
            <w:tcW w:type="dxa" w:w="41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依著作權法第5條第1項所訂各款著作內容例示（一）語文著作，撰寫本計畫主持人享有語文著作權；及依電腦處理個人資料保護法第3條第1項之規定，仍不宜提供完整之報告。</w:t>
            </w:r>
          </w:p>
        </w:tc>
        <w:tc>
          <w:tcPr>
            <w:tcW w:type="dxa" w:w="42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本研究報告非營業上秘密或經營事業有關之資訊，與文化資產保存與管理並無相關，更非公營事業機構經營之有關資料，或政府機關為實施監督、管理、檢（調）查、取締等業務而取得或製作之相關資料，故無第4款、第7款、第8款及第9款所定事由。</w:t>
            </w:r>
          </w:p>
        </w:tc>
      </w:tr>
      <w:tr>
        <w:trPr>
          <w:tblHeader w:val="false"/>
        </w:trPr>
        <w:tc>
          <w:tcPr>
            <w:tcW w:type="dxa" w:w="19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第18條第1項第6款
個人隱私</w:t>
            </w:r>
          </w:p>
        </w:tc>
        <w:tc>
          <w:tcPr>
            <w:tcW w:type="dxa" w:w="4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依第18條第2項規定，仍可透過將個人姓名或足以辨識個人身分之內容以遮蔽或塗銷等方式處理後再提供。如此即可同時保障個人隱私與人民申請資訊之權利，使其能獲得確保。</w:t>
            </w:r>
          </w:p>
        </w:tc>
        <w:tc>
          <w:tcPr>
            <w:tcW w:type="dxa" w:w="41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報告含個人隱私健康資料，故96.7.7說明會提供之資料已含期末報告約3分之2內容（除個人隱私健康資料外）。</w:t>
            </w:r>
          </w:p>
        </w:tc>
        <w:tc>
          <w:tcPr>
            <w:tcW w:type="dxa" w:w="4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第6款所謂「對公益有必要」，應由主管機關就「公開個人資料所增進之公共利益」與「不公開個人資料所保護之隱私權益」比較衡量判斷。本研究報告中若確含個人電話、住址、身分證字號、出生年月日等資訊，機關固應限制提供或加以遮掩，惟其餘未涉隱私部分仍應提供予訴願人（第18條第2項、法務部95.7.19法律字第0950021839號函釋參照）。</w:t>
            </w:r>
          </w:p>
        </w:tc>
      </w:tr>
      <w:tr>
        <w:trPr>
          <w:tblHeader w:val="false"/>
        </w:trPr>
        <w:tc>
          <w:tcPr>
            <w:tcW w:type="dxa" w:w="19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裁量與程序</w:t>
            </w:r>
          </w:p>
        </w:tc>
        <w:tc>
          <w:tcPr>
            <w:tcW w:type="dxa" w:w="42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原處分機關未依循政府資訊公開法立法目的，亦未依個案情形行使裁量權：處分於申請之隔日即作成，是否有妥善行使裁量？</w:t>
            </w:r>
          </w:p>
          <w:p>
            <w:pPr>
              <w:spacing w:after="40" w:line="270"/>
              <w:jc w:val="left"/>
            </w:pPr>
            <w:r>
              <w:rPr>
                <w:rFonts w:ascii="標楷體" w:cs="標楷體" w:eastAsia="標楷體" w:hAnsi="標楷體"/>
                <w:b w:val="false"/>
                <w:bCs w:val="false"/>
                <w:sz w:val="18"/>
                <w:szCs w:val="18"/>
              </w:rPr>
              <w:t xml:space="preserve">訴願人於96.7.7當場取得之資訊尚有37頁，經請求提供進一步資料後，機關於8月20日提供之資料竟僅為當日所得之部分、僅6頁，且統計資料完全去除。依法提出申請後所獲資料反而更少。</w:t>
            </w:r>
          </w:p>
          <w:p>
            <w:pPr>
              <w:spacing w:after="40" w:line="270"/>
              <w:jc w:val="left"/>
            </w:pPr>
            <w:r>
              <w:rPr>
                <w:rFonts w:ascii="標楷體" w:cs="標楷體" w:eastAsia="標楷體" w:hAnsi="標楷體"/>
                <w:b w:val="false"/>
                <w:bCs w:val="false"/>
                <w:sz w:val="18"/>
                <w:szCs w:val="18"/>
              </w:rPr>
              <w:t xml:space="preserve">市長已於96.4.16會議當場允諾不涉個人隱私均可公開。</w:t>
            </w:r>
          </w:p>
        </w:tc>
        <w:tc>
          <w:tcPr>
            <w:tcW w:type="dxa" w:w="41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（完全未回應處分隔日作成、提供資料反而更少、市長允諾三項指摘）</w:t>
            </w:r>
          </w:p>
        </w:tc>
        <w:tc>
          <w:tcPr>
            <w:tcW w:type="dxa" w:w="42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原處分機關未予審究認明本研究報告內容有無涉及個人隱私資訊或屬其「職務上應秘密之資訊」等情，即遽行駁回訴願人提供資訊之請求，非無違誤。訴願人執此指摘，尚有理由。</w:t>
            </w:r>
          </w:p>
        </w:tc>
      </w:tr>
      <w:tr>
        <w:trPr>
          <w:tblHeader w:val="false"/>
        </w:trPr>
        <w:tc>
          <w:tcPr>
            <w:tcW w:type="dxa" w:w="19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訴願請求的性質</w:t>
            </w:r>
          </w:p>
        </w:tc>
        <w:tc>
          <w:tcPr>
            <w:tcW w:type="dxa" w:w="4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請求撤銷原處分，並依訴願人於政府資訊申請書及訴願書所請求之內容，另為合法與適當之處分。</w:t>
            </w:r>
          </w:p>
        </w:tc>
        <w:tc>
          <w:tcPr>
            <w:tcW w:type="dxa" w:w="41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本件訴願人之請求為「請求作成行政處分」，本局確已提供訴願人所需之資訊並函復，訴願人之訴願請求已達目的，並無再以訴願主張其權利之必要，請求訴願審議機關駁回之。</w:t>
            </w:r>
          </w:p>
        </w:tc>
        <w:tc>
          <w:tcPr>
            <w:tcW w:type="dxa" w:w="42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（未採。決定主文為撤銷原處分，命機關於文到30日內另為適法之處分）</w:t>
            </w:r>
          </w:p>
        </w:tc>
      </w:tr>
    </w:tbl>
    <w:p>
      <w:r>
        <w:br w:type="page"/>
      </w:r>
    </w:p>
    <w:p>
      <w:pPr>
        <w:pStyle w:val="Heading1"/>
        <w:spacing w:after="180" w:before="340"/>
      </w:pPr>
      <w:r>
        <w:rPr>
          <w:rFonts w:ascii="標楷體" w:cs="標楷體" w:eastAsia="標楷體" w:hAnsi="標楷體"/>
          <w:b/>
          <w:bCs/>
          <w:color w:val="1A3A5C"/>
          <w:sz w:val="30"/>
          <w:szCs w:val="30"/>
        </w:rPr>
        <w:t xml:space="preserve">參、原處分為什麼被撤銷——五個可複製的教訓</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338"/>
      </w:tblGrid>
      <w:tr>
        <w:trPr>
          <w:tblHeader/>
        </w:trPr>
        <w:tc>
          <w:tcPr>
            <w:tcW w:type="dxa" w:w="7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w:t>
            </w:r>
          </w:p>
        </w:tc>
        <w:tc>
          <w:tcPr>
            <w:tcW w:type="dxa" w:w="34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失誤</w:t>
            </w:r>
          </w:p>
        </w:tc>
        <w:tc>
          <w:tcPr>
            <w:tcW w:type="dxa" w:w="10338"/>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說明與實務對策</w:t>
            </w:r>
          </w:p>
        </w:tc>
      </w:tr>
      <w:tr>
        <w:trPr>
          <w:tblHeader w:val="false"/>
        </w:trPr>
        <w:tc>
          <w:tcPr>
            <w:tcW w:type="dxa" w:w="7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1</w:t>
            </w:r>
          </w:p>
        </w:tc>
        <w:tc>
          <w:tcPr>
            <w:tcW w:type="dxa" w:w="34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漏掉第18條第2項的「部分公開」義務</w:t>
            </w:r>
          </w:p>
        </w:tc>
        <w:tc>
          <w:tcPr>
            <w:tcW w:type="dxa" w:w="103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這是本案被撤銷的直接原因。訴願會並未否定報告中可能含有個人隱私，而是指摘機關「未予審究認明本研究報告內容有無涉及個人隱私」就整份駁回。只要資訊中有一部分不涉限制事由，機關就必須遮蔽後提供其餘部分，不能一概拒絕。對策：拒絕前先逐頁標註哪些欄位涉隱私，並在處分書與答辯書中具體記載審查過程。</w:t>
            </w:r>
          </w:p>
        </w:tc>
      </w:tr>
      <w:tr>
        <w:trPr>
          <w:tblHeader w:val="false"/>
        </w:trPr>
        <w:tc>
          <w:tcPr>
            <w:tcW w:type="dxa" w:w="7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2</w:t>
            </w:r>
          </w:p>
        </w:tc>
        <w:tc>
          <w:tcPr>
            <w:tcW w:type="dxa" w:w="34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散彈式援引多款，反而自曝未作具體審查</w:t>
            </w:r>
          </w:p>
        </w:tc>
        <w:tc>
          <w:tcPr>
            <w:tcW w:type="dxa" w:w="103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機關一口氣援引第3、5、7款，訴願會逐款檢驗，並連同未主張的第1、2、4、8、9款一併否定，無一成立。援引愈多款而無逐款論證，愈證明機關沒有針對個案審查。對策：只援引真正站得住的那一款，並就該款的構成要件逐一涵攝。</w:t>
            </w:r>
          </w:p>
        </w:tc>
      </w:tr>
      <w:tr>
        <w:trPr>
          <w:tblHeader w:val="false"/>
        </w:trPr>
        <w:tc>
          <w:tcPr>
            <w:tcW w:type="dxa" w:w="7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3</w:t>
            </w:r>
          </w:p>
        </w:tc>
        <w:tc>
          <w:tcPr>
            <w:tcW w:type="dxa" w:w="34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以抽象理由代替具體論證</w:t>
            </w:r>
          </w:p>
        </w:tc>
        <w:tc>
          <w:tcPr>
            <w:tcW w:type="dxa" w:w="103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恐影響日後整體計畫評估之完整性」「對於公益有嚴重危害之虞」在決定書中完全未被採納。抽象的危害預測不能取代構成要件的涵攝。對策：說明具體是哪一項資料、公開後會透過什麼機制、造成何種可量化的損害。</w:t>
            </w:r>
          </w:p>
        </w:tc>
      </w:tr>
      <w:tr>
        <w:trPr>
          <w:tblHeader w:val="false"/>
        </w:trPr>
        <w:tc>
          <w:tcPr>
            <w:tcW w:type="dxa" w:w="7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4</w:t>
            </w:r>
          </w:p>
        </w:tc>
        <w:tc>
          <w:tcPr>
            <w:tcW w:type="dxa" w:w="3400"/>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完全未回應訴願人的三項核心指摘</w:t>
            </w:r>
          </w:p>
        </w:tc>
        <w:tc>
          <w:tcPr>
            <w:tcW w:type="dxa" w:w="10338"/>
            <w:shd w:fill="F7F9FC" w:val="clear"/>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處分於申請隔日即作成（裁量怠惰）、依法申請後取得的資料反而比說明會現場少、市長曾當場允諾公開——答辯書對這三點隻字未提。漏答的主張在決定書中就成為「訴願人執此指摘，尚有理由」。對策：逐項列出訴願人的主張再逐項駁復，一項都不能跳過。</w:t>
            </w:r>
          </w:p>
        </w:tc>
      </w:tr>
      <w:tr>
        <w:trPr>
          <w:tblHeader w:val="false"/>
        </w:trPr>
        <w:tc>
          <w:tcPr>
            <w:tcW w:type="dxa" w:w="7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5</w:t>
            </w:r>
          </w:p>
        </w:tc>
        <w:tc>
          <w:tcPr>
            <w:tcW w:type="dxa" w:w="34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法條引用錯誤被對造抓住</w:t>
            </w:r>
          </w:p>
        </w:tc>
        <w:tc>
          <w:tcPr>
            <w:tcW w:type="dxa" w:w="103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處分書將「第18條第1項第3、5、7款」寫成「第3、5、7項」，而該條第1項僅有9款、全條僅2項。訴願人在訴願書中明白指出此一誤寫。答辯書結論亦出現「依資訊公開法第5條第1項第5款規定敬請駁回」之引用瑕疵。條號錯誤本身未必致命，但會被用來論證機關「主觀恣意解釋法條」。對策：處分書與答辯書的每一個條號都要對照法規原文複核。</w:t>
            </w:r>
          </w:p>
        </w:tc>
      </w:tr>
    </w:tbl>
    <w:p>
      <w:pPr>
        <w:pStyle w:val="Heading1"/>
        <w:spacing w:after="180" w:before="340"/>
      </w:pPr>
      <w:r>
        <w:rPr>
          <w:rFonts w:ascii="標楷體" w:cs="標楷體" w:eastAsia="標楷體" w:hAnsi="標楷體"/>
          <w:b/>
          <w:bCs/>
          <w:color w:val="1A3A5C"/>
          <w:sz w:val="30"/>
          <w:szCs w:val="30"/>
        </w:rPr>
        <w:t xml:space="preserve">肆、三份文書的寫法觀察</w:t>
      </w:r>
    </w:p>
    <w:p>
      <w:pPr>
        <w:pStyle w:val="Heading2"/>
        <w:spacing w:after="130" w:before="260"/>
      </w:pPr>
      <w:r>
        <w:rPr>
          <w:rFonts w:ascii="標楷體" w:cs="標楷體" w:eastAsia="標楷體" w:hAnsi="標楷體"/>
          <w:b/>
          <w:bCs/>
          <w:color w:val="2B5C8A"/>
          <w:sz w:val="25"/>
          <w:szCs w:val="25"/>
        </w:rPr>
        <w:t xml:space="preserve">一、訴願書（8頁）</w:t>
      </w:r>
    </w:p>
    <w:p>
      <w:pPr>
        <w:spacing w:after="60" w:line="320"/>
        <w:ind w:left="360" w:hanging="259"/>
        <w:jc w:val="both"/>
      </w:pPr>
      <w:r>
        <w:rPr>
          <w:rFonts w:ascii="標楷體" w:cs="標楷體" w:eastAsia="標楷體" w:hAnsi="標楷體"/>
          <w:b w:val="false"/>
          <w:bCs w:val="false"/>
          <w:sz w:val="21"/>
          <w:szCs w:val="21"/>
        </w:rPr>
        <w:t xml:space="preserve">‧ 結構：訴願請求 → 事實 → 理由（分點）→ 此致訴願審議委員會 → 簽名蓋章 → 日期。使用表格式抬頭，當事人欄、原處分機關欄、收受處分日期欄一應俱全。</w:t>
      </w:r>
    </w:p>
    <w:p>
      <w:pPr>
        <w:spacing w:after="60" w:line="320"/>
        <w:ind w:left="360" w:hanging="259"/>
        <w:jc w:val="both"/>
      </w:pPr>
      <w:r>
        <w:rPr>
          <w:rFonts w:ascii="標楷體" w:cs="標楷體" w:eastAsia="標楷體" w:hAnsi="標楷體"/>
          <w:b w:val="false"/>
          <w:bCs w:val="false"/>
          <w:sz w:val="21"/>
          <w:szCs w:val="21"/>
        </w:rPr>
        <w:t xml:space="preserve">‧ 最有效的一招是「把機關的法條逐款拆開反駁」：不是籠統說原處分違法，而是分成 (1) 非第3款之資訊、(2) 非第5款之資訊、(3) 非第7款之資訊三段，各段先引該款文義、再說明本案不該當。決定書的理由欄結構幾乎與此一致。</w:t>
      </w:r>
    </w:p>
    <w:p>
      <w:pPr>
        <w:spacing w:after="60" w:line="320"/>
        <w:ind w:left="360" w:hanging="259"/>
        <w:jc w:val="both"/>
      </w:pPr>
      <w:r>
        <w:rPr>
          <w:rFonts w:ascii="標楷體" w:cs="標楷體" w:eastAsia="標楷體" w:hAnsi="標楷體"/>
          <w:b w:val="false"/>
          <w:bCs w:val="false"/>
          <w:sz w:val="21"/>
          <w:szCs w:val="21"/>
        </w:rPr>
        <w:t xml:space="preserve">‧ 引用學說文獻（湯德宗、王仁越、施惠芬等）強化法條解釋，這在一般民眾自寫的訴願書中相當罕見，明顯有法律專業協助。</w:t>
      </w:r>
    </w:p>
    <w:p>
      <w:pPr>
        <w:spacing w:after="60" w:line="320"/>
        <w:ind w:left="360" w:hanging="259"/>
        <w:jc w:val="both"/>
      </w:pPr>
      <w:r>
        <w:rPr>
          <w:rFonts w:ascii="標楷體" w:cs="標楷體" w:eastAsia="標楷體" w:hAnsi="標楷體"/>
          <w:b w:val="false"/>
          <w:bCs w:val="false"/>
          <w:sz w:val="21"/>
          <w:szCs w:val="21"/>
        </w:rPr>
        <w:t xml:space="preserve">‧ 善用可查證的事實對比：「說明會當場拿到37頁，正式申請後只拿到6頁」這種具體數字，比任何形容詞都有殺傷力。</w:t>
      </w:r>
    </w:p>
    <w:p>
      <w:pPr>
        <w:spacing w:after="60" w:line="320"/>
        <w:ind w:left="360" w:hanging="259"/>
        <w:jc w:val="both"/>
      </w:pPr>
      <w:r>
        <w:rPr>
          <w:rFonts w:ascii="標楷體" w:cs="標楷體" w:eastAsia="標楷體" w:hAnsi="標楷體"/>
          <w:b w:val="false"/>
          <w:bCs w:val="false"/>
          <w:sz w:val="21"/>
          <w:szCs w:val="21"/>
        </w:rPr>
        <w:t xml:space="preserve">‧ 把首長的公開允諾寫進訴願書，逼機關必須回應——而機關沒有回應。</w:t>
      </w:r>
    </w:p>
    <w:p>
      <w:pPr>
        <w:pStyle w:val="Heading2"/>
        <w:spacing w:after="130" w:before="260"/>
      </w:pPr>
      <w:r>
        <w:rPr>
          <w:rFonts w:ascii="標楷體" w:cs="標楷體" w:eastAsia="標楷體" w:hAnsi="標楷體"/>
          <w:b/>
          <w:bCs/>
          <w:color w:val="2B5C8A"/>
          <w:sz w:val="25"/>
          <w:szCs w:val="25"/>
        </w:rPr>
        <w:t xml:space="preserve">二、訴願答辯書（4頁）</w:t>
      </w:r>
    </w:p>
    <w:p>
      <w:pPr>
        <w:spacing w:after="60" w:line="320"/>
        <w:ind w:left="360" w:hanging="259"/>
        <w:jc w:val="both"/>
      </w:pPr>
      <w:r>
        <w:rPr>
          <w:rFonts w:ascii="標楷體" w:cs="標楷體" w:eastAsia="標楷體" w:hAnsi="標楷體"/>
          <w:b w:val="false"/>
          <w:bCs w:val="false"/>
          <w:sz w:val="21"/>
          <w:szCs w:val="21"/>
        </w:rPr>
        <w:t xml:space="preserve">‧ 結構：機關函（受文者、發文字號、主旨、說明、正副本）＋ 答辯書本文。本文欄位為：答辯聲明 → 事實 → 答辯理由（分點）。</w:t>
      </w:r>
    </w:p>
    <w:p>
      <w:pPr>
        <w:spacing w:after="60" w:line="320"/>
        <w:ind w:left="360" w:hanging="259"/>
        <w:jc w:val="both"/>
      </w:pPr>
      <w:r>
        <w:rPr>
          <w:rFonts w:ascii="標楷體" w:cs="標楷體" w:eastAsia="標楷體" w:hAnsi="標楷體"/>
          <w:b w:val="false"/>
          <w:bCs w:val="false"/>
          <w:sz w:val="21"/>
          <w:szCs w:val="21"/>
        </w:rPr>
        <w:t xml:space="preserve">‧ 答辯聲明僅一行「訴願駁回」。事實欄僅三行，交代申請日期與機關函復日期，未記載送達日期與訴願提起日期——程序事項交代不完整。</w:t>
      </w:r>
    </w:p>
    <w:p>
      <w:pPr>
        <w:spacing w:after="60" w:line="320"/>
        <w:ind w:left="360" w:hanging="259"/>
        <w:jc w:val="both"/>
      </w:pPr>
      <w:r>
        <w:rPr>
          <w:rFonts w:ascii="標楷體" w:cs="標楷體" w:eastAsia="標楷體" w:hAnsi="標楷體"/>
          <w:b w:val="false"/>
          <w:bCs w:val="false"/>
          <w:sz w:val="21"/>
          <w:szCs w:val="21"/>
        </w:rPr>
        <w:t xml:space="preserve">‧ 答辯理由五點，其中真正針對法條構成要件的論述只有第一點與第三點，其餘為程序性主張。四頁的篇幅對上八頁的訴願書，在論證密度上明顯落於下風。</w:t>
      </w:r>
    </w:p>
    <w:p>
      <w:pPr>
        <w:spacing w:after="60" w:line="320"/>
        <w:ind w:left="360" w:hanging="259"/>
        <w:jc w:val="both"/>
      </w:pPr>
      <w:r>
        <w:rPr>
          <w:rFonts w:ascii="標楷體" w:cs="標楷體" w:eastAsia="標楷體" w:hAnsi="標楷體"/>
          <w:b w:val="false"/>
          <w:bCs w:val="false"/>
          <w:sz w:val="21"/>
          <w:szCs w:val="21"/>
        </w:rPr>
        <w:t xml:space="preserve">‧ 第四點主張「訴願人之訴願請求已達目的，並無再以訴願主張其權利之必要」——這是訴之利益的抗辯，但機關並未說明為何部分提供即等同已達目的，訴願會未予採納。</w:t>
      </w:r>
    </w:p>
    <w:p>
      <w:pPr>
        <w:pStyle w:val="Heading2"/>
        <w:spacing w:after="130" w:before="260"/>
      </w:pPr>
      <w:r>
        <w:rPr>
          <w:rFonts w:ascii="標楷體" w:cs="標楷體" w:eastAsia="標楷體" w:hAnsi="標楷體"/>
          <w:b/>
          <w:bCs/>
          <w:color w:val="2B5C8A"/>
          <w:sz w:val="25"/>
          <w:szCs w:val="25"/>
        </w:rPr>
        <w:t xml:space="preserve">三、訴願決定書（5頁）</w:t>
      </w:r>
    </w:p>
    <w:p>
      <w:pPr>
        <w:spacing w:after="60" w:line="320"/>
        <w:ind w:left="360" w:hanging="259"/>
        <w:jc w:val="both"/>
      </w:pPr>
      <w:r>
        <w:rPr>
          <w:rFonts w:ascii="標楷體" w:cs="標楷體" w:eastAsia="標楷體" w:hAnsi="標楷體"/>
          <w:b w:val="false"/>
          <w:bCs w:val="false"/>
          <w:sz w:val="21"/>
          <w:szCs w:val="21"/>
        </w:rPr>
        <w:t xml:space="preserve">‧ 結構：市府函（檢送決定書）＋ 決定書本文：抬頭與案號 → 訴願人 → 原處分機關 → 案由一句話 → 主文 → 事實 → 理由 → 綜上論結 → 訴願審議委員會委員署名 → 市長署名 → 日期。</w:t>
      </w:r>
    </w:p>
    <w:p>
      <w:pPr>
        <w:spacing w:after="60" w:line="320"/>
        <w:ind w:left="360" w:hanging="259"/>
        <w:jc w:val="both"/>
      </w:pPr>
      <w:r>
        <w:rPr>
          <w:rFonts w:ascii="標楷體" w:cs="標楷體" w:eastAsia="標楷體" w:hAnsi="標楷體"/>
          <w:b w:val="false"/>
          <w:bCs w:val="false"/>
          <w:sz w:val="21"/>
          <w:szCs w:val="21"/>
        </w:rPr>
        <w:t xml:space="preserve">‧ 事實欄只有一段，把申請、機關函復理由、訴願提起、檢卷答辯四件事寫完，全段不作評價。</w:t>
      </w:r>
    </w:p>
    <w:p>
      <w:pPr>
        <w:spacing w:after="60" w:line="320"/>
        <w:ind w:left="360" w:hanging="259"/>
        <w:jc w:val="both"/>
      </w:pPr>
      <w:r>
        <w:rPr>
          <w:rFonts w:ascii="標楷體" w:cs="標楷體" w:eastAsia="標楷體" w:hAnsi="標楷體"/>
          <w:b w:val="false"/>
          <w:bCs w:val="false"/>
          <w:sz w:val="21"/>
          <w:szCs w:val="21"/>
        </w:rPr>
        <w:t xml:space="preserve">‧ 理由欄採「大前提（法條與函釋）→ 卷查（機關已主動公開的事實）→ 然查（訴願人主張與機關答辯）→ 是以本件首應探究者（爭點提示）→ 逐款涵攝 → 末查（關鍵的第6款）→ 結論」。其中「是以，本件首應探究者⋯⋯」這一句把整份決定書的論證焦點鎖定在「是否符合第18條第1項各款得限制或禁止提供之規定」，是非常值得學習的寫法。</w:t>
      </w:r>
    </w:p>
    <w:p>
      <w:pPr>
        <w:spacing w:after="60" w:line="320"/>
        <w:ind w:left="360" w:hanging="259"/>
        <w:jc w:val="both"/>
      </w:pPr>
      <w:r>
        <w:rPr>
          <w:rFonts w:ascii="標楷體" w:cs="標楷體" w:eastAsia="標楷體" w:hAnsi="標楷體"/>
          <w:b w:val="false"/>
          <w:bCs w:val="false"/>
          <w:sz w:val="21"/>
          <w:szCs w:val="21"/>
        </w:rPr>
        <w:t xml:space="preserve">‧ 結論句型：「綜上論結，本件訴願為有理由，爰依訴願法第81條規定決定如主文。」</w:t>
      </w:r>
    </w:p>
    <w:p>
      <w:pPr>
        <w:spacing w:after="60" w:line="320"/>
        <w:ind w:left="360" w:hanging="259"/>
        <w:jc w:val="both"/>
      </w:pPr>
      <w:r>
        <w:rPr>
          <w:rFonts w:ascii="標楷體" w:cs="標楷體" w:eastAsia="標楷體" w:hAnsi="標楷體"/>
          <w:b w:val="false"/>
          <w:bCs w:val="false"/>
          <w:sz w:val="21"/>
          <w:szCs w:val="21"/>
        </w:rPr>
        <w:t xml:space="preserve">‧ 主文採「原處分撤銷，由原處分機關於文到30日內另為適法之處分」，而非逕行命令公開——保留機關的第一次判斷權，同時附上「參酌本決定書之意旨審慎認定」的拘束。</w:t>
      </w:r>
    </w:p>
    <w:p>
      <w:pPr>
        <w:pStyle w:val="Heading2"/>
        <w:spacing w:after="130" w:before="260"/>
      </w:pPr>
      <w:r>
        <w:rPr>
          <w:rFonts w:ascii="標楷體" w:cs="標楷體" w:eastAsia="標楷體" w:hAnsi="標楷體"/>
          <w:b/>
          <w:bCs/>
          <w:color w:val="2B5C8A"/>
          <w:sz w:val="25"/>
          <w:szCs w:val="25"/>
        </w:rPr>
        <w:t xml:space="preserve">四、對機關端的一句話總結</w:t>
      </w:r>
    </w:p>
    <w:p>
      <w:pPr>
        <w:shd w:fill="F2F6FA" w:val="clear"/>
        <w:spacing w:after="140" w:line="300"/>
        <w:ind w:left="288"/>
      </w:pPr>
      <w:r>
        <w:rPr>
          <w:rFonts w:ascii="標楷體" w:cs="標楷體" w:eastAsia="標楷體" w:hAnsi="標楷體"/>
          <w:color w:val="2A4A68"/>
          <w:sz w:val="20"/>
          <w:szCs w:val="20"/>
        </w:rPr>
        <w:t xml:space="preserve">本案機關並非輸在立場，而是輸在沒有留下審查的痕跡。若衛生局在處分前逐頁標註隱私欄位、在處分書中記載「經審查第○頁至第○頁含個人身分資料，爰依第18條第1項第6款遮蔽後提供，其餘全文提供」，同樣的結論就會站得住。行政程序法第96條要求的「記明理由」，實質上就是要求機關把審查過程外部化。</w:t>
      </w:r>
    </w:p>
    <w:p>
      <w:pPr>
        <w:pStyle w:val="Heading1"/>
        <w:spacing w:after="180" w:before="340"/>
      </w:pPr>
      <w:r>
        <w:rPr>
          <w:rFonts w:ascii="標楷體" w:cs="標楷體" w:eastAsia="標楷體" w:hAnsi="標楷體"/>
          <w:b/>
          <w:bCs/>
          <w:color w:val="1A3A5C"/>
          <w:sz w:val="30"/>
          <w:szCs w:val="30"/>
        </w:rPr>
        <w:t xml:space="preserve">伍、原始文件來源</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838"/>
      </w:tblGrid>
      <w:tr>
        <w:trPr>
          <w:tblHeader/>
        </w:trPr>
        <w:tc>
          <w:tcPr>
            <w:tcW w:type="dxa" w:w="24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文件</w:t>
            </w:r>
          </w:p>
        </w:tc>
        <w:tc>
          <w:tcPr>
            <w:tcW w:type="dxa" w:w="1200"/>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頁數</w:t>
            </w:r>
          </w:p>
        </w:tc>
        <w:tc>
          <w:tcPr>
            <w:tcW w:type="dxa" w:w="10838"/>
            <w:shd w:fill="DCE6F1" w:val="clear"/>
            <w:tcMar>
              <w:top w:type="dxa" w:w="70"/>
              <w:left w:type="dxa" w:w="90"/>
              <w:bottom w:type="dxa" w:w="70"/>
              <w:right w:type="dxa" w:w="90"/>
            </w:tcMar>
          </w:tcPr>
          <w:p>
            <w:pPr>
              <w:spacing w:after="40" w:line="270"/>
              <w:jc w:val="left"/>
            </w:pPr>
            <w:r>
              <w:rPr>
                <w:rFonts w:ascii="標楷體" w:cs="標楷體" w:eastAsia="標楷體" w:hAnsi="標楷體"/>
                <w:b/>
                <w:bCs/>
                <w:sz w:val="18"/>
                <w:szCs w:val="18"/>
              </w:rPr>
              <w:t xml:space="preserve">網址</w:t>
            </w:r>
          </w:p>
        </w:tc>
      </w:tr>
      <w:tr>
        <w:trPr>
          <w:tblHeader w:val="false"/>
        </w:trPr>
        <w:tc>
          <w:tcPr>
            <w:tcW w:type="dxa" w:w="24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訴願書（林吉進，原處分0960019955）</w:t>
            </w:r>
          </w:p>
        </w:tc>
        <w:tc>
          <w:tcPr>
            <w:tcW w:type="dxa" w:w="1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8頁</w:t>
            </w:r>
          </w:p>
        </w:tc>
        <w:tc>
          <w:tcPr>
            <w:tcW w:type="dxa" w:w="108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https://www.scribd.com/doc/13196508/</w:t>
            </w:r>
          </w:p>
        </w:tc>
      </w:tr>
      <w:tr>
        <w:trPr>
          <w:tblHeader w:val="false"/>
        </w:trPr>
        <w:tc>
          <w:tcPr>
            <w:tcW w:type="dxa" w:w="24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衛生局之訴願答辯書（王額正案，0960020744）</w:t>
            </w:r>
          </w:p>
        </w:tc>
        <w:tc>
          <w:tcPr>
            <w:tcW w:type="dxa" w:w="1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4頁</w:t>
            </w:r>
          </w:p>
        </w:tc>
        <w:tc>
          <w:tcPr>
            <w:tcW w:type="dxa" w:w="108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https://www.scribd.com/doc/13196543/</w:t>
            </w:r>
          </w:p>
        </w:tc>
      </w:tr>
      <w:tr>
        <w:trPr>
          <w:tblHeader w:val="false"/>
        </w:trPr>
        <w:tc>
          <w:tcPr>
            <w:tcW w:type="dxa" w:w="24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南市訴願決定（林吉進案，09609511780）</w:t>
            </w:r>
          </w:p>
        </w:tc>
        <w:tc>
          <w:tcPr>
            <w:tcW w:type="dxa" w:w="1200"/>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5頁</w:t>
            </w:r>
          </w:p>
        </w:tc>
        <w:tc>
          <w:tcPr>
            <w:tcW w:type="dxa" w:w="10838"/>
            <w:tcMar>
              <w:top w:type="dxa" w:w="70"/>
              <w:left w:type="dxa" w:w="90"/>
              <w:bottom w:type="dxa" w:w="70"/>
              <w:right w:type="dxa" w:w="90"/>
            </w:tcMar>
          </w:tcPr>
          <w:p>
            <w:pPr>
              <w:spacing w:after="40" w:line="270"/>
              <w:jc w:val="left"/>
            </w:pPr>
            <w:r>
              <w:rPr>
                <w:rFonts w:ascii="標楷體" w:cs="標楷體" w:eastAsia="標楷體" w:hAnsi="標楷體"/>
                <w:b w:val="false"/>
                <w:bCs w:val="false"/>
                <w:sz w:val="18"/>
                <w:szCs w:val="18"/>
              </w:rPr>
              <w:t xml:space="preserve">https://www.scribd.com/doc/12436293/</w:t>
            </w:r>
          </w:p>
        </w:tc>
      </w:tr>
    </w:tbl>
    <w:p>
      <w:pPr>
        <w:spacing w:after="120" w:line="320"/>
        <w:jc w:val="both"/>
      </w:pPr>
      <w:r>
        <w:rPr>
          <w:rFonts w:ascii="標楷體" w:cs="標楷體" w:eastAsia="標楷體" w:hAnsi="標楷體"/>
          <w:b w:val="false"/>
          <w:bCs w:val="false"/>
          <w:sz w:val="21"/>
          <w:szCs w:val="21"/>
        </w:rPr>
        <w:t xml:space="preserve"/>
      </w:r>
    </w:p>
    <w:p>
      <w:pPr>
        <w:shd w:fill="F2F6FA" w:val="clear"/>
        <w:spacing w:after="140" w:line="300"/>
        <w:ind w:left="288"/>
      </w:pPr>
      <w:r>
        <w:rPr>
          <w:rFonts w:ascii="標楷體" w:cs="標楷體" w:eastAsia="標楷體" w:hAnsi="標楷體"/>
          <w:color w:val="2A4A68"/>
          <w:sz w:val="20"/>
          <w:szCs w:val="20"/>
        </w:rPr>
        <w:t xml:space="preserve">三份均為公民團體自行上傳之掃描檔，Scribd 線上可直接閱讀，下載需註冊。決定書上的部分個資已遮黑，訴願書與答辯書上的自救會代表人姓名、機關承辦人姓名電話則未遮蔽；引用或轉載前請自行處理個資。</w:t>
      </w:r>
    </w:p>
    <w:sectPr>
      <w:footerReference w:type="default" r:id="rId7"/>
      <w:pgSz w:w="16838" w:h="11906" w:orient="landscape"/>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標楷體" w:cs="標楷體" w:eastAsia="標楷體" w:hAnsi="標楷體"/>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台鹼安順廠戴奧辛污染案 政府資訊公開訴願事件 三書對照分析</dc:title>
  <dc:creator>訴願實務整理</dc:creator>
  <cp:lastModifiedBy>Un-named</cp:lastModifiedBy>
  <cp:revision>1</cp:revision>
  <dcterms:created xsi:type="dcterms:W3CDTF">2026-09-12T05:56:10.442Z</dcterms:created>
  <dcterms:modified xsi:type="dcterms:W3CDTF">2026-09-12T05:56:10.459Z</dcterms:modified>
</cp:coreProperties>
</file>

<file path=docProps/custom.xml><?xml version="1.0" encoding="utf-8"?>
<Properties xmlns="http://schemas.openxmlformats.org/officeDocument/2006/custom-properties" xmlns:vt="http://schemas.openxmlformats.org/officeDocument/2006/docPropsVTypes"/>
</file>