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RFC-2026-001 · Pagos de Tutorías</w:t>
      </w:r>
    </w:p>
    <w:p>
      <w:pPr>
        <w:spacing w:after="300"/>
      </w:pPr>
      <w:r>
        <w:rPr>
          <w:i/>
          <w:iCs/>
          <w:color w:val="555555"/>
          <w:sz w:val="24"/>
          <w:szCs w:val="24"/>
        </w:rPr>
        <w:t xml:space="preserve">Rediseño arquitectónico del flujo de pago en Tutorías Universitarias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4E79" w:color="auto" w:val="clear"/>
            <w:tcMar>
              <w:top w:type="dxa" w:w="80"/>
              <w:left w:type="dxa" w:w="100"/>
              <w:bottom w:type="dxa" w:w="80"/>
              <w:right w:type="dxa" w:w="100"/>
            </w:tcMar>
          </w:tcPr>
          <w:p>
            <w:r>
              <w:rPr>
                <w:b/>
                <w:bCs/>
                <w:color w:val="FFFFFF"/>
                <w:sz w:val="20"/>
                <w:szCs w:val="20"/>
              </w:rPr>
              <w:t xml:space="preserve">Curso</w:t>
            </w:r>
          </w:p>
        </w:tc>
        <w:tc>
          <w:tcPr>
            <w:tcW w:type="dxa" w:w="6200"/>
            <w:shd w:fill="1F4E79" w:color="auto" w:val="clear"/>
            <w:tcMar>
              <w:top w:type="dxa" w:w="80"/>
              <w:left w:type="dxa" w:w="100"/>
              <w:bottom w:type="dxa" w:w="80"/>
              <w:right w:type="dxa" w:w="100"/>
            </w:tcMar>
          </w:tcPr>
          <w:p>
            <w:r>
              <w:rPr>
                <w:b/>
                <w:bCs/>
                <w:color w:val="FFFFFF"/>
                <w:sz w:val="20"/>
                <w:szCs w:val="20"/>
              </w:rPr>
              <w:t xml:space="preserve">Arquitectura de Software</w:t>
            </w:r>
          </w:p>
        </w:tc>
      </w:tr>
      <w:tr>
        <w:tc>
          <w:tcPr>
            <w:tcW w:type="dxa" w:w="3200"/>
            <w:tcMar>
              <w:top w:type="dxa" w:w="80"/>
              <w:left w:type="dxa" w:w="100"/>
              <w:bottom w:type="dxa" w:w="80"/>
              <w:right w:type="dxa" w:w="100"/>
            </w:tcMar>
          </w:tcPr>
          <w:p>
            <w:r>
              <w:rPr>
                <w:b w:val="false"/>
                <w:bCs w:val="false"/>
                <w:sz w:val="20"/>
                <w:szCs w:val="20"/>
              </w:rPr>
              <w:t xml:space="preserve">Evaluación</w:t>
            </w:r>
          </w:p>
        </w:tc>
        <w:tc>
          <w:tcPr>
            <w:tcW w:type="dxa" w:w="6200"/>
            <w:tcMar>
              <w:top w:type="dxa" w:w="80"/>
              <w:left w:type="dxa" w:w="100"/>
              <w:bottom w:type="dxa" w:w="80"/>
              <w:right w:type="dxa" w:w="100"/>
            </w:tcMar>
          </w:tcPr>
          <w:p>
            <w:r>
              <w:rPr>
                <w:b w:val="false"/>
                <w:bCs w:val="false"/>
                <w:sz w:val="20"/>
                <w:szCs w:val="20"/>
              </w:rPr>
              <w:t xml:space="preserve">PC03 — Parte A: examen teórico (mini RFC)</w:t>
            </w:r>
          </w:p>
        </w:tc>
      </w:tr>
      <w:tr>
        <w:tc>
          <w:tcPr>
            <w:tcW w:type="dxa" w:w="3200"/>
            <w:shd w:fill="F2F2F2" w:color="auto" w:val="clear"/>
            <w:tcMar>
              <w:top w:type="dxa" w:w="80"/>
              <w:left w:type="dxa" w:w="100"/>
              <w:bottom w:type="dxa" w:w="80"/>
              <w:right w:type="dxa" w:w="100"/>
            </w:tcMar>
          </w:tcPr>
          <w:p>
            <w:r>
              <w:rPr>
                <w:b w:val="false"/>
                <w:bCs w:val="false"/>
                <w:sz w:val="20"/>
                <w:szCs w:val="20"/>
              </w:rPr>
              <w:t xml:space="preserve">Sistema base</w:t>
            </w:r>
          </w:p>
        </w:tc>
        <w:tc>
          <w:tcPr>
            <w:tcW w:type="dxa" w:w="6200"/>
            <w:shd w:fill="F2F2F2" w:color="auto" w:val="clear"/>
            <w:tcMar>
              <w:top w:type="dxa" w:w="80"/>
              <w:left w:type="dxa" w:w="100"/>
              <w:bottom w:type="dxa" w:w="80"/>
              <w:right w:type="dxa" w:w="100"/>
            </w:tcMar>
          </w:tcPr>
          <w:p>
            <w:r>
              <w:rPr>
                <w:b w:val="false"/>
                <w:bCs w:val="false"/>
                <w:sz w:val="20"/>
                <w:szCs w:val="20"/>
              </w:rPr>
              <w:t xml:space="preserve">Tutorías Universitarias</w:t>
            </w:r>
          </w:p>
        </w:tc>
      </w:tr>
      <w:tr>
        <w:tc>
          <w:tcPr>
            <w:tcW w:type="dxa" w:w="3200"/>
            <w:tcMar>
              <w:top w:type="dxa" w:w="80"/>
              <w:left w:type="dxa" w:w="100"/>
              <w:bottom w:type="dxa" w:w="80"/>
              <w:right w:type="dxa" w:w="100"/>
            </w:tcMar>
          </w:tcPr>
          <w:p>
            <w:r>
              <w:rPr>
                <w:b w:val="false"/>
                <w:bCs w:val="false"/>
                <w:sz w:val="20"/>
                <w:szCs w:val="20"/>
              </w:rPr>
              <w:t xml:space="preserve">Funcionalidad</w:t>
            </w:r>
          </w:p>
        </w:tc>
        <w:tc>
          <w:tcPr>
            <w:tcW w:type="dxa" w:w="6200"/>
            <w:tcMar>
              <w:top w:type="dxa" w:w="80"/>
              <w:left w:type="dxa" w:w="100"/>
              <w:bottom w:type="dxa" w:w="80"/>
              <w:right w:type="dxa" w:w="100"/>
            </w:tcMar>
          </w:tcPr>
          <w:p>
            <w:r>
              <w:rPr>
                <w:b w:val="false"/>
                <w:bCs w:val="false"/>
                <w:sz w:val="20"/>
                <w:szCs w:val="20"/>
              </w:rPr>
              <w:t xml:space="preserve">Pagos de Tutorías (nuevo servicio ms-pagos)</w:t>
            </w:r>
          </w:p>
        </w:tc>
      </w:tr>
      <w:tr>
        <w:tc>
          <w:tcPr>
            <w:tcW w:type="dxa" w:w="3200"/>
            <w:shd w:fill="F2F2F2" w:color="auto" w:val="clear"/>
            <w:tcMar>
              <w:top w:type="dxa" w:w="80"/>
              <w:left w:type="dxa" w:w="100"/>
              <w:bottom w:type="dxa" w:w="80"/>
              <w:right w:type="dxa" w:w="100"/>
            </w:tcMar>
          </w:tcPr>
          <w:p>
            <w:r>
              <w:rPr>
                <w:b w:val="false"/>
                <w:bCs w:val="false"/>
                <w:sz w:val="20"/>
                <w:szCs w:val="20"/>
              </w:rPr>
              <w:t xml:space="preserve">Estado del RFC</w:t>
            </w:r>
          </w:p>
        </w:tc>
        <w:tc>
          <w:tcPr>
            <w:tcW w:type="dxa" w:w="6200"/>
            <w:shd w:fill="F2F2F2" w:color="auto" w:val="clear"/>
            <w:tcMar>
              <w:top w:type="dxa" w:w="80"/>
              <w:left w:type="dxa" w:w="100"/>
              <w:bottom w:type="dxa" w:w="80"/>
              <w:right w:type="dxa" w:w="100"/>
            </w:tcMar>
          </w:tcPr>
          <w:p>
            <w:r>
              <w:rPr>
                <w:b w:val="false"/>
                <w:bCs w:val="false"/>
                <w:sz w:val="20"/>
                <w:szCs w:val="20"/>
              </w:rPr>
              <w:t xml:space="preserve">Propuesto para revisión técnica</w:t>
            </w:r>
          </w:p>
        </w:tc>
      </w:tr>
    </w:tbl>
    <w:p>
      <w:pPr>
        <w:spacing w:after="200"/>
      </w:pPr>
    </w:p>
    <w:p>
      <w:pPr>
        <w:pStyle w:val="Heading1"/>
        <w:spacing w:after="150" w:before="300"/>
      </w:pPr>
      <w:r>
        <w:t xml:space="preserve">1. Contexto</w:t>
      </w:r>
    </w:p>
    <w:p>
      <w:pPr>
        <w:spacing w:after="140"/>
      </w:pPr>
      <w:r>
        <w:t xml:space="preserve">Tutorías Universitarias es un sistema de microservicios donde un estudiante solicita una tutoría con un tutor disponible. Hoy el flujo funciona así: ms-auth entrega un token JWT; ms-tutorias orquesta la solicitud y valida al estudiante y al tutor llamando por HTTP a ms-usuarios; luego llama a ms-agenda para bloquear el horario (si ya estaba bloqueado, ms-agenda responde 409); si el bloqueo se logra, ms-tutorias registra la tutoría y publica un evento a RabbitMQ, que ms-notificaciones consume para avisar al estudiante. El tracking-dashboard y Prometheus/Grafana permiten observar este flujo en tiempo real.</w:t>
      </w:r>
    </w:p>
    <w:p>
      <w:pPr>
        <w:spacing w:after="140"/>
      </w:pPr>
      <w:r>
        <w:t xml:space="preserve">La nueva funcionalidad, Pagos de Tutorías, exige que una tutoría solo se confirme cuando exista un pago válido y trazable. Se incorpora ms-pagos, que se comunica con proveedores externos de tarjeta (Visa, Mastercard). Estos proveedores son un tercero no confiable en tiempo: pueden demorar más de lo esperado, rechazar, aprobar tarde, enviar respuestas duplicadas o notificar por un callback que llega después de que el cliente ya se cansó de esperar.</w:t>
      </w:r>
    </w:p>
    <w:p>
      <w:pPr>
        <w:spacing w:after="140"/>
      </w:pPr>
      <w:r>
        <w:t xml:space="preserve">Restricciones relevantes para este diseño:</w:t>
      </w:r>
    </w:p>
    <w:p>
      <w:pPr>
        <w:pStyle w:val="ListParagraph"/>
        <w:numPr>
          <w:ilvl w:val="0"/>
          <w:numId w:val="1"/>
        </w:numPr>
        <w:spacing w:after="80"/>
      </w:pPr>
      <w:r>
        <w:t xml:space="preserve">El sistema ya combina llamadas HTTP síncronas (validaciones) con eventos asíncronos por RabbitMQ (notificaciones); este RFC mantiene ese mismo estilo mixto, ya validado en el proyecto.</w:t>
      </w:r>
    </w:p>
    <w:p>
      <w:pPr>
        <w:pStyle w:val="ListParagraph"/>
        <w:numPr>
          <w:ilvl w:val="0"/>
          <w:numId w:val="1"/>
        </w:numPr>
        <w:spacing w:after="80"/>
      </w:pPr>
      <w:r>
        <w:t xml:space="preserve">ms-agenda ya usa un bloqueo temprano con conflicto 409; el pago debe respetar esa misma lógica: primero se asegura el horario, después se cobra.</w:t>
      </w:r>
    </w:p>
    <w:p>
      <w:pPr>
        <w:pStyle w:val="ListParagraph"/>
        <w:numPr>
          <w:ilvl w:val="0"/>
          <w:numId w:val="1"/>
        </w:numPr>
        <w:spacing w:after="80"/>
      </w:pPr>
      <w:r>
        <w:t xml:space="preserve">El entorno local usa Docker Compose, Toxiproxy para simular fallas y Prometheus/Grafana para métricas; el diseño en la nube debe conservar esa misma capacidad de observar fallas.</w:t>
      </w:r>
    </w:p>
    <w:p>
      <w:pPr>
        <w:pStyle w:val="ListParagraph"/>
        <w:numPr>
          <w:ilvl w:val="0"/>
          <w:numId w:val="1"/>
        </w:numPr>
        <w:spacing w:after="80"/>
      </w:pPr>
      <w:r>
        <w:t xml:space="preserve">Ningún proveedor externo debe controlar el tiempo de vida de una transacción interna de base de datos.</w:t>
      </w:r>
    </w:p>
    <w:p>
      <w:pPr>
        <w:pStyle w:val="Heading1"/>
        <w:spacing w:after="150" w:before="300"/>
      </w:pPr>
      <w:r>
        <w:t xml:space="preserve">2. Problema</w:t>
      </w:r>
    </w:p>
    <w:p>
      <w:pPr>
        <w:spacing w:after="140"/>
      </w:pPr>
      <w:r>
        <w:t xml:space="preserve">El diseño propuesto abre una transacción de base de datos en ms-tutorias y, sin cerrarla, hace una llamada HTTP en cadena hasta el proveedor externo de tarjetas. El problema no es que 'el orden esté mal', sino que se mezclan dos mundos que no deberían mezclarse: una transacción local, que debería durar milisegundos y estar bajo control total del sistema, con una llamada de red a un tercero, cuya duración es impredecible y está fuera de nuestro control.</w:t>
      </w:r>
    </w:p>
    <w:p>
      <w:pPr>
        <w:spacing w:after="140"/>
      </w:pPr>
      <w:r>
        <w:t xml:space="preserve">Una forma sencilla de explicarlo en la sustentación: es como si un cajero de banco dejara la bóveda abierta y a todo el personal esperando mientras llama por teléfono a otro banco para confirmar algo que puede tardar varios minutos. Mientras la transacción sigue abierta, la fila de la tutoría queda bloqueada (lock), cualquier otro proceso que necesite leer o escribir esa fila tiene que esperar, y si el proveedor tarda más que el timeout del cliente HTTP, el usuario puede recibir un error incluso si el pago terminó aprobándose segundos después.</w:t>
      </w:r>
    </w:p>
    <w:p>
      <w:pPr>
        <w:spacing w:after="140"/>
      </w:pPr>
      <w:r>
        <w:rPr>
          <w:b w:val="false"/>
          <w:bCs w:val="false"/>
        </w:rPr>
        <w:t xml:space="preserve">Idea central para defender: </w:t>
      </w:r>
      <w:r>
        <w:rPr>
          <w:b/>
          <w:bCs/>
        </w:rPr>
        <w:t xml:space="preserve">el orden aparente en el código no elimina las fallas parciales de un sistema distribuido. </w:t>
      </w:r>
      <w:r>
        <w:rPr>
          <w:b w:val="false"/>
          <w:bCs w:val="false"/>
        </w:rPr>
        <w:t xml:space="preserve">El diseño propuesto no previene timeouts, dobles cobros por reintento, ni estados en los que el pago se aprueba después de que ms-tutorias ya abandonó o canceló la solicitud.</w:t>
      </w:r>
    </w:p>
    <w:p>
      <w:pPr>
        <w:pStyle w:val="Heading1"/>
        <w:spacing w:after="150" w:before="300"/>
      </w:pPr>
      <w:r>
        <w:t xml:space="preserve">3. Riesgos</w:t>
      </w:r>
    </w:p>
    <w:p>
      <w:pPr>
        <w:pStyle w:val="Heading2"/>
        <w:spacing w:after="120" w:before="260"/>
      </w:pPr>
      <w:r>
        <w:t xml:space="preserve">Riesgos técnicos</w:t>
      </w:r>
    </w:p>
    <w:p>
      <w:pPr>
        <w:pStyle w:val="ListParagraph"/>
        <w:numPr>
          <w:ilvl w:val="0"/>
          <w:numId w:val="1"/>
        </w:numPr>
        <w:spacing w:after="80"/>
      </w:pPr>
      <w:r>
        <w:t xml:space="preserve">Transacción larga y bloqueo de recursos: la fila de la tutoría queda con lock mientras se espera al proveedor externo, afectando la concurrencia de todo el sistema.</w:t>
      </w:r>
    </w:p>
    <w:p>
      <w:pPr>
        <w:pStyle w:val="ListParagraph"/>
        <w:numPr>
          <w:ilvl w:val="0"/>
          <w:numId w:val="1"/>
        </w:numPr>
        <w:spacing w:after="80"/>
      </w:pPr>
      <w:r>
        <w:t xml:space="preserve">Acoplamiento temporal: ms-tutorias, ms-pagos y el proveedor deben estar disponibles y responder rápido, todos a la vez, o la operación completa falla.</w:t>
      </w:r>
    </w:p>
    <w:p>
      <w:pPr>
        <w:pStyle w:val="ListParagraph"/>
        <w:numPr>
          <w:ilvl w:val="0"/>
          <w:numId w:val="1"/>
        </w:numPr>
        <w:spacing w:after="80"/>
      </w:pPr>
      <w:r>
        <w:t xml:space="preserve">Timeout ambiguo: si el cliente HTTP corta la espera, no se sabe si el proveedor aprobó o no; el estado queda indefinido.</w:t>
      </w:r>
    </w:p>
    <w:p>
      <w:pPr>
        <w:pStyle w:val="ListParagraph"/>
        <w:numPr>
          <w:ilvl w:val="0"/>
          <w:numId w:val="1"/>
        </w:numPr>
        <w:spacing w:after="80"/>
      </w:pPr>
      <w:r>
        <w:t xml:space="preserve">Doble cobro: si el cliente reintenta, 'se ejecuta todo el flujo de nuevo' según el diseño propuesto, incluyendo un nuevo cargo, porque no existe idempotencia.</w:t>
      </w:r>
    </w:p>
    <w:p>
      <w:pPr>
        <w:pStyle w:val="ListParagraph"/>
        <w:numPr>
          <w:ilvl w:val="0"/>
          <w:numId w:val="1"/>
        </w:numPr>
        <w:spacing w:after="80"/>
      </w:pPr>
      <w:r>
        <w:t xml:space="preserve">Estados parciales: agenda bloqueada pero pago nunca confirmado, o pago aprobado pero la tutoría ya no existe porque ms-tutorias revirtió su transacción.</w:t>
      </w:r>
    </w:p>
    <w:p>
      <w:pPr>
        <w:pStyle w:val="ListParagraph"/>
        <w:numPr>
          <w:ilvl w:val="0"/>
          <w:numId w:val="1"/>
        </w:numPr>
        <w:spacing w:after="80"/>
      </w:pPr>
      <w:r>
        <w:t xml:space="preserve">Dificultad de diagnóstico: sin un identificador de correlación compartido entre servicios, es difícil reconstruir en qué paso exacto ocurrió una falla.</w:t>
      </w:r>
    </w:p>
    <w:p>
      <w:pPr>
        <w:pStyle w:val="Heading2"/>
        <w:spacing w:after="120" w:before="260"/>
      </w:pPr>
      <w:r>
        <w:t xml:space="preserve">Riesgos de negocio</w:t>
      </w:r>
    </w:p>
    <w:p>
      <w:pPr>
        <w:pStyle w:val="ListParagraph"/>
        <w:numPr>
          <w:ilvl w:val="0"/>
          <w:numId w:val="1"/>
        </w:numPr>
        <w:spacing w:after="80"/>
      </w:pPr>
      <w:r>
        <w:t xml:space="preserve">Pérdida de confianza del estudiante si se le cobra dos veces o si paga y no recibe la tutoría.</w:t>
      </w:r>
    </w:p>
    <w:p>
      <w:pPr>
        <w:pStyle w:val="ListParagraph"/>
        <w:numPr>
          <w:ilvl w:val="0"/>
          <w:numId w:val="1"/>
        </w:numPr>
        <w:spacing w:after="80"/>
      </w:pPr>
      <w:r>
        <w:t xml:space="preserve">Reclamos y contracargos por pagos aprobados tarde, cuando ya no hay tutoría asociada.</w:t>
      </w:r>
    </w:p>
    <w:p>
      <w:pPr>
        <w:pStyle w:val="ListParagraph"/>
        <w:numPr>
          <w:ilvl w:val="0"/>
          <w:numId w:val="1"/>
        </w:numPr>
        <w:spacing w:after="80"/>
      </w:pPr>
      <w:r>
        <w:t xml:space="preserve">Riesgo de cumplimiento (tipo PCI-DSS) si datos sensibles de tarjeta llegan a servicios que no deberían conocerlos, como ms-tutorias o los logs.</w:t>
      </w:r>
    </w:p>
    <w:p>
      <w:pPr>
        <w:pStyle w:val="ListParagraph"/>
        <w:numPr>
          <w:ilvl w:val="0"/>
          <w:numId w:val="1"/>
        </w:numPr>
        <w:spacing w:after="80"/>
      </w:pPr>
      <w:r>
        <w:t xml:space="preserve">Costo operativo alto: transacciones largas combinadas con reintentos sin control pueden saturar la base de datos en horas pico (por ejemplo, matrícula).</w:t>
      </w:r>
    </w:p>
    <w:p>
      <w:pPr>
        <w:pStyle w:val="Heading1"/>
        <w:spacing w:after="150" w:before="300"/>
      </w:pPr>
      <w:r>
        <w:t xml:space="preserve">4. Diseño propuesto</w:t>
      </w:r>
    </w:p>
    <w:p>
      <w:pPr>
        <w:spacing w:after="140"/>
      </w:pPr>
      <w:r>
        <w:t xml:space="preserve">Se propone reemplazar la transacción distribuida encadenada por una Saga orquestada: ms-tutorias conserva su rol actual de orquestador (igual que hoy coordina agenda y notificación), pero el pago se resuelve como un proceso propio, con estados explícitos, y no como una llamada bloqueante dentro de una transacción.</w:t>
      </w:r>
    </w:p>
    <w:p>
      <w:pPr>
        <w:pStyle w:val="Heading2"/>
        <w:spacing w:after="120" w:before="260"/>
      </w:pPr>
      <w:r>
        <w:t xml:space="preserve">Responsabilidades por servicio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1F4E79" w:color="auto" w:val="clear"/>
            <w:tcMar>
              <w:top w:type="dxa" w:w="80"/>
              <w:left w:type="dxa" w:w="100"/>
              <w:bottom w:type="dxa" w:w="80"/>
              <w:right w:type="dxa" w:w="100"/>
            </w:tcMar>
          </w:tcPr>
          <w:p>
            <w:r>
              <w:rPr>
                <w:b/>
                <w:bCs/>
                <w:color w:val="FFFFFF"/>
                <w:sz w:val="20"/>
                <w:szCs w:val="20"/>
              </w:rPr>
              <w:t xml:space="preserve">Servicio</w:t>
            </w:r>
          </w:p>
        </w:tc>
        <w:tc>
          <w:tcPr>
            <w:tcW w:type="dxa" w:w="6800"/>
            <w:shd w:fill="1F4E79" w:color="auto" w:val="clear"/>
            <w:tcMar>
              <w:top w:type="dxa" w:w="80"/>
              <w:left w:type="dxa" w:w="100"/>
              <w:bottom w:type="dxa" w:w="80"/>
              <w:right w:type="dxa" w:w="100"/>
            </w:tcMar>
          </w:tcPr>
          <w:p>
            <w:r>
              <w:rPr>
                <w:b/>
                <w:bCs/>
                <w:color w:val="FFFFFF"/>
                <w:sz w:val="20"/>
                <w:szCs w:val="20"/>
              </w:rPr>
              <w:t xml:space="preserve">Responsabilidad en Pagos de Tutorías</w:t>
            </w:r>
          </w:p>
        </w:tc>
      </w:tr>
      <w:tr>
        <w:tc>
          <w:tcPr>
            <w:tcW w:type="dxa" w:w="2400"/>
            <w:tcMar>
              <w:top w:type="dxa" w:w="80"/>
              <w:left w:type="dxa" w:w="100"/>
              <w:bottom w:type="dxa" w:w="80"/>
              <w:right w:type="dxa" w:w="100"/>
            </w:tcMar>
          </w:tcPr>
          <w:p>
            <w:r>
              <w:rPr>
                <w:b w:val="false"/>
                <w:bCs w:val="false"/>
                <w:sz w:val="20"/>
                <w:szCs w:val="20"/>
              </w:rPr>
              <w:t xml:space="preserve">ms-tutorias</w:t>
            </w:r>
          </w:p>
        </w:tc>
        <w:tc>
          <w:tcPr>
            <w:tcW w:type="dxa" w:w="6800"/>
            <w:tcMar>
              <w:top w:type="dxa" w:w="80"/>
              <w:left w:type="dxa" w:w="100"/>
              <w:bottom w:type="dxa" w:w="80"/>
              <w:right w:type="dxa" w:w="100"/>
            </w:tcMar>
          </w:tcPr>
          <w:p>
            <w:r>
              <w:rPr>
                <w:b w:val="false"/>
                <w:bCs w:val="false"/>
                <w:sz w:val="20"/>
                <w:szCs w:val="20"/>
              </w:rPr>
              <w:t xml:space="preserve">Orquesta el flujo de negocio. Crea la tutoría en estado PENDIENTE_PAGO. Nunca conoce datos de tarjeta. Espera confirmación de pago vía evento. Decide CONFIRMADA o CANCELADA_POR_PAGO.</w:t>
            </w:r>
          </w:p>
        </w:tc>
      </w:tr>
      <w:tr>
        <w:tc>
          <w:tcPr>
            <w:tcW w:type="dxa" w:w="2400"/>
            <w:shd w:fill="F2F2F2" w:color="auto" w:val="clear"/>
            <w:tcMar>
              <w:top w:type="dxa" w:w="80"/>
              <w:left w:type="dxa" w:w="100"/>
              <w:bottom w:type="dxa" w:w="80"/>
              <w:right w:type="dxa" w:w="100"/>
            </w:tcMar>
          </w:tcPr>
          <w:p>
            <w:r>
              <w:rPr>
                <w:b w:val="false"/>
                <w:bCs w:val="false"/>
                <w:sz w:val="20"/>
                <w:szCs w:val="20"/>
              </w:rPr>
              <w:t xml:space="preserve">ms-pagos</w:t>
            </w:r>
          </w:p>
        </w:tc>
        <w:tc>
          <w:tcPr>
            <w:tcW w:type="dxa" w:w="6800"/>
            <w:shd w:fill="F2F2F2" w:color="auto" w:val="clear"/>
            <w:tcMar>
              <w:top w:type="dxa" w:w="80"/>
              <w:left w:type="dxa" w:w="100"/>
              <w:bottom w:type="dxa" w:w="80"/>
              <w:right w:type="dxa" w:w="100"/>
            </w:tcMar>
          </w:tcPr>
          <w:p>
            <w:r>
              <w:rPr>
                <w:b w:val="false"/>
                <w:bCs w:val="false"/>
                <w:sz w:val="20"/>
                <w:szCs w:val="20"/>
              </w:rPr>
              <w:t xml:space="preserve">Dueño exclusivo de la comunicación con el proveedor externo. Gestiona el intento de pago, sus reintentos, timeouts y callbacks. Nunca persiste el número completo de tarjeta.</w:t>
            </w:r>
          </w:p>
        </w:tc>
      </w:tr>
      <w:tr>
        <w:tc>
          <w:tcPr>
            <w:tcW w:type="dxa" w:w="2400"/>
            <w:tcMar>
              <w:top w:type="dxa" w:w="80"/>
              <w:left w:type="dxa" w:w="100"/>
              <w:bottom w:type="dxa" w:w="80"/>
              <w:right w:type="dxa" w:w="100"/>
            </w:tcMar>
          </w:tcPr>
          <w:p>
            <w:r>
              <w:rPr>
                <w:b w:val="false"/>
                <w:bCs w:val="false"/>
                <w:sz w:val="20"/>
                <w:szCs w:val="20"/>
              </w:rPr>
              <w:t xml:space="preserve">ms-agenda</w:t>
            </w:r>
          </w:p>
        </w:tc>
        <w:tc>
          <w:tcPr>
            <w:tcW w:type="dxa" w:w="6800"/>
            <w:tcMar>
              <w:top w:type="dxa" w:w="80"/>
              <w:left w:type="dxa" w:w="100"/>
              <w:bottom w:type="dxa" w:w="80"/>
              <w:right w:type="dxa" w:w="100"/>
            </w:tcMar>
          </w:tcPr>
          <w:p>
            <w:r>
              <w:rPr>
                <w:b w:val="false"/>
                <w:bCs w:val="false"/>
                <w:sz w:val="20"/>
                <w:szCs w:val="20"/>
              </w:rPr>
              <w:t xml:space="preserve">Conserva su bloqueo optimista actual (409 si el horario ya está tomado). El bloqueo ocurre antes de intentar el cobro.</w:t>
            </w:r>
          </w:p>
        </w:tc>
      </w:tr>
      <w:tr>
        <w:tc>
          <w:tcPr>
            <w:tcW w:type="dxa" w:w="2400"/>
            <w:shd w:fill="F2F2F2" w:color="auto" w:val="clear"/>
            <w:tcMar>
              <w:top w:type="dxa" w:w="80"/>
              <w:left w:type="dxa" w:w="100"/>
              <w:bottom w:type="dxa" w:w="80"/>
              <w:right w:type="dxa" w:w="100"/>
            </w:tcMar>
          </w:tcPr>
          <w:p>
            <w:r>
              <w:rPr>
                <w:b w:val="false"/>
                <w:bCs w:val="false"/>
                <w:sz w:val="20"/>
                <w:szCs w:val="20"/>
              </w:rPr>
              <w:t xml:space="preserve">ms-notificaciones</w:t>
            </w:r>
          </w:p>
        </w:tc>
        <w:tc>
          <w:tcPr>
            <w:tcW w:type="dxa" w:w="6800"/>
            <w:shd w:fill="F2F2F2" w:color="auto" w:val="clear"/>
            <w:tcMar>
              <w:top w:type="dxa" w:w="80"/>
              <w:left w:type="dxa" w:w="100"/>
              <w:bottom w:type="dxa" w:w="80"/>
              <w:right w:type="dxa" w:w="100"/>
            </w:tcMar>
          </w:tcPr>
          <w:p>
            <w:r>
              <w:rPr>
                <w:b w:val="false"/>
                <w:bCs w:val="false"/>
                <w:sz w:val="20"/>
                <w:szCs w:val="20"/>
              </w:rPr>
              <w:t xml:space="preserve">Sigue consumiendo eventos de RabbitMQ; ahora también reacciona a pago aprobado o rechazado.</w:t>
            </w:r>
          </w:p>
        </w:tc>
      </w:tr>
      <w:tr>
        <w:tc>
          <w:tcPr>
            <w:tcW w:type="dxa" w:w="2400"/>
            <w:tcMar>
              <w:top w:type="dxa" w:w="80"/>
              <w:left w:type="dxa" w:w="100"/>
              <w:bottom w:type="dxa" w:w="80"/>
              <w:right w:type="dxa" w:w="100"/>
            </w:tcMar>
          </w:tcPr>
          <w:p>
            <w:r>
              <w:rPr>
                <w:b w:val="false"/>
                <w:bCs w:val="false"/>
                <w:sz w:val="20"/>
                <w:szCs w:val="20"/>
              </w:rPr>
              <w:t xml:space="preserve">Proveedor externo (Visa/Mastercard)</w:t>
            </w:r>
          </w:p>
        </w:tc>
        <w:tc>
          <w:tcPr>
            <w:tcW w:type="dxa" w:w="6800"/>
            <w:tcMar>
              <w:top w:type="dxa" w:w="80"/>
              <w:left w:type="dxa" w:w="100"/>
              <w:bottom w:type="dxa" w:w="80"/>
              <w:right w:type="dxa" w:w="100"/>
            </w:tcMar>
          </w:tcPr>
          <w:p>
            <w:r>
              <w:rPr>
                <w:b w:val="false"/>
                <w:bCs w:val="false"/>
                <w:sz w:val="20"/>
                <w:szCs w:val="20"/>
              </w:rPr>
              <w:t xml:space="preserve">Actor no confiable en tiempo. Puede responder por HTTP corto o por webhook/callback tardío.</w:t>
            </w:r>
          </w:p>
        </w:tc>
      </w:tr>
    </w:tbl>
    <w:p>
      <w:pPr>
        <w:spacing w:after="200"/>
      </w:pPr>
    </w:p>
    <w:p>
      <w:pPr>
        <w:pStyle w:val="Heading2"/>
        <w:spacing w:after="120" w:before="260"/>
      </w:pPr>
      <w:r>
        <w:t xml:space="preserve">Flujo principal</w:t>
      </w:r>
    </w:p>
    <w:p>
      <w:pPr>
        <w:pStyle w:val="ListParagraph"/>
        <w:numPr>
          <w:ilvl w:val="0"/>
          <w:numId w:val="1"/>
        </w:numPr>
        <w:spacing w:after="80"/>
      </w:pPr>
      <w:r>
        <w:t xml:space="preserve">1. El cliente envía POST /api/v1/tutorias con Idempotency-Key en el header y { estudianteId, tutorId, horarioId }.</w:t>
      </w:r>
    </w:p>
    <w:p>
      <w:pPr>
        <w:pStyle w:val="ListParagraph"/>
        <w:numPr>
          <w:ilvl w:val="0"/>
          <w:numId w:val="1"/>
        </w:numPr>
        <w:spacing w:after="80"/>
      </w:pPr>
      <w:r>
        <w:t xml:space="preserve">2. ms-tutorias valida el JWT y valida estudiante/tutor con ms-usuarios (llamada síncrona y rápida, igual que hoy).</w:t>
      </w:r>
    </w:p>
    <w:p>
      <w:pPr>
        <w:pStyle w:val="ListParagraph"/>
        <w:numPr>
          <w:ilvl w:val="0"/>
          <w:numId w:val="1"/>
        </w:numPr>
        <w:spacing w:after="80"/>
      </w:pPr>
      <w:r>
        <w:t xml:space="preserve">3. ms-tutorias pide a ms-agenda bloquear el horario. Si hay conflicto, responde 409 y el pago ni siquiera se intenta.</w:t>
      </w:r>
    </w:p>
    <w:p>
      <w:pPr>
        <w:pStyle w:val="ListParagraph"/>
        <w:numPr>
          <w:ilvl w:val="0"/>
          <w:numId w:val="1"/>
        </w:numPr>
        <w:spacing w:after="80"/>
      </w:pPr>
      <w:r>
        <w:t xml:space="preserve">4. Si el horario se bloqueó, ms-tutorias crea la tutoría en estado PENDIENTE_PAGO (transacción local corta) y hace una llamada síncrona pero breve a ms-pagos para abrir una sesión de checkout. Esta llamada no espera al proveedor de tarjeta; solo genera un token/URL de pago, es una operación propia de ms-pagos.</w:t>
      </w:r>
    </w:p>
    <w:p>
      <w:pPr>
        <w:pStyle w:val="ListParagraph"/>
        <w:numPr>
          <w:ilvl w:val="0"/>
          <w:numId w:val="1"/>
        </w:numPr>
        <w:spacing w:after="80"/>
      </w:pPr>
      <w:r>
        <w:t xml:space="preserve">5. ms-tutorias responde al cliente con 202 Accepted: { tutoriaId, estado: PENDIENTE_PAGO, paymentUrl }. El navegador del estudiante redirige a paymentUrl.</w:t>
      </w:r>
    </w:p>
    <w:p>
      <w:pPr>
        <w:pStyle w:val="ListParagraph"/>
        <w:numPr>
          <w:ilvl w:val="0"/>
          <w:numId w:val="1"/>
        </w:numPr>
        <w:spacing w:after="80"/>
      </w:pPr>
      <w:r>
        <w:t xml:space="preserve">6. El estudiante completa el pago en la página hospedada por la pasarela (fuera de nuestros servicios). Ningún dato de tarjeta pasa por ms-tutorias ni por ms-pagos.</w:t>
      </w:r>
    </w:p>
    <w:p>
      <w:pPr>
        <w:pStyle w:val="ListParagraph"/>
        <w:numPr>
          <w:ilvl w:val="0"/>
          <w:numId w:val="1"/>
        </w:numPr>
        <w:spacing w:after="80"/>
      </w:pPr>
      <w:r>
        <w:t xml:space="preserve">7. El proveedor confirma el resultado mediante un webhook a ms-pagos (POST /api/v1/pagos/webhook), aprobado o rechazado, o no confirma nada dentro del plazo máximo definido.</w:t>
      </w:r>
    </w:p>
    <w:p>
      <w:pPr>
        <w:pStyle w:val="ListParagraph"/>
        <w:numPr>
          <w:ilvl w:val="0"/>
          <w:numId w:val="1"/>
        </w:numPr>
        <w:spacing w:after="80"/>
      </w:pPr>
      <w:r>
        <w:t xml:space="preserve">8. ms-pagos valida la firma del webhook, actualiza su propio registro de intento y publica un único evento tutoria.pago.procesado con el campo resultado en APROBADO o RECHAZADO.</w:t>
      </w:r>
    </w:p>
    <w:p>
      <w:pPr>
        <w:pStyle w:val="ListParagraph"/>
        <w:numPr>
          <w:ilvl w:val="0"/>
          <w:numId w:val="1"/>
        </w:numPr>
        <w:spacing w:after="80"/>
      </w:pPr>
      <w:r>
        <w:t xml:space="preserve">9. ms-tutorias consume ese evento (con deduplicación vía Inbox, usando eventoId) y transiciona la tutoría a CONFIRMADA o CANCELADA_POR_PAGO, liberando el bloqueo de agenda en este último caso.</w:t>
      </w:r>
    </w:p>
    <w:p>
      <w:pPr>
        <w:pStyle w:val="ListParagraph"/>
        <w:numPr>
          <w:ilvl w:val="0"/>
          <w:numId w:val="1"/>
        </w:numPr>
        <w:spacing w:after="80"/>
      </w:pPr>
      <w:r>
        <w:t xml:space="preserve">10. ms-notificaciones consume el evento final y avisa al estudiante, igual que hoy.</w:t>
      </w:r>
    </w:p>
    <w:p>
      <w:pPr>
        <w:pStyle w:val="ListParagraph"/>
        <w:numPr>
          <w:ilvl w:val="0"/>
          <w:numId w:val="1"/>
        </w:numPr>
        <w:spacing w:after="80"/>
      </w:pPr>
      <w:r>
        <w:t xml:space="preserve">11. Si el estudiante abandona el checkout o el proveedor nunca confirma dentro del plazo máximo (por ejemplo 15 minutos), un job de expiración marca el intento como EXPIRADO, ms-pagos publica tutoria.pago.procesado con resultado RECHAZADO y motivo EXPIRADO, y ms-tutorias compensa liberando la agenda.</w:t>
      </w:r>
    </w:p>
    <w:p>
      <w:pPr>
        <w:spacing w:after="140"/>
      </w:pPr>
      <w:r>
        <w:t xml:space="preserve">Con este diseño ninguna transacción de base de datos queda abierta esperando una red externa: crear la tutoría y abrir la sesión de checkout son pasos cortos y locales; el pago en sí ocurre en la página del proveedor, y su resultado llega después, de forma asíncrona, sin bloquear ningún lock.</w:t>
      </w:r>
    </w:p>
    <w:p>
      <w:pPr>
        <w:pStyle w:val="Heading1"/>
        <w:spacing w:after="150" w:before="300"/>
      </w:pPr>
      <w:r>
        <w:t xml:space="preserve">5. Alternativas consideradas</w:t>
      </w:r>
    </w:p>
    <w:p>
      <w:pPr>
        <w:spacing w:after="140"/>
      </w:pPr>
      <w:r>
        <w:rPr>
          <w:b/>
          <w:bCs/>
        </w:rPr>
        <w:t xml:space="preserve">Alternativa elegida — Orquestación con confirmación diferida por eventos. </w:t>
      </w:r>
      <w:r>
        <w:rPr>
          <w:b w:val="false"/>
          <w:bCs w:val="false"/>
        </w:rPr>
        <w:t xml:space="preserve">ms-tutorias llama a ms-pagos solo para 'crear la intención de pago' (respuesta rápida, sin esperar al proveedor); el resultado final llega por evento. Se acepta porque separa 'aceptar la solicitud' de 'esperar al proveedor', mantiene baja la latencia percibida por el estudiante y evita transacciones largas.</w:t>
      </w:r>
    </w:p>
    <w:p>
      <w:pPr>
        <w:spacing w:after="140"/>
      </w:pPr>
      <w:r>
        <w:rPr>
          <w:b/>
          <w:bCs/>
        </w:rPr>
        <w:t xml:space="preserve">Alternativa descartada — Coreografía pura. </w:t>
      </w:r>
      <w:r>
        <w:rPr>
          <w:b w:val="false"/>
          <w:bCs w:val="false"/>
        </w:rPr>
        <w:t xml:space="preserve">Cada servicio publica y escucha eventos sin un orquestador central (agenda escucha 'tutoría creada', pagos escucha 'agenda bloqueada', etc.). Se descarta como diseño principal: con reglas de negocio claras y secuenciales (validar, bloquear, cobrar, confirmar), la coreografía pura dificulta saber 'quién decide qué' y complica el diagnóstico. Sí se conserva como estilo para el tramo pago → notificación, que ya funciona así hoy.</w:t>
      </w:r>
    </w:p>
    <w:p>
      <w:pPr>
        <w:spacing w:after="140"/>
      </w:pPr>
      <w:r>
        <w:rPr>
          <w:b/>
          <w:bCs/>
        </w:rPr>
        <w:t xml:space="preserve">Alternativa descartada — Transacción distribuida síncrona (la propuesta original / 2PC). </w:t>
      </w:r>
      <w:r>
        <w:rPr>
          <w:b w:val="false"/>
          <w:bCs w:val="false"/>
        </w:rPr>
        <w:t xml:space="preserve">Inviable porque el proveedor externo no participa en un protocolo de commit propio del sistema, y porque ata la disponibilidad de todo el flujo a la latencia de un tercero fuera de nuestro control.</w:t>
      </w:r>
    </w:p>
    <w:p>
      <w:pPr>
        <w:spacing w:after="140"/>
      </w:pPr>
      <w:r>
        <w:t xml:space="preserve">Se elige la primera alternativa porque conserva el patrón de orquestación que el sistema ya usa (ms-tutorias coordinando agenda y notificación) y solo añade el pago como un participante más de la Saga, sin introducir un mecanismo de coordinación nuevo y más complejo.</w:t>
      </w:r>
    </w:p>
    <w:p>
      <w:pPr>
        <w:pStyle w:val="Heading1"/>
        <w:spacing w:after="150" w:before="300"/>
      </w:pPr>
      <w:r>
        <w:t xml:space="preserve">6. Contratos</w:t>
      </w:r>
    </w:p>
    <w:p>
      <w:pPr>
        <w:spacing w:after="140"/>
      </w:pPr>
      <w:r>
        <w:t xml:space="preserve">Se usa un patrón de checkout hospedado por el proveedor: ms-tutorias nunca recibe datos de tarjeta, solo entrega al cliente una URL de pago (paymentUrl). El resultado final llega por un único evento de dominio, no por dos eventos separados de aprobado/rechazado, para mantener el contrato simple.</w:t>
      </w:r>
    </w:p>
    <w:p>
      <w:pPr>
        <w:pStyle w:val="Heading2"/>
        <w:spacing w:after="120" w:before="260"/>
      </w:pPr>
      <w:r>
        <w:t xml:space="preserve">HTTP POST /api/v1/tutorias (Solicitud de reserva y pago)</w:t>
      </w:r>
    </w:p>
    <w:p>
      <w:pPr>
        <w:spacing w:after="140"/>
      </w:pPr>
      <w:r>
        <w:t xml:space="preserve">El cliente inicia el flujo enviando un Idempotency-Key en el header. Esta llamada bloquea la agenda de forma síncrona (igual que hoy) y abre la sesión de checkout; no espera al proveedor de tarjeta.</w:t>
      </w:r>
    </w:p>
    <w:p>
      <w:pPr>
        <w:pStyle w:val="ListParagraph"/>
        <w:numPr>
          <w:ilvl w:val="0"/>
          <w:numId w:val="1"/>
        </w:numPr>
        <w:spacing w:after="80"/>
      </w:pPr>
      <w:r>
        <w:t xml:space="preserve">Headers: Idempotency-Key: uuid-unico-de-peticion</w:t>
      </w:r>
    </w:p>
    <w:p>
      <w:pPr>
        <w:pStyle w:val="ListParagraph"/>
        <w:numPr>
          <w:ilvl w:val="0"/>
          <w:numId w:val="1"/>
        </w:numPr>
        <w:spacing w:after="80"/>
      </w:pPr>
      <w:r>
        <w:t xml:space="preserve">Payload: { "estudianteId": 123, "tutorId": 456, "horarioId": 789 }</w:t>
      </w:r>
    </w:p>
    <w:p>
      <w:pPr>
        <w:pStyle w:val="ListParagraph"/>
        <w:numPr>
          <w:ilvl w:val="0"/>
          <w:numId w:val="1"/>
        </w:numPr>
        <w:spacing w:after="80"/>
      </w:pPr>
      <w:r>
        <w:t xml:space="preserve">Respuesta 202 Accepted: { "tutoriaId": "tut-999", "estado": "PENDIENTE_PAGO", "paymentUrl": "https://pasarela.com/checkout/token" }</w:t>
      </w:r>
    </w:p>
    <w:p>
      <w:pPr>
        <w:pStyle w:val="ListParagraph"/>
        <w:numPr>
          <w:ilvl w:val="0"/>
          <w:numId w:val="1"/>
        </w:numPr>
        <w:spacing w:after="80"/>
      </w:pPr>
      <w:r>
        <w:t xml:space="preserve">Errores: 409 si el horario ya está bloqueado (mismo criterio que ms-agenda hoy) · 422 si estudiante/tutor inválido · 400 si falta Idempotency-Key · 409 si la misma Idempotency-Key ya generó una tutoría distinta.</w:t>
      </w:r>
    </w:p>
    <w:p>
      <w:pPr>
        <w:pStyle w:val="Heading2"/>
        <w:spacing w:after="120" w:before="260"/>
      </w:pPr>
      <w:r>
        <w:t xml:space="preserve">HTTP POST /api/v1/pagos/webhook (Notificación del proveedor)</w:t>
      </w:r>
    </w:p>
    <w:p>
      <w:pPr>
        <w:spacing w:after="140"/>
      </w:pPr>
      <w:r>
        <w:t xml:space="preserve">Endpoint expuesto por ms-pagos. Recibe la confirmación asíncrona del proveedor externo cuando el estudiante termina el checkout.</w:t>
      </w:r>
    </w:p>
    <w:p>
      <w:pPr>
        <w:pStyle w:val="ListParagraph"/>
        <w:numPr>
          <w:ilvl w:val="0"/>
          <w:numId w:val="1"/>
        </w:numPr>
        <w:spacing w:after="80"/>
      </w:pPr>
      <w:r>
        <w:t xml:space="preserve">Exige firma/HMAC del proveedor en el header; rechaza con 401 cualquier payload sin firma válida.</w:t>
      </w:r>
    </w:p>
    <w:p>
      <w:pPr>
        <w:pStyle w:val="ListParagraph"/>
        <w:numPr>
          <w:ilvl w:val="0"/>
          <w:numId w:val="1"/>
        </w:numPr>
        <w:spacing w:after="80"/>
      </w:pPr>
      <w:r>
        <w:t xml:space="preserve">Es idempotente por transaccionId: si el proveedor reenvía el mismo webhook, se responde 200 sin reprocesar.</w:t>
      </w:r>
    </w:p>
    <w:p>
      <w:pPr>
        <w:pStyle w:val="Heading2"/>
        <w:spacing w:after="120" w:before="260"/>
      </w:pPr>
      <w:r>
        <w:t xml:space="preserve">Evento RabbitMQ: tutoria.pago.procesado</w:t>
      </w:r>
    </w:p>
    <w:p>
      <w:pPr>
        <w:spacing w:after="140"/>
      </w:pPr>
      <w:r>
        <w:t xml:space="preserve">Publicado por ms-pagos una sola vez que el webhook del proveedor confirma la transacción (aprobada o rechazada). Es el único evento de resultado; el campo resultado distingue el desenlace.</w:t>
      </w:r>
    </w:p>
    <w:p>
      <w:pPr>
        <w:pStyle w:val="ListParagraph"/>
        <w:numPr>
          <w:ilvl w:val="0"/>
          <w:numId w:val="1"/>
        </w:numPr>
        <w:spacing w:after="80"/>
      </w:pPr>
      <w:r>
        <w:t xml:space="preserve">{ "eventoId": "evt-555", "tutoriaId": "tut-999", "transaccionId": "tx-visa-001", "resultado": "APROBADO", "motivo": null, "timestamp": "2026-07-01T18:42:00Z", "correlationId": "corr-321" }</w:t>
      </w:r>
    </w:p>
    <w:p>
      <w:pPr>
        <w:pStyle w:val="ListParagraph"/>
        <w:numPr>
          <w:ilvl w:val="0"/>
          <w:numId w:val="1"/>
        </w:numPr>
        <w:spacing w:after="80"/>
      </w:pPr>
      <w:r>
        <w:t xml:space="preserve">resultado puede ser APROBADO, RECHAZADO o RECHAZADO con motivo EXPIRADO (cuando el estudiante no completó el checkout a tiempo).</w:t>
      </w:r>
    </w:p>
    <w:p>
      <w:pPr>
        <w:pStyle w:val="Heading2"/>
        <w:spacing w:after="120" w:before="260"/>
      </w:pPr>
      <w:r>
        <w:t xml:space="preserve">Versionamiento y compatibilidad</w:t>
      </w:r>
    </w:p>
    <w:p>
      <w:pPr>
        <w:pStyle w:val="ListParagraph"/>
        <w:numPr>
          <w:ilvl w:val="0"/>
          <w:numId w:val="1"/>
        </w:numPr>
        <w:spacing w:after="80"/>
      </w:pPr>
      <w:r>
        <w:t xml:space="preserve">Todos los endpoints usan el prefijo /api/v1/; un cambio incompatible se publica como /api/v2/ y ambas versiones conviven mientras los consumidores migran.</w:t>
      </w:r>
    </w:p>
    <w:p>
      <w:pPr>
        <w:pStyle w:val="ListParagraph"/>
        <w:numPr>
          <w:ilvl w:val="0"/>
          <w:numId w:val="1"/>
        </w:numPr>
        <w:spacing w:after="80"/>
      </w:pPr>
      <w:r>
        <w:t xml:space="preserve">Los campos nuevos se agregan como opcionales, tanto en HTTP como en el evento; no se eliminan campos existentes sin subir de versión.</w:t>
      </w:r>
    </w:p>
    <w:p>
      <w:pPr>
        <w:pStyle w:val="ListParagraph"/>
        <w:numPr>
          <w:ilvl w:val="0"/>
          <w:numId w:val="1"/>
        </w:numPr>
        <w:spacing w:after="80"/>
      </w:pPr>
      <w:r>
        <w:t xml:space="preserve">Los consumidores del evento tutoria.pago.procesado ignoran campos desconocidos (tolerant reader) para no romperse ante cambios aditivos, por ejemplo si más adelante se agrega el medio de pago usado.</w:t>
      </w:r>
    </w:p>
    <w:p>
      <w:pPr>
        <w:pStyle w:val="Heading1"/>
        <w:spacing w:after="150" w:before="300"/>
      </w:pPr>
      <w:r>
        <w:t xml:space="preserve">7. Manejo de fallas</w:t>
      </w:r>
    </w:p>
    <w:p>
      <w:pPr>
        <w:spacing w:after="140"/>
      </w:pPr>
      <w:r>
        <w:rPr>
          <w:b/>
          <w:bCs/>
        </w:rPr>
        <w:t xml:space="preserve">Idempotencia: </w:t>
      </w:r>
      <w:r>
        <w:rPr>
          <w:b w:val="false"/>
          <w:bCs w:val="false"/>
        </w:rPr>
        <w:t xml:space="preserve">el Idempotency-Key del cliente viaja hasta ms-pagos. Tanto ms-tutorias como ms-pagos guardan las claves ya procesadas; si la misma clave llega dos veces (doble clic, retry, refresh), se devuelve la respuesta anterior sin repetir el cobro ni duplicar la tutoría.</w:t>
      </w:r>
    </w:p>
    <w:p>
      <w:pPr>
        <w:spacing w:after="140"/>
      </w:pPr>
      <w:r>
        <w:rPr>
          <w:b/>
          <w:bCs/>
        </w:rPr>
        <w:t xml:space="preserve">Inbox: </w:t>
      </w:r>
      <w:r>
        <w:rPr>
          <w:b w:val="false"/>
          <w:bCs w:val="false"/>
        </w:rPr>
        <w:t xml:space="preserve">ms-tutorias guarda una tabla Inbox con los eventoId de tutoria.pago.procesado ya procesados. Si el mismo evento llega dos veces (reintento del broker, redelivery), se descarta sin volver a transicionar el estado de la tutoría.</w:t>
      </w:r>
    </w:p>
    <w:p>
      <w:pPr>
        <w:spacing w:after="140"/>
      </w:pPr>
      <w:r>
        <w:rPr>
          <w:b/>
          <w:bCs/>
        </w:rPr>
        <w:t xml:space="preserve">Idempotencia del webhook: </w:t>
      </w:r>
      <w:r>
        <w:rPr>
          <w:b w:val="false"/>
          <w:bCs w:val="false"/>
        </w:rPr>
        <w:t xml:space="preserve">ms-pagos deduplica por transaccionId. Si el proveedor reenvía el mismo webhook (algo común en pasarelas reales), se responde 200 sin publicar un segundo tutoria.pago.procesado.</w:t>
      </w:r>
    </w:p>
    <w:p>
      <w:pPr>
        <w:spacing w:after="140"/>
      </w:pPr>
      <w:r>
        <w:rPr>
          <w:b/>
          <w:bCs/>
        </w:rPr>
        <w:t xml:space="preserve">Timeouts y expiración del checkout: </w:t>
      </w:r>
      <w:r>
        <w:rPr>
          <w:b w:val="false"/>
          <w:bCs w:val="false"/>
        </w:rPr>
        <w:t xml:space="preserve">la sesión de pago (paymentUrl) tiene un plazo máximo de validez, por ejemplo 15 minutos. Si el estudiante no completa el pago o el proveedor no confirma en ese plazo, un job de expiración cierra el intento como EXPIRADO y ms-pagos publica tutoria.pago.procesado con resultado RECHAZADO, motivo EXPIRADO.</w:t>
      </w:r>
    </w:p>
    <w:p>
      <w:pPr>
        <w:spacing w:after="140"/>
      </w:pPr>
      <w:r>
        <w:rPr>
          <w:b/>
          <w:bCs/>
        </w:rPr>
        <w:t xml:space="preserve">Compensación: </w:t>
      </w:r>
      <w:r>
        <w:rPr>
          <w:b w:val="false"/>
          <w:bCs w:val="false"/>
        </w:rPr>
        <w:t xml:space="preserve">si el resultado es RECHAZADO (por el proveedor o por expiración), ms-tutorias libera el bloqueo en ms-agenda y marca la tutoría como CANCELADA_POR_PAGO. Si el proveedor confirma APROBADO después de que la tutoría ya se canceló, no se reactiva automáticamente: se dispara un reembolso y la tutoría queda en CONFIRMADA_CON_REEMBOLSO.</w:t>
      </w:r>
    </w:p>
    <w:p>
      <w:pPr>
        <w:spacing w:after="140"/>
      </w:pPr>
      <w:r>
        <w:rPr>
          <w:b/>
          <w:bCs/>
        </w:rPr>
        <w:t xml:space="preserve">DLQ: </w:t>
      </w:r>
      <w:r>
        <w:rPr>
          <w:b w:val="false"/>
          <w:bCs w:val="false"/>
        </w:rPr>
        <w:t xml:space="preserve">si tutoria.pago.procesado no puede procesarse tras los reintentos configurados, se mueve a una cola de error (dead-letter) para revisión manual, igual que ya contempla el proyecto para notificaciones, de modo que ninguna falla se pierda en silencio.</w:t>
      </w:r>
    </w:p>
    <w:p>
      <w:pPr>
        <w:pStyle w:val="Heading2"/>
        <w:spacing w:after="120" w:before="260"/>
      </w:pPr>
      <w:r>
        <w:t xml:space="preserve">Estados de la tutoría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4E79" w:color="auto" w:val="clear"/>
            <w:tcMar>
              <w:top w:type="dxa" w:w="80"/>
              <w:left w:type="dxa" w:w="100"/>
              <w:bottom w:type="dxa" w:w="80"/>
              <w:right w:type="dxa" w:w="100"/>
            </w:tcMar>
          </w:tcPr>
          <w:p>
            <w:r>
              <w:rPr>
                <w:b/>
                <w:bCs/>
                <w:color w:val="FFFFFF"/>
                <w:sz w:val="20"/>
                <w:szCs w:val="20"/>
              </w:rPr>
              <w:t xml:space="preserve">Estado</w:t>
            </w:r>
          </w:p>
        </w:tc>
        <w:tc>
          <w:tcPr>
            <w:tcW w:type="dxa" w:w="6000"/>
            <w:shd w:fill="1F4E79" w:color="auto" w:val="clear"/>
            <w:tcMar>
              <w:top w:type="dxa" w:w="80"/>
              <w:left w:type="dxa" w:w="100"/>
              <w:bottom w:type="dxa" w:w="80"/>
              <w:right w:type="dxa" w:w="100"/>
            </w:tcMar>
          </w:tcPr>
          <w:p>
            <w:r>
              <w:rPr>
                <w:b/>
                <w:bCs/>
                <w:color w:val="FFFFFF"/>
                <w:sz w:val="20"/>
                <w:szCs w:val="20"/>
              </w:rPr>
              <w:t xml:space="preserve">Cuándo ocurre</w:t>
            </w:r>
          </w:p>
        </w:tc>
      </w:tr>
      <w:tr>
        <w:tc>
          <w:tcPr>
            <w:tcW w:type="dxa" w:w="3200"/>
            <w:tcMar>
              <w:top w:type="dxa" w:w="80"/>
              <w:left w:type="dxa" w:w="100"/>
              <w:bottom w:type="dxa" w:w="80"/>
              <w:right w:type="dxa" w:w="100"/>
            </w:tcMar>
          </w:tcPr>
          <w:p>
            <w:r>
              <w:rPr>
                <w:b w:val="false"/>
                <w:bCs w:val="false"/>
                <w:sz w:val="20"/>
                <w:szCs w:val="20"/>
              </w:rPr>
              <w:t xml:space="preserve">PENDIENTE_PAGO</w:t>
            </w:r>
          </w:p>
        </w:tc>
        <w:tc>
          <w:tcPr>
            <w:tcW w:type="dxa" w:w="6000"/>
            <w:tcMar>
              <w:top w:type="dxa" w:w="80"/>
              <w:left w:type="dxa" w:w="100"/>
              <w:bottom w:type="dxa" w:w="80"/>
              <w:right w:type="dxa" w:w="100"/>
            </w:tcMar>
          </w:tcPr>
          <w:p>
            <w:r>
              <w:rPr>
                <w:b w:val="false"/>
                <w:bCs w:val="false"/>
                <w:sz w:val="20"/>
                <w:szCs w:val="20"/>
              </w:rPr>
              <w:t xml:space="preserve">Agenda bloqueada, tutoría creada, esperando resultado del proveedor.</w:t>
            </w:r>
          </w:p>
        </w:tc>
      </w:tr>
      <w:tr>
        <w:tc>
          <w:tcPr>
            <w:tcW w:type="dxa" w:w="3200"/>
            <w:shd w:fill="F2F2F2" w:color="auto" w:val="clear"/>
            <w:tcMar>
              <w:top w:type="dxa" w:w="80"/>
              <w:left w:type="dxa" w:w="100"/>
              <w:bottom w:type="dxa" w:w="80"/>
              <w:right w:type="dxa" w:w="100"/>
            </w:tcMar>
          </w:tcPr>
          <w:p>
            <w:r>
              <w:rPr>
                <w:b w:val="false"/>
                <w:bCs w:val="false"/>
                <w:sz w:val="20"/>
                <w:szCs w:val="20"/>
              </w:rPr>
              <w:t xml:space="preserve">CONFIRMADA</w:t>
            </w:r>
          </w:p>
        </w:tc>
        <w:tc>
          <w:tcPr>
            <w:tcW w:type="dxa" w:w="6000"/>
            <w:shd w:fill="F2F2F2" w:color="auto" w:val="clear"/>
            <w:tcMar>
              <w:top w:type="dxa" w:w="80"/>
              <w:left w:type="dxa" w:w="100"/>
              <w:bottom w:type="dxa" w:w="80"/>
              <w:right w:type="dxa" w:w="100"/>
            </w:tcMar>
          </w:tcPr>
          <w:p>
            <w:r>
              <w:rPr>
                <w:b w:val="false"/>
                <w:bCs w:val="false"/>
                <w:sz w:val="20"/>
                <w:szCs w:val="20"/>
              </w:rPr>
              <w:t xml:space="preserve">Pago aprobado dentro del plazo.</w:t>
            </w:r>
          </w:p>
        </w:tc>
      </w:tr>
      <w:tr>
        <w:tc>
          <w:tcPr>
            <w:tcW w:type="dxa" w:w="3200"/>
            <w:tcMar>
              <w:top w:type="dxa" w:w="80"/>
              <w:left w:type="dxa" w:w="100"/>
              <w:bottom w:type="dxa" w:w="80"/>
              <w:right w:type="dxa" w:w="100"/>
            </w:tcMar>
          </w:tcPr>
          <w:p>
            <w:r>
              <w:rPr>
                <w:b w:val="false"/>
                <w:bCs w:val="false"/>
                <w:sz w:val="20"/>
                <w:szCs w:val="20"/>
              </w:rPr>
              <w:t xml:space="preserve">CANCELADA_POR_PAGO</w:t>
            </w:r>
          </w:p>
        </w:tc>
        <w:tc>
          <w:tcPr>
            <w:tcW w:type="dxa" w:w="6000"/>
            <w:tcMar>
              <w:top w:type="dxa" w:w="80"/>
              <w:left w:type="dxa" w:w="100"/>
              <w:bottom w:type="dxa" w:w="80"/>
              <w:right w:type="dxa" w:w="100"/>
            </w:tcMar>
          </w:tcPr>
          <w:p>
            <w:r>
              <w:rPr>
                <w:b w:val="false"/>
                <w:bCs w:val="false"/>
                <w:sz w:val="20"/>
                <w:szCs w:val="20"/>
              </w:rPr>
              <w:t xml:space="preserve">Pago rechazado o expirado; agenda liberada.</w:t>
            </w:r>
          </w:p>
        </w:tc>
      </w:tr>
      <w:tr>
        <w:tc>
          <w:tcPr>
            <w:tcW w:type="dxa" w:w="3200"/>
            <w:shd w:fill="F2F2F2" w:color="auto" w:val="clear"/>
            <w:tcMar>
              <w:top w:type="dxa" w:w="80"/>
              <w:left w:type="dxa" w:w="100"/>
              <w:bottom w:type="dxa" w:w="80"/>
              <w:right w:type="dxa" w:w="100"/>
            </w:tcMar>
          </w:tcPr>
          <w:p>
            <w:r>
              <w:rPr>
                <w:b w:val="false"/>
                <w:bCs w:val="false"/>
                <w:sz w:val="20"/>
                <w:szCs w:val="20"/>
              </w:rPr>
              <w:t xml:space="preserve">CONFIRMADA_CON_REEMBOLSO</w:t>
            </w:r>
          </w:p>
        </w:tc>
        <w:tc>
          <w:tcPr>
            <w:tcW w:type="dxa" w:w="6000"/>
            <w:shd w:fill="F2F2F2" w:color="auto" w:val="clear"/>
            <w:tcMar>
              <w:top w:type="dxa" w:w="80"/>
              <w:left w:type="dxa" w:w="100"/>
              <w:bottom w:type="dxa" w:w="80"/>
              <w:right w:type="dxa" w:w="100"/>
            </w:tcMar>
          </w:tcPr>
          <w:p>
            <w:r>
              <w:rPr>
                <w:b w:val="false"/>
                <w:bCs w:val="false"/>
                <w:sz w:val="20"/>
                <w:szCs w:val="20"/>
              </w:rPr>
              <w:t xml:space="preserve">Pago aprobado tarde, tras cancelación; se reembolsa en vez de revivir la tutoría.</w:t>
            </w:r>
          </w:p>
        </w:tc>
      </w:tr>
    </w:tbl>
    <w:p>
      <w:pPr>
        <w:spacing w:after="200"/>
      </w:pPr>
    </w:p>
    <w:p>
      <w:pPr>
        <w:pStyle w:val="Heading1"/>
        <w:spacing w:after="150" w:before="300"/>
      </w:pPr>
      <w:r>
        <w:t xml:space="preserve">8. Observabilidad</w:t>
      </w:r>
    </w:p>
    <w:p>
      <w:pPr>
        <w:spacing w:after="140"/>
      </w:pPr>
      <w:r>
        <w:rPr>
          <w:b/>
          <w:bCs/>
        </w:rPr>
        <w:t xml:space="preserve">Correlation ID: </w:t>
      </w:r>
      <w:r>
        <w:rPr>
          <w:b w:val="false"/>
          <w:bCs w:val="false"/>
        </w:rPr>
        <w:t xml:space="preserve">cada solicitud genera un X-Correlation-ID en ms-tutorias, igual que hoy soporta el tracking-dashboard. Ese correlationId se entrega dentro de paymentUrl como parámetro de retorno, y ms-pagos lo incluye en el evento tutoria.pago.procesado, para poder rastrear una misma solicitud desde el clic inicial hasta la confirmación del webhook.</w:t>
      </w:r>
    </w:p>
    <w:p>
      <w:pPr>
        <w:spacing w:after="140"/>
      </w:pPr>
      <w:r>
        <w:rPr>
          <w:b/>
          <w:bCs/>
        </w:rPr>
        <w:t xml:space="preserve">Logs estructurados: </w:t>
      </w:r>
      <w:r>
        <w:rPr>
          <w:b w:val="false"/>
          <w:bCs w:val="false"/>
        </w:rPr>
        <w:t xml:space="preserve">cada servicio registra en formato JSON el correlationId, el eventoId o transaccionId, el estado anterior y el nuevo, y el resultado de la operación, permitiendo reconstruir la línea de tiempo completa de una tutoría pagada.</w:t>
      </w:r>
    </w:p>
    <w:p>
      <w:pPr>
        <w:spacing w:after="140"/>
      </w:pPr>
      <w:r>
        <w:rPr>
          <w:b/>
          <w:bCs/>
        </w:rPr>
        <w:t xml:space="preserve">Métricas (Prometheus): </w:t>
      </w:r>
      <w:r>
        <w:rPr>
          <w:b w:val="false"/>
          <w:bCs w:val="false"/>
        </w:rPr>
        <w:t xml:space="preserve">tasa de resultados APROBADO/RECHAZADO/EXPIRADO, latencia entre la creación del checkout y la llegada del webhook, tamaño de la DLQ de pagos y cantidad de sesiones de checkout abandonadas. Se configuran alertas si la DLQ crece o si la tasa de EXPIRADO sube de forma inusual (señal de que el proveedor está degradado).</w:t>
      </w:r>
    </w:p>
    <w:p>
      <w:pPr>
        <w:spacing w:after="140"/>
      </w:pPr>
      <w:r>
        <w:rPr>
          <w:b/>
          <w:bCs/>
        </w:rPr>
        <w:t xml:space="preserve">Trazas distribuidas: </w:t>
      </w:r>
      <w:r>
        <w:rPr>
          <w:b w:val="false"/>
          <w:bCs w:val="false"/>
        </w:rPr>
        <w:t xml:space="preserve">el correlationId se propaga entre ms-tutorias, ms-pagos y los consumidores del evento tutoria.pago.procesado, permitiendo ver en una sola vista el recorrido completo de una solicitud, similar a lo que hoy hace el dashboard para agenda y notificación.</w:t>
      </w:r>
    </w:p>
    <w:p>
      <w:pPr>
        <w:spacing w:after="140"/>
      </w:pPr>
      <w:r>
        <w:rPr>
          <w:b/>
          <w:bCs/>
        </w:rPr>
        <w:t xml:space="preserve">Diagnóstico de incidentes: </w:t>
      </w:r>
      <w:r>
        <w:rPr>
          <w:b w:val="false"/>
          <w:bCs w:val="false"/>
        </w:rPr>
        <w:t xml:space="preserve">ante un reclamo tipo 'me cobraron pero no tengo tutoría', el procedimiento es: buscar el transaccionId o correlationId en logs, revisar el estado del intento en ms-pagos y el estado de la tutoría en ms-tutorias, y si están desalineados, revisar la Inbox pendiente y la DLQ.</w:t>
      </w:r>
    </w:p>
    <w:p>
      <w:pPr>
        <w:pStyle w:val="Heading1"/>
        <w:spacing w:after="150" w:before="300"/>
      </w:pPr>
      <w:r>
        <w:t xml:space="preserve">9. Seguridad</w:t>
      </w:r>
    </w:p>
    <w:p>
      <w:pPr>
        <w:spacing w:after="140"/>
      </w:pPr>
      <w:r>
        <w:rPr>
          <w:b/>
          <w:bCs/>
        </w:rPr>
        <w:t xml:space="preserve">Límites de confianza: </w:t>
      </w:r>
      <w:r>
        <w:rPr>
          <w:b w:val="false"/>
          <w:bCs w:val="false"/>
        </w:rPr>
        <w:t xml:space="preserve">el proveedor externo es una zona no confiable; cualquier dato que llegue desde él (callback) se valida con firma/HMAC antes de actuar. ms-tutorias nunca llama directamente al proveedor; solo ms-pagos cruza ese límite.</w:t>
      </w:r>
    </w:p>
    <w:p>
      <w:pPr>
        <w:spacing w:after="140"/>
      </w:pPr>
      <w:r>
        <w:rPr>
          <w:b/>
          <w:bCs/>
        </w:rPr>
        <w:t xml:space="preserve">Datos sensibles: </w:t>
      </w:r>
      <w:r>
        <w:rPr>
          <w:b w:val="false"/>
          <w:bCs w:val="false"/>
        </w:rPr>
        <w:t xml:space="preserve">al usar un checkout hospedado por el proveedor, el número de tarjeta y el CVV se capturan directamente en la página de la pasarela (pasarela.com) y nunca llegan a ms-tutorias, a ms-pagos, a RabbitMQ, a los logs ni al dashboard. Esto reduce el alcance de cumplimiento de datos de tarjeta al nivel más bajo posible (equivalente a SAQ A en PCI-DSS), porque ningún servicio propio procesa ni almacena datos de tarjeta.</w:t>
      </w:r>
    </w:p>
    <w:p>
      <w:pPr>
        <w:spacing w:after="140"/>
      </w:pPr>
      <w:r>
        <w:rPr>
          <w:b/>
          <w:bCs/>
        </w:rPr>
        <w:t xml:space="preserve">Autenticación entre servicios: </w:t>
      </w:r>
      <w:r>
        <w:rPr>
          <w:b w:val="false"/>
          <w:bCs w:val="false"/>
        </w:rPr>
        <w:t xml:space="preserve">igual que hoy ms-auth emite JWT para el usuario final, se añade autenticación servicio a servicio (JWT de servicio o mTLS interno) para que ms-pagos verifique que la solicitud de abrir un checkout proviene realmente de ms-tutorias. Solo ms-tutorias puede iniciar una sesión de pago; ningún cliente externo llama a ms-pagos directamente.</w:t>
      </w:r>
    </w:p>
    <w:p>
      <w:pPr>
        <w:spacing w:after="140"/>
      </w:pPr>
      <w:r>
        <w:rPr>
          <w:b/>
          <w:bCs/>
        </w:rPr>
        <w:t xml:space="preserve">Webhook del proveedor: </w:t>
      </w:r>
      <w:r>
        <w:rPr>
          <w:b w:val="false"/>
          <w:bCs w:val="false"/>
        </w:rPr>
        <w:t xml:space="preserve">el endpoint POST /api/v1/pagos/webhook exige verificación de firma/HMAC, rechaza payloads no firmados con 401, y es idempotente por transaccionId para tolerar reintentos del propio proveedor sin duplicar efectos.</w:t>
      </w:r>
    </w:p>
    <w:p>
      <w:pPr>
        <w:spacing w:after="140"/>
      </w:pPr>
      <w:r>
        <w:rPr>
          <w:b/>
          <w:bCs/>
        </w:rPr>
        <w:t xml:space="preserve">Secretos: </w:t>
      </w:r>
      <w:r>
        <w:rPr>
          <w:b w:val="false"/>
          <w:bCs w:val="false"/>
        </w:rPr>
        <w:t xml:space="preserve">las credenciales del proveedor y las claves HMAC se gestionan como secretos (variables de entorno inyectadas de forma segura o un vault), nunca dentro del repositorio ni en los logs.</w:t>
      </w:r>
    </w:p>
    <w:p>
      <w:pPr>
        <w:pStyle w:val="Heading1"/>
        <w:spacing w:after="150" w:before="300"/>
      </w:pPr>
      <w:r>
        <w:t xml:space="preserve">10. Despliegue y costo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6000"/>
      </w:tblGrid>
      <w:tr>
        <w:trPr>
          <w:tblHeader/>
        </w:trPr>
        <w:tc>
          <w:tcPr>
            <w:tcW w:type="dxa" w:w="3200"/>
            <w:shd w:fill="1F4E79" w:color="auto" w:val="clear"/>
            <w:tcMar>
              <w:top w:type="dxa" w:w="80"/>
              <w:left w:type="dxa" w:w="100"/>
              <w:bottom w:type="dxa" w:w="80"/>
              <w:right w:type="dxa" w:w="100"/>
            </w:tcMar>
          </w:tcPr>
          <w:p>
            <w:r>
              <w:rPr>
                <w:b/>
                <w:bCs/>
                <w:color w:val="FFFFFF"/>
                <w:sz w:val="20"/>
                <w:szCs w:val="20"/>
              </w:rPr>
              <w:t xml:space="preserve">Opción</w:t>
            </w:r>
          </w:p>
        </w:tc>
        <w:tc>
          <w:tcPr>
            <w:tcW w:type="dxa" w:w="6000"/>
            <w:shd w:fill="1F4E79" w:color="auto" w:val="clear"/>
            <w:tcMar>
              <w:top w:type="dxa" w:w="80"/>
              <w:left w:type="dxa" w:w="100"/>
              <w:bottom w:type="dxa" w:w="80"/>
              <w:right w:type="dxa" w:w="100"/>
            </w:tcMar>
          </w:tcPr>
          <w:p>
            <w:r>
              <w:rPr>
                <w:b/>
                <w:bCs/>
                <w:color w:val="FFFFFF"/>
                <w:sz w:val="20"/>
                <w:szCs w:val="20"/>
              </w:rPr>
              <w:t xml:space="preserve">Dónde encaja y por qué</w:t>
            </w:r>
          </w:p>
        </w:tc>
      </w:tr>
      <w:tr>
        <w:tc>
          <w:tcPr>
            <w:tcW w:type="dxa" w:w="3200"/>
            <w:tcMar>
              <w:top w:type="dxa" w:w="80"/>
              <w:left w:type="dxa" w:w="100"/>
              <w:bottom w:type="dxa" w:w="80"/>
              <w:right w:type="dxa" w:w="100"/>
            </w:tcMar>
          </w:tcPr>
          <w:p>
            <w:r>
              <w:rPr>
                <w:b w:val="false"/>
                <w:bCs w:val="false"/>
                <w:sz w:val="20"/>
                <w:szCs w:val="20"/>
              </w:rPr>
              <w:t xml:space="preserve">Contenedores (Docker Compose / Kubernetes)</w:t>
            </w:r>
          </w:p>
        </w:tc>
        <w:tc>
          <w:tcPr>
            <w:tcW w:type="dxa" w:w="6000"/>
            <w:tcMar>
              <w:top w:type="dxa" w:w="80"/>
              <w:left w:type="dxa" w:w="100"/>
              <w:bottom w:type="dxa" w:w="80"/>
              <w:right w:type="dxa" w:w="100"/>
            </w:tcMar>
          </w:tcPr>
          <w:p>
            <w:r>
              <w:rPr>
                <w:b w:val="false"/>
                <w:bCs w:val="false"/>
                <w:sz w:val="20"/>
                <w:szCs w:val="20"/>
              </w:rPr>
              <w:t xml:space="preserve">ms-tutorias, ms-usuarios y ms-agenda: tráfico estable, necesitan locks de agenda consistentes y control fino de recursos.</w:t>
            </w:r>
          </w:p>
        </w:tc>
      </w:tr>
      <w:tr>
        <w:tc>
          <w:tcPr>
            <w:tcW w:type="dxa" w:w="3200"/>
            <w:shd w:fill="F2F2F2" w:color="auto" w:val="clear"/>
            <w:tcMar>
              <w:top w:type="dxa" w:w="80"/>
              <w:left w:type="dxa" w:w="100"/>
              <w:bottom w:type="dxa" w:w="80"/>
              <w:right w:type="dxa" w:w="100"/>
            </w:tcMar>
          </w:tcPr>
          <w:p>
            <w:r>
              <w:rPr>
                <w:b w:val="false"/>
                <w:bCs w:val="false"/>
                <w:sz w:val="20"/>
                <w:szCs w:val="20"/>
              </w:rPr>
              <w:t xml:space="preserve">PaaS (plataforma de contenedores administrada)</w:t>
            </w:r>
          </w:p>
        </w:tc>
        <w:tc>
          <w:tcPr>
            <w:tcW w:type="dxa" w:w="6000"/>
            <w:shd w:fill="F2F2F2" w:color="auto" w:val="clear"/>
            <w:tcMar>
              <w:top w:type="dxa" w:w="80"/>
              <w:left w:type="dxa" w:w="100"/>
              <w:bottom w:type="dxa" w:w="80"/>
              <w:right w:type="dxa" w:w="100"/>
            </w:tcMar>
          </w:tcPr>
          <w:p>
            <w:r>
              <w:rPr>
                <w:b w:val="false"/>
                <w:bCs w:val="false"/>
                <w:sz w:val="20"/>
                <w:szCs w:val="20"/>
              </w:rPr>
              <w:t xml:space="preserve">Reduce la carga operativa de mantener el clúster; buen equilibrio para los servicios de validación con tráfico predecible.</w:t>
            </w:r>
          </w:p>
        </w:tc>
      </w:tr>
      <w:tr>
        <w:tc>
          <w:tcPr>
            <w:tcW w:type="dxa" w:w="3200"/>
            <w:tcMar>
              <w:top w:type="dxa" w:w="80"/>
              <w:left w:type="dxa" w:w="100"/>
              <w:bottom w:type="dxa" w:w="80"/>
              <w:right w:type="dxa" w:w="100"/>
            </w:tcMar>
          </w:tcPr>
          <w:p>
            <w:r>
              <w:rPr>
                <w:b w:val="false"/>
                <w:bCs w:val="false"/>
                <w:sz w:val="20"/>
                <w:szCs w:val="20"/>
              </w:rPr>
              <w:t xml:space="preserve">Serverless (funciones)</w:t>
            </w:r>
          </w:p>
        </w:tc>
        <w:tc>
          <w:tcPr>
            <w:tcW w:type="dxa" w:w="6000"/>
            <w:tcMar>
              <w:top w:type="dxa" w:w="80"/>
              <w:left w:type="dxa" w:w="100"/>
              <w:bottom w:type="dxa" w:w="80"/>
              <w:right w:type="dxa" w:w="100"/>
            </w:tcMar>
          </w:tcPr>
          <w:p>
            <w:r>
              <w:rPr>
                <w:b w:val="false"/>
                <w:bCs w:val="false"/>
                <w:sz w:val="20"/>
                <w:szCs w:val="20"/>
              </w:rPr>
              <w:t xml:space="preserve">ms-pagos y el worker de callbacks: tráfico variable con picos (matrícula), carga dominada por espera de red; escala a cero en horas valle y absorbe picos sin sobreaprovisionar.</w:t>
            </w:r>
          </w:p>
        </w:tc>
      </w:tr>
    </w:tbl>
    <w:p>
      <w:pPr>
        <w:spacing w:after="200"/>
      </w:pPr>
    </w:p>
    <w:p>
      <w:pPr>
        <w:spacing w:after="140"/>
      </w:pPr>
      <w:r>
        <w:t xml:space="preserve">Recomendación: mantener ms-tutorias, ms-usuarios y ms-agenda en contenedores o PaaS, y mover ms-pagos junto con el worker de callbacks a un esquema serverless o de autoescalado agresivo, ya que su carga es más intermitente y su costo por invocación conviene frente a tener instancias siempre encendidas. RabbitMQ se mantiene como servicio administrado para no perder eventos durante despliegues o migraciones.</w:t>
      </w:r>
    </w:p>
    <w:p>
      <w:pPr>
        <w:spacing w:after="140"/>
      </w:pPr>
      <w:r>
        <w:t xml:space="preserve">El diseño con Saga y eventos agrega el costo operativo de mantener Outbox, Inbox, DLQ y monitoreo adicional; ese costo es menor que el riesgo de doble cobro, reclamos y bloqueos de base de datos que tenía el diseño original.</w:t>
      </w:r>
    </w:p>
    <w:p>
      <w:pPr>
        <w:pStyle w:val="Heading1"/>
        <w:spacing w:after="150" w:before="300"/>
      </w:pPr>
      <w:r>
        <w:t xml:space="preserve">11. Decisión</w:t>
      </w:r>
    </w:p>
    <w:p>
      <w:pPr>
        <w:spacing w:after="140"/>
      </w:pPr>
      <w:r>
        <w:t xml:space="preserve">Se recomienda reemplazar la transacción distribuida síncrona por una Saga orquestada por ms-tutorias, con ms-pagos como dueño exclusivo del contacto con el proveedor externo mediante un checkout hospedado. La llamada inicial es HTTP corta (crear la sesión de checkout) y la confirmación final llega por un único evento tutoria.pago.procesado, apoyada en Idempotency-Key, deduplicación por Inbox y DLQ.</w:t>
      </w:r>
    </w:p>
    <w:p>
      <w:pPr>
        <w:pStyle w:val="Heading2"/>
        <w:spacing w:after="120" w:before="260"/>
      </w:pPr>
      <w:r>
        <w:t xml:space="preserve">Riesgos residuales</w:t>
      </w:r>
    </w:p>
    <w:p>
      <w:pPr>
        <w:pStyle w:val="ListParagraph"/>
        <w:numPr>
          <w:ilvl w:val="0"/>
          <w:numId w:val="1"/>
        </w:numPr>
        <w:spacing w:after="80"/>
      </w:pPr>
      <w:r>
        <w:t xml:space="preserve">Las aprobaciones tardías después de una cancelación seguirán ocurriendo; se mitigan con reembolso automático, no se eliminan por completo.</w:t>
      </w:r>
    </w:p>
    <w:p>
      <w:pPr>
        <w:pStyle w:val="ListParagraph"/>
        <w:numPr>
          <w:ilvl w:val="0"/>
          <w:numId w:val="1"/>
        </w:numPr>
        <w:spacing w:after="80"/>
      </w:pPr>
      <w:r>
        <w:t xml:space="preserve">La complejidad operativa aumenta frente al diseño original (más colas, más estados), lo que exige mantener buena observabilidad para no perder trazabilidad.</w:t>
      </w:r>
    </w:p>
    <w:p>
      <w:pPr>
        <w:pStyle w:val="Heading2"/>
        <w:spacing w:after="120" w:before="260"/>
      </w:pPr>
      <w:r>
        <w:t xml:space="preserve">Condiciones para revisar esta decisión</w:t>
      </w:r>
    </w:p>
    <w:p>
      <w:pPr>
        <w:pStyle w:val="ListParagraph"/>
        <w:numPr>
          <w:ilvl w:val="0"/>
          <w:numId w:val="1"/>
        </w:numPr>
        <w:spacing w:after="80"/>
      </w:pPr>
      <w:r>
        <w:t xml:space="preserve">Si el volumen de pagos crece y el tráfico de ms-pagos deja de tener picos y se vuelve constante, conviene reevaluar serverless frente a contenedores dedicados.</w:t>
      </w:r>
    </w:p>
    <w:p>
      <w:pPr>
        <w:pStyle w:val="ListParagraph"/>
        <w:numPr>
          <w:ilvl w:val="0"/>
          <w:numId w:val="1"/>
        </w:numPr>
        <w:spacing w:after="80"/>
      </w:pPr>
      <w:r>
        <w:t xml:space="preserve">Si el proveedor de pagos ofrece garantías de latencia muy bajas y confiables, se podría simplificar el flujo síncrono inicial, siempre sin abrir una transacción de base de datos que espere a un tercero externo.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2026-07-02T00:36:37.493Z</dcterms:created>
  <dcterms:modified xsi:type="dcterms:W3CDTF">2026-07-02T00:36:37.506Z</dcterms:modified>
</cp:coreProperties>
</file>

<file path=docProps/custom.xml><?xml version="1.0" encoding="utf-8"?>
<Properties xmlns="http://schemas.openxmlformats.org/officeDocument/2006/custom-properties" xmlns:vt="http://schemas.openxmlformats.org/officeDocument/2006/docPropsVTypes"/>
</file>