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INFORMATIVOS:</w:t>
      </w:r>
      <w:r w:rsidDel="00000000" w:rsidR="00000000" w:rsidRPr="00000000">
        <w:rPr>
          <w:rtl w:val="0"/>
        </w:rPr>
      </w:r>
    </w:p>
    <w:tbl>
      <w:tblPr>
        <w:tblStyle w:val="Table1"/>
        <w:tblW w:w="94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0"/>
        <w:gridCol w:w="5049"/>
        <w:tblGridChange w:id="0">
          <w:tblGrid>
            <w:gridCol w:w="4430"/>
            <w:gridCol w:w="5049"/>
          </w:tblGrid>
        </w:tblGridChange>
      </w:tblGrid>
      <w:tr>
        <w:trPr>
          <w:cantSplit w:val="0"/>
          <w:trHeight w:val="272" w:hRule="atLeast"/>
          <w:tblHeader w:val="1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CARRERA: </w:t>
            </w:r>
            <w:r w:rsidDel="00000000" w:rsidR="00000000" w:rsidRPr="00000000">
              <w:rPr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PERIODO LECTIVO: </w:t>
            </w:r>
            <w:r w:rsidDel="00000000" w:rsidR="00000000" w:rsidRPr="00000000">
              <w:rPr>
                <w:rtl w:val="0"/>
              </w:rPr>
              <w:t xml:space="preserve">Mayo 2022- Octubre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 de empresa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JORNADA: </w:t>
            </w:r>
            <w:r w:rsidDel="00000000" w:rsidR="00000000" w:rsidRPr="00000000">
              <w:rPr>
                <w:rtl w:val="0"/>
              </w:rPr>
              <w:t xml:space="preserve">Matutino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PERÍODO ACADÉMICO: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Tercero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PARALELO: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Sani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" w:hRule="atLeast"/>
          <w:tblHeader w:val="1"/>
        </w:trPr>
        <w:tc>
          <w:tcPr>
            <w:gridSpan w:val="2"/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2022-06-21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TALLER N2</w:t>
      </w:r>
    </w:p>
    <w:p w:rsidR="00000000" w:rsidDel="00000000" w:rsidP="00000000" w:rsidRDefault="00000000" w:rsidRPr="00000000" w14:paraId="0000000E">
      <w:pPr>
        <w:shd w:fill="ffffff" w:val="clear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Consultar Sobre la Pirámide de Maslow:</w:t>
      </w:r>
    </w:p>
    <w:p w:rsidR="00000000" w:rsidDel="00000000" w:rsidP="00000000" w:rsidRDefault="00000000" w:rsidRPr="00000000" w14:paraId="0000000F">
      <w:pPr>
        <w:shd w:fill="ffffff" w:val="clear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1.- Concepto.</w:t>
      </w:r>
    </w:p>
    <w:p w:rsidR="00000000" w:rsidDel="00000000" w:rsidP="00000000" w:rsidRDefault="00000000" w:rsidRPr="00000000" w14:paraId="00000010">
      <w:pPr>
        <w:shd w:fill="ffffff" w:val="clear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2.- Su aporte e Importancia.</w:t>
      </w:r>
    </w:p>
    <w:p w:rsidR="00000000" w:rsidDel="00000000" w:rsidP="00000000" w:rsidRDefault="00000000" w:rsidRPr="00000000" w14:paraId="00000011">
      <w:pPr>
        <w:shd w:fill="ffffff" w:val="clear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3.- En que aporta para las personas la Pirámide de Maslow.</w:t>
      </w:r>
    </w:p>
    <w:p w:rsidR="00000000" w:rsidDel="00000000" w:rsidP="00000000" w:rsidRDefault="00000000" w:rsidRPr="00000000" w14:paraId="00000012">
      <w:pPr>
        <w:shd w:fill="ffffff" w:val="clear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4.- Identificar cuales son las necesidades.  </w:t>
      </w:r>
    </w:p>
    <w:p w:rsidR="00000000" w:rsidDel="00000000" w:rsidP="00000000" w:rsidRDefault="00000000" w:rsidRPr="00000000" w14:paraId="00000013">
      <w:pPr>
        <w:shd w:fill="ffffff" w:val="clear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5.- ¿Cómo afecta la pirámide de Maslow a las empresas?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419"/>
        <w:tab w:val="right" w:pos="8838"/>
      </w:tabs>
      <w:spacing w:after="0" w:lineRule="auto"/>
      <w:jc w:val="center"/>
      <w:rPr/>
    </w:pPr>
    <w:r w:rsidDel="00000000" w:rsidR="00000000" w:rsidRPr="00000000">
      <w:rPr>
        <w:rFonts w:ascii="Palatino Linotype" w:cs="Palatino Linotype" w:eastAsia="Palatino Linotype" w:hAnsi="Palatino Linotype"/>
        <w:sz w:val="16"/>
        <w:szCs w:val="16"/>
        <w:rtl w:val="0"/>
      </w:rPr>
      <w:t xml:space="preserve">Quito – Ecuador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-404938</wp:posOffset>
          </wp:positionH>
          <wp:positionV relativeFrom="paragraph">
            <wp:posOffset>-32314</wp:posOffset>
          </wp:positionV>
          <wp:extent cx="679269" cy="55110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9269" cy="5511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3840"/>
        <w:tab w:val="center" w:pos="6502"/>
      </w:tabs>
      <w:spacing w:after="0" w:lineRule="auto"/>
      <w:jc w:val="center"/>
      <w:rPr>
        <w:rFonts w:ascii="Palatino Linotype" w:cs="Palatino Linotype" w:eastAsia="Palatino Linotype" w:hAnsi="Palatino Linotype"/>
        <w:b w:val="1"/>
        <w:color w:val="000000"/>
      </w:rPr>
    </w:pPr>
    <w:r w:rsidDel="00000000" w:rsidR="00000000" w:rsidRPr="00000000">
      <w:rPr>
        <w:rFonts w:ascii="Palatino Linotype" w:cs="Palatino Linotype" w:eastAsia="Palatino Linotype" w:hAnsi="Palatino Linotype"/>
        <w:b w:val="1"/>
        <w:color w:val="000000"/>
        <w:rtl w:val="0"/>
      </w:rPr>
      <w:t xml:space="preserve">          INSTITUTO SUPERIOR TECN</w:t>
    </w:r>
    <w:r w:rsidDel="00000000" w:rsidR="00000000" w:rsidRPr="00000000">
      <w:rPr>
        <w:rFonts w:ascii="Palatino Linotype" w:cs="Palatino Linotype" w:eastAsia="Palatino Linotype" w:hAnsi="Palatino Linotype"/>
        <w:b w:val="1"/>
        <w:rtl w:val="0"/>
      </w:rPr>
      <w:t xml:space="preserve">O</w:t>
    </w:r>
    <w:r w:rsidDel="00000000" w:rsidR="00000000" w:rsidRPr="00000000">
      <w:rPr>
        <w:rFonts w:ascii="Palatino Linotype" w:cs="Palatino Linotype" w:eastAsia="Palatino Linotype" w:hAnsi="Palatino Linotype"/>
        <w:b w:val="1"/>
        <w:color w:val="000000"/>
        <w:rtl w:val="0"/>
      </w:rPr>
      <w:t xml:space="preserve">L</w:t>
    </w:r>
    <w:r w:rsidDel="00000000" w:rsidR="00000000" w:rsidRPr="00000000">
      <w:rPr>
        <w:rFonts w:ascii="Palatino Linotype" w:cs="Palatino Linotype" w:eastAsia="Palatino Linotype" w:hAnsi="Palatino Linotype"/>
        <w:b w:val="1"/>
        <w:rtl w:val="0"/>
      </w:rPr>
      <w:t xml:space="preserve">Ó</w:t>
    </w:r>
    <w:r w:rsidDel="00000000" w:rsidR="00000000" w:rsidRPr="00000000">
      <w:rPr>
        <w:rFonts w:ascii="Palatino Linotype" w:cs="Palatino Linotype" w:eastAsia="Palatino Linotype" w:hAnsi="Palatino Linotype"/>
        <w:b w:val="1"/>
        <w:color w:val="000000"/>
        <w:rtl w:val="0"/>
      </w:rPr>
      <w:t xml:space="preserve">GICO </w:t>
    </w:r>
    <w:r w:rsidDel="00000000" w:rsidR="00000000" w:rsidRPr="00000000">
      <w:rPr>
        <w:rFonts w:ascii="Palatino Linotype" w:cs="Palatino Linotype" w:eastAsia="Palatino Linotype" w:hAnsi="Palatino Linotype"/>
        <w:b w:val="1"/>
        <w:rtl w:val="0"/>
      </w:rPr>
      <w:t xml:space="preserve">DE TURISMO</w:t>
    </w:r>
    <w:r w:rsidDel="00000000" w:rsidR="00000000" w:rsidRPr="00000000">
      <w:rPr>
        <w:rFonts w:ascii="Palatino Linotype" w:cs="Palatino Linotype" w:eastAsia="Palatino Linotype" w:hAnsi="Palatino Linotype"/>
        <w:b w:val="1"/>
        <w:color w:val="000000"/>
        <w:rtl w:val="0"/>
      </w:rPr>
      <w:t xml:space="preserve"> Y PATRIMONIO YAVIRAC</w:t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jc w:val="center"/>
      <w:rPr>
        <w:rFonts w:ascii="Palatino Linotype" w:cs="Palatino Linotype" w:eastAsia="Palatino Linotype" w:hAnsi="Palatino Linotype"/>
        <w:color w:val="000000"/>
        <w:sz w:val="16"/>
        <w:szCs w:val="16"/>
      </w:rPr>
    </w:pPr>
    <w:r w:rsidDel="00000000" w:rsidR="00000000" w:rsidRPr="00000000">
      <w:rPr>
        <w:rFonts w:ascii="Palatino Linotype" w:cs="Palatino Linotype" w:eastAsia="Palatino Linotype" w:hAnsi="Palatino Linotype"/>
        <w:color w:val="000000"/>
        <w:sz w:val="16"/>
        <w:szCs w:val="16"/>
        <w:rtl w:val="0"/>
      </w:rPr>
      <w:t xml:space="preserve">Dirección: García Moreno S435 y Ambato  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