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MARKETING EXPENSES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Based on the marketing expenses report, which totals $515 since the campaign started, I will explain the corresponding charges.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86114" cy="3681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14" cy="36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Facebook Advertising: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 total of $350 has been charged to your account in ad spend. This places our ads in front of potential clients to obtain their information and close the leads in our CRM.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CRM (Customer Relationship Management):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 are using High Level as our CRM to manage our entire customer database and lead generation. There are various costs associated with using this software.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primary expense is the subscription, which amounts to $97 per month. This subscription includes complete access to the software and its tools.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second expense is related to acquiring a phone number for marketing purposes. This consists of a one-time registration fee of $20 and a phone number cost of $2.25. This pricing covers the registration of the phone number and the application submission for approval.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Additionally, we will incur charges for cell phone usage, which include $0.037 per call and $0.0086 per SMS."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38638" cy="421302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4213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FACEBOOK BILLING REPORT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0963" cy="33351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3335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We can manage our entire marketing system through High Level, recording all calls, SMS, and emails, and implementing automations to boost productivity and response rates.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