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873500"/>
            <wp:effectExtent l="0" t="0" r="2540" b="0"/>
            <wp:docPr id="3" name="图片 3" descr="1026e7ddf9fdbb215fa9869188a2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026e7ddf9fdbb215fa9869188a21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 manager may be in charge of multiple artists</w:t>
      </w:r>
      <w:r>
        <w:rPr>
          <w:rFonts w:hint="default"/>
          <w:lang w:val="en-US" w:eastAsia="zh-CN"/>
        </w:rPr>
        <w:t>. An artist has only 1 manager.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Manager is responsible for their own travel expenses. A manager may have multiple travel </w:t>
      </w:r>
      <w:r>
        <w:rPr>
          <w:rFonts w:hint="eastAsia"/>
          <w:lang w:val="en-US" w:eastAsia="zh-CN"/>
        </w:rPr>
        <w:t>records.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An artist </w:t>
      </w:r>
      <w:r>
        <w:rPr>
          <w:rFonts w:hint="default"/>
          <w:lang w:val="en-US" w:eastAsia="zh-CN"/>
        </w:rPr>
        <w:t xml:space="preserve">is responsible for </w:t>
      </w:r>
      <w:r>
        <w:rPr>
          <w:rFonts w:hint="eastAsia"/>
          <w:lang w:val="en-US" w:eastAsia="zh-CN"/>
        </w:rPr>
        <w:t>some direct</w:t>
      </w:r>
      <w:r>
        <w:rPr>
          <w:rFonts w:hint="default"/>
          <w:lang w:val="en-US" w:eastAsia="zh-CN"/>
        </w:rPr>
        <w:t xml:space="preserve"> expenses</w:t>
      </w:r>
      <w:r>
        <w:rPr>
          <w:rFonts w:hint="eastAsia"/>
          <w:lang w:val="en-US" w:eastAsia="zh-CN"/>
        </w:rPr>
        <w:t xml:space="preserve"> like advertisements, photos and flyers. An artist may have multiple kinds of direct expense.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The customer (concert hall/ opera houses) provide performance opportunities. A customer may provide multiple performance opportunities. An artist can participate in different places.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The customer pays after a performance is completed. A customer may make multiple payments. Similarly, an artist may receive multiple payments and could have multiple contracts.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A prospective may become the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current artist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. Thus the relation between these 2 entitities is 1-on-1.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Here we assume a prospective artist only receives one recommendation.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D675EB"/>
    <w:multiLevelType w:val="singleLevel"/>
    <w:tmpl w:val="CED675E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C2530"/>
    <w:rsid w:val="1AB05CFD"/>
    <w:rsid w:val="2FA8139B"/>
    <w:rsid w:val="48DA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2022-02-19T02:16:15Z</dcterms:created>
  <dc:creator>Yinhong Qin</dc:creator>
  <cp:lastModifiedBy>KevinQyh</cp:lastModifiedBy>
  <dcterms:modified xsi:type="dcterms:W3CDTF">2022-02-19T02:26:11Z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D172C5E7973B4F23A554923E631E44C3</vt:lpwstr>
  </property>
</Properties>
</file>