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C018BA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0B5394"/>
          <w:sz w:val="48"/>
          <w:szCs w:val="48"/>
        </w:rPr>
      </w:pPr>
      <w:r>
        <w:rPr>
          <w:rFonts w:ascii="Calibri" w:eastAsia="Calibri" w:hAnsi="Calibri" w:cs="Calibri"/>
          <w:b/>
          <w:color w:val="0B5394"/>
          <w:sz w:val="48"/>
          <w:szCs w:val="48"/>
        </w:rPr>
        <w:t>Plan de Gestión de los Riesgos</w:t>
      </w:r>
    </w:p>
    <w:p w:rsidR="00EC4D98" w:rsidRDefault="00EC4D98" w:rsidP="00EC4D98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Nombre del proyecto: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eastAsia="Times New Roman" w:hAnsi="Calibri" w:cs="Calibri"/>
          <w:bCs/>
        </w:rPr>
        <w:t>SIGFAR</w:t>
      </w:r>
    </w:p>
    <w:p w:rsidR="00EC4D98" w:rsidRDefault="00EC4D98" w:rsidP="00EC4D98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4F81BD" w:themeColor="accent1"/>
          <w:sz w:val="28"/>
          <w:szCs w:val="28"/>
        </w:rPr>
        <w:t>Id</w:t>
      </w: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entificador del proyecto:</w:t>
      </w:r>
      <w:r>
        <w:t xml:space="preserve"> Sistema Integral de Gestión de Farmacia</w:t>
      </w:r>
    </w:p>
    <w:p w:rsidR="001706B9" w:rsidRDefault="00EC4D98" w:rsidP="00EC4D9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alibri" w:eastAsia="Calibri" w:hAnsi="Calibri" w:cs="Calibri"/>
          <w:b/>
          <w:color w:val="CCCCCC"/>
          <w:sz w:val="28"/>
          <w:szCs w:val="28"/>
        </w:rPr>
      </w:pPr>
      <w:r>
        <w:rPr>
          <w:rFonts w:ascii="Calibri" w:eastAsia="Times New Roman" w:hAnsi="Calibri" w:cs="Calibri"/>
          <w:b/>
          <w:bCs/>
          <w:color w:val="3D85C6"/>
          <w:sz w:val="28"/>
          <w:szCs w:val="28"/>
        </w:rPr>
        <w:t>Fecha elaboración: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bCs/>
        </w:rPr>
        <w:t>11/07/2026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36"/>
          <w:szCs w:val="36"/>
        </w:rPr>
      </w:pPr>
    </w:p>
    <w:p w:rsidR="001706B9" w:rsidRDefault="00C018B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3D85C6"/>
          <w:sz w:val="36"/>
          <w:szCs w:val="36"/>
        </w:rPr>
      </w:pPr>
      <w:r>
        <w:rPr>
          <w:rFonts w:ascii="Calibri" w:eastAsia="Calibri" w:hAnsi="Calibri" w:cs="Calibri"/>
          <w:b/>
          <w:color w:val="3D85C6"/>
          <w:sz w:val="36"/>
          <w:szCs w:val="36"/>
        </w:rPr>
        <w:t>Contenido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sdt>
      <w:sdtPr>
        <w:id w:val="-764688259"/>
        <w:docPartObj>
          <w:docPartGallery w:val="Table of Contents"/>
          <w:docPartUnique/>
        </w:docPartObj>
      </w:sdtPr>
      <w:sdtEndPr/>
      <w:sdtContent>
        <w:p w:rsidR="001706B9" w:rsidRDefault="00C018BA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k43gnh1qrli">
            <w:r>
              <w:rPr>
                <w:color w:val="1155CC"/>
                <w:u w:val="single"/>
              </w:rPr>
              <w:t>Información del Proyecto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qyxjla5odues">
            <w:r w:rsidR="00C018BA">
              <w:rPr>
                <w:color w:val="1155CC"/>
                <w:u w:val="single"/>
              </w:rPr>
              <w:t>Descripción de la metodología de gestión del riesgo a ser usada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x4anzgpfyxd">
            <w:r w:rsidR="00C018BA">
              <w:rPr>
                <w:color w:val="1155CC"/>
                <w:u w:val="single"/>
              </w:rPr>
              <w:t>Roles y responsabilidades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ffvkrdxvgh3t">
            <w:r w:rsidR="00C018BA">
              <w:rPr>
                <w:color w:val="1155CC"/>
                <w:u w:val="single"/>
              </w:rPr>
              <w:t>Presupuesto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vzpju4juhm25">
            <w:r w:rsidR="00C018BA">
              <w:rPr>
                <w:color w:val="1155CC"/>
                <w:u w:val="single"/>
              </w:rPr>
              <w:t>Categorías de los riesgos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gyny569bxe94">
            <w:r w:rsidR="00C018BA">
              <w:rPr>
                <w:color w:val="1155CC"/>
                <w:u w:val="single"/>
              </w:rPr>
              <w:t>Tolerancia al riesgo de los interesados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8hf721v11brq">
            <w:r w:rsidR="00C018BA">
              <w:rPr>
                <w:color w:val="1155CC"/>
                <w:u w:val="single"/>
              </w:rPr>
              <w:t>Definiciones de probabilidad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yaaxpb2m4wrh">
            <w:r w:rsidR="00C018BA">
              <w:rPr>
                <w:color w:val="1155CC"/>
                <w:u w:val="single"/>
              </w:rPr>
              <w:t>Definiciones de impacto por objetivo</w:t>
            </w:r>
          </w:hyperlink>
        </w:p>
        <w:p w:rsidR="001706B9" w:rsidRDefault="00CE0E98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1155CC"/>
              <w:u w:val="single"/>
            </w:rPr>
          </w:pPr>
          <w:hyperlink w:anchor="_vn7zwqozaw59">
            <w:r w:rsidR="00C018BA">
              <w:rPr>
                <w:color w:val="1155CC"/>
                <w:u w:val="single"/>
              </w:rPr>
              <w:t>Matriz de probabilidad e impacto</w:t>
            </w:r>
          </w:hyperlink>
          <w:r w:rsidR="00C018BA">
            <w:fldChar w:fldCharType="end"/>
          </w:r>
        </w:p>
      </w:sdtContent>
    </w:sdt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8"/>
          <w:szCs w:val="28"/>
        </w:rPr>
      </w:pPr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0" w:name="_l91iiiwt9i73" w:colFirst="0" w:colLast="0"/>
      <w:bookmarkEnd w:id="0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1" w:name="_1rx8u2vh6bv0" w:colFirst="0" w:colLast="0"/>
      <w:bookmarkEnd w:id="1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2" w:name="_s55135m7u8l5" w:colFirst="0" w:colLast="0"/>
      <w:bookmarkEnd w:id="2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3" w:name="_pvgywzxsthyc" w:colFirst="0" w:colLast="0"/>
      <w:bookmarkEnd w:id="3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4" w:name="_7bzw9u8v6fr5" w:colFirst="0" w:colLast="0"/>
      <w:bookmarkEnd w:id="4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5" w:name="_71bg5is32rct" w:colFirst="0" w:colLast="0"/>
      <w:bookmarkEnd w:id="5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6" w:name="_r1zowjhlctcs" w:colFirst="0" w:colLast="0"/>
      <w:bookmarkEnd w:id="6"/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sz w:val="24"/>
          <w:szCs w:val="24"/>
        </w:rPr>
      </w:pPr>
      <w:bookmarkStart w:id="7" w:name="_7ikfrkzoy3h" w:colFirst="0" w:colLast="0"/>
      <w:bookmarkEnd w:id="7"/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4"/>
          <w:szCs w:val="24"/>
        </w:rPr>
      </w:pPr>
      <w:bookmarkStart w:id="8" w:name="_hk43gnh1qrli" w:colFirst="0" w:colLast="0"/>
      <w:bookmarkEnd w:id="8"/>
      <w:r>
        <w:rPr>
          <w:rFonts w:ascii="Calibri" w:eastAsia="Calibri" w:hAnsi="Calibri" w:cs="Calibri"/>
          <w:b/>
          <w:color w:val="0B5394"/>
          <w:sz w:val="24"/>
          <w:szCs w:val="24"/>
        </w:rPr>
        <w:lastRenderedPageBreak/>
        <w:t>Información del Proyecto</w:t>
      </w:r>
    </w:p>
    <w:tbl>
      <w:tblPr>
        <w:tblStyle w:val="a"/>
        <w:tblW w:w="1008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5040"/>
      </w:tblGrid>
      <w:tr w:rsidR="001706B9"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Empresa/Organización</w:t>
            </w:r>
          </w:p>
        </w:tc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465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CCCCCC"/>
              </w:rPr>
              <w:t>[Ingresar nombre]</w:t>
            </w:r>
          </w:p>
        </w:tc>
      </w:tr>
      <w:tr w:rsidR="001706B9"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Nombre del proyecto</w:t>
            </w:r>
          </w:p>
        </w:tc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CCCCCC"/>
              </w:rPr>
              <w:t>[Ingresar nombre]</w:t>
            </w:r>
          </w:p>
        </w:tc>
      </w:tr>
      <w:tr w:rsidR="001706B9"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Fecha de elaboración</w:t>
            </w:r>
          </w:p>
        </w:tc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CCCCCC"/>
              </w:rPr>
              <w:t>[Ingresar nombre]</w:t>
            </w:r>
          </w:p>
        </w:tc>
      </w:tr>
      <w:tr w:rsidR="001706B9"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Cliente</w:t>
            </w:r>
          </w:p>
        </w:tc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CCCCCC"/>
              </w:rPr>
              <w:t>[Ingresar nombre]</w:t>
            </w:r>
          </w:p>
        </w:tc>
      </w:tr>
      <w:tr w:rsidR="001706B9"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Patrocinador principal</w:t>
            </w:r>
          </w:p>
        </w:tc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CCCCCC"/>
              </w:rPr>
              <w:t>[Ingresar nombre]</w:t>
            </w:r>
          </w:p>
        </w:tc>
      </w:tr>
      <w:tr w:rsidR="001706B9"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4"/>
                <w:szCs w:val="24"/>
              </w:rPr>
              <w:t>Director del proyecto</w:t>
            </w:r>
          </w:p>
        </w:tc>
        <w:tc>
          <w:tcPr>
            <w:tcW w:w="5040" w:type="dxa"/>
            <w:tcBorders>
              <w:top w:val="single" w:sz="6" w:space="0" w:color="0B5394"/>
              <w:left w:val="single" w:sz="6" w:space="0" w:color="0B5394"/>
              <w:bottom w:val="single" w:sz="6" w:space="0" w:color="0B5394"/>
              <w:right w:val="single" w:sz="6" w:space="0" w:color="0B5394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706B9" w:rsidRDefault="00C018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CCCCCC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CCCCCC"/>
              </w:rPr>
              <w:t>[Ingresar nombre]</w:t>
            </w:r>
          </w:p>
        </w:tc>
      </w:tr>
    </w:tbl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  <w:bookmarkStart w:id="9" w:name="_5ieh7gtb3o7w" w:colFirst="0" w:colLast="0"/>
      <w:bookmarkEnd w:id="9"/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0" w:name="_qyxjla5odues" w:colFirst="0" w:colLast="0"/>
      <w:bookmarkEnd w:id="10"/>
      <w:r>
        <w:rPr>
          <w:rFonts w:ascii="Calibri" w:eastAsia="Calibri" w:hAnsi="Calibri" w:cs="Calibri"/>
          <w:b/>
          <w:color w:val="0B5394"/>
          <w:sz w:val="28"/>
          <w:szCs w:val="28"/>
        </w:rPr>
        <w:t>Descripción de la metodología de gestión del riesgo a ser usada</w:t>
      </w:r>
    </w:p>
    <w:p w:rsidR="00EC4D98" w:rsidRDefault="00EC4D98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gestión de riesgos se realizará siguiendo las buenas prácticas del </w:t>
      </w:r>
      <w:r>
        <w:rPr>
          <w:rStyle w:val="Textoennegrita"/>
        </w:rPr>
        <w:t>PMBOK</w:t>
      </w:r>
      <w:r>
        <w:t>, mediante la identificación, análisis, evaluación, respuesta y monitoreo continuo de los riesgos del proyecto.</w:t>
      </w:r>
    </w:p>
    <w:p w:rsidR="00EC4D98" w:rsidRDefault="00EC4D98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 w:rsidRPr="00EC4D98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 xml:space="preserve">Herramientas y técnicas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Matriz de Riesgos.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Matriz de Calor.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Análisis cualitativo y cuantitativo.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Juicio de expertos. </w:t>
      </w:r>
    </w:p>
    <w:p w:rsidR="00EC4D98" w:rsidRPr="00EC4D98" w:rsidRDefault="00EC4D98" w:rsidP="00EC4D9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 Reuniones de seguimiento.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1" w:name="_x4anzgpfyxd" w:colFirst="0" w:colLast="0"/>
      <w:bookmarkEnd w:id="11"/>
      <w:r>
        <w:rPr>
          <w:rFonts w:ascii="Calibri" w:eastAsia="Calibri" w:hAnsi="Calibri" w:cs="Calibri"/>
          <w:b/>
          <w:color w:val="0B5394"/>
          <w:sz w:val="28"/>
          <w:szCs w:val="28"/>
        </w:rPr>
        <w:t>Roles y responsabilidades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415"/>
        <w:gridCol w:w="5075"/>
      </w:tblGrid>
      <w:tr w:rsidR="00EC4D98" w:rsidRPr="00EC4D98" w:rsidTr="00EC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Rol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Responsabilidad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Director del Proyecto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Coordinar la gestión de riesgos.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Líderes de Equipo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Identificar y reportar riesgos.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Equipo del Proyecto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Ejecutar acciones de mitigación.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Patrocinador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s-ES" w:eastAsia="ja-JP"/>
              </w:rPr>
              <w:t>Aprobar acciones de contingencia de alto impacto.</w:t>
            </w:r>
          </w:p>
        </w:tc>
      </w:tr>
    </w:tbl>
    <w:p w:rsidR="00EC4D98" w:rsidRPr="00EC4D98" w:rsidRDefault="00EC4D98" w:rsidP="00EC4D98">
      <w:pPr>
        <w:rPr>
          <w:lang w:val="es-ES"/>
        </w:rP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2" w:name="_ffvkrdxvgh3t" w:colFirst="0" w:colLast="0"/>
      <w:bookmarkEnd w:id="12"/>
      <w:r>
        <w:rPr>
          <w:rFonts w:ascii="Calibri" w:eastAsia="Calibri" w:hAnsi="Calibri" w:cs="Calibri"/>
          <w:b/>
          <w:color w:val="0B5394"/>
          <w:sz w:val="28"/>
          <w:szCs w:val="28"/>
        </w:rPr>
        <w:t>Presupuesto</w:t>
      </w:r>
    </w:p>
    <w:p w:rsidR="001706B9" w:rsidRDefault="00EC4D98">
      <w:pPr>
        <w:pBdr>
          <w:top w:val="nil"/>
          <w:left w:val="nil"/>
          <w:bottom w:val="nil"/>
          <w:right w:val="nil"/>
          <w:between w:val="nil"/>
        </w:pBdr>
      </w:pPr>
      <w:r>
        <w:t xml:space="preserve">Se destinará una </w:t>
      </w:r>
      <w:r>
        <w:rPr>
          <w:rStyle w:val="Textoennegrita"/>
        </w:rPr>
        <w:t>reserva de contingencia equivalente al 10 % del presupuesto total</w:t>
      </w:r>
      <w:r>
        <w:t xml:space="preserve"> para la atención de riesgos identificados</w:t>
      </w:r>
    </w:p>
    <w:p w:rsidR="00EC4D98" w:rsidRDefault="00EC4D98">
      <w:pPr>
        <w:pBdr>
          <w:top w:val="nil"/>
          <w:left w:val="nil"/>
          <w:bottom w:val="nil"/>
          <w:right w:val="nil"/>
          <w:between w:val="nil"/>
        </w:pBdr>
      </w:pPr>
    </w:p>
    <w:p w:rsidR="00EC4D98" w:rsidRDefault="00EC4D98">
      <w:pPr>
        <w:pBdr>
          <w:top w:val="nil"/>
          <w:left w:val="nil"/>
          <w:bottom w:val="nil"/>
          <w:right w:val="nil"/>
          <w:between w:val="nil"/>
        </w:pBdr>
      </w:pPr>
    </w:p>
    <w:p w:rsidR="00EC4D98" w:rsidRDefault="00EC4D98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3" w:name="_vzpju4juhm25" w:colFirst="0" w:colLast="0"/>
      <w:bookmarkEnd w:id="13"/>
      <w:r>
        <w:rPr>
          <w:rFonts w:ascii="Calibri" w:eastAsia="Calibri" w:hAnsi="Calibri" w:cs="Calibri"/>
          <w:b/>
          <w:color w:val="0B5394"/>
          <w:sz w:val="28"/>
          <w:szCs w:val="28"/>
        </w:rPr>
        <w:lastRenderedPageBreak/>
        <w:t>Categorías de los riesgos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Técnicos.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Organizacionales.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Recursos Humanos.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Infraestructura y Tecnología.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Seguridad de la Información. </w:t>
      </w:r>
    </w:p>
    <w:p w:rsidR="00EC4D98" w:rsidRPr="00EC4D98" w:rsidRDefault="00EC4D98" w:rsidP="00EC4D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  Adquisiciones. </w:t>
      </w:r>
    </w:p>
    <w:p w:rsidR="001706B9" w:rsidRDefault="00EC4D98" w:rsidP="00EC4D98">
      <w:pPr>
        <w:pBdr>
          <w:top w:val="nil"/>
          <w:left w:val="nil"/>
          <w:bottom w:val="nil"/>
          <w:right w:val="nil"/>
          <w:between w:val="nil"/>
        </w:pBdr>
      </w:pPr>
      <w:r w:rsidRPr="00EC4D98">
        <w:rPr>
          <w:rFonts w:ascii="Times New Roman" w:eastAsia="Times New Roman" w:hAnsi="Symbol" w:cs="Times New Roman"/>
          <w:sz w:val="24"/>
          <w:szCs w:val="24"/>
          <w:lang w:val="en-US" w:eastAsia="ja-JP"/>
        </w:rPr>
        <w:t></w:t>
      </w:r>
      <w:r w:rsidRPr="00EC4D98">
        <w:rPr>
          <w:rFonts w:ascii="Times New Roman" w:eastAsia="Times New Roman" w:hAnsi="Times New Roman" w:cs="Times New Roman"/>
          <w:sz w:val="24"/>
          <w:szCs w:val="24"/>
          <w:lang w:val="en-US" w:eastAsia="ja-JP"/>
        </w:rPr>
        <w:t xml:space="preserve">  Externos (normativos y conectividad).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4" w:name="_gyny569bxe94" w:colFirst="0" w:colLast="0"/>
      <w:bookmarkEnd w:id="14"/>
      <w:r>
        <w:rPr>
          <w:rFonts w:ascii="Calibri" w:eastAsia="Calibri" w:hAnsi="Calibri" w:cs="Calibri"/>
          <w:b/>
          <w:color w:val="0B5394"/>
          <w:sz w:val="28"/>
          <w:szCs w:val="28"/>
        </w:rPr>
        <w:t>Tolerancia al riesgo de los interesados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415"/>
        <w:gridCol w:w="1323"/>
      </w:tblGrid>
      <w:tr w:rsidR="00EC4D98" w:rsidRPr="00EC4D98" w:rsidTr="00EC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Interesado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Tolerancia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Patrocinador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Baja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Cliente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Baja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Director del Proyecto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Media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Equipo Técnico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Media</w:t>
            </w:r>
          </w:p>
        </w:tc>
      </w:tr>
    </w:tbl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  <w:bookmarkStart w:id="15" w:name="_ag3mkd9c2lry" w:colFirst="0" w:colLast="0"/>
      <w:bookmarkStart w:id="16" w:name="_lfl9moin1s1l" w:colFirst="0" w:colLast="0"/>
      <w:bookmarkEnd w:id="15"/>
      <w:bookmarkEnd w:id="16"/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7" w:name="_oxql3vvvxlnv" w:colFirst="0" w:colLast="0"/>
      <w:bookmarkEnd w:id="17"/>
      <w:r>
        <w:rPr>
          <w:rFonts w:ascii="Calibri" w:eastAsia="Calibri" w:hAnsi="Calibri" w:cs="Calibri"/>
          <w:b/>
          <w:color w:val="0B5394"/>
          <w:sz w:val="28"/>
          <w:szCs w:val="28"/>
        </w:rPr>
        <w:t>Definiciones de probabilidad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870"/>
        <w:gridCol w:w="2036"/>
      </w:tblGrid>
      <w:tr w:rsidR="00EC4D98" w:rsidRPr="00EC4D98" w:rsidTr="00EC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Nivel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Probabilidad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Alta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Mayor al 70 %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Media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Entre 30 % y 70 %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Baja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Menor al 30 %</w:t>
            </w:r>
          </w:p>
        </w:tc>
      </w:tr>
    </w:tbl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i/>
          <w:color w:val="666666"/>
          <w:sz w:val="20"/>
          <w:szCs w:val="20"/>
        </w:rPr>
      </w:pPr>
      <w:bookmarkStart w:id="18" w:name="_uoxh2y8yglui" w:colFirst="0" w:colLast="0"/>
      <w:bookmarkEnd w:id="18"/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19" w:name="_yaaxpb2m4wrh" w:colFirst="0" w:colLast="0"/>
      <w:bookmarkEnd w:id="19"/>
      <w:r>
        <w:rPr>
          <w:rFonts w:ascii="Calibri" w:eastAsia="Calibri" w:hAnsi="Calibri" w:cs="Calibri"/>
          <w:b/>
          <w:color w:val="0B5394"/>
          <w:sz w:val="28"/>
          <w:szCs w:val="28"/>
        </w:rPr>
        <w:t>Definiciones de impacto por objetivo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870"/>
        <w:gridCol w:w="1736"/>
        <w:gridCol w:w="2260"/>
        <w:gridCol w:w="1946"/>
        <w:gridCol w:w="2538"/>
      </w:tblGrid>
      <w:tr w:rsidR="00EC4D98" w:rsidRPr="00EC4D98" w:rsidTr="00EC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Nivel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Tiempo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Costo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Alcance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Calidad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Retraso &gt; 15 días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Incremento &gt; 10 %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Cambios importantes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Afecta funcionalidades críticas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Retraso de 5 a 15 días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Incremento entre 5 % y 10 %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Cambios menores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Defectos corregibles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Retraso &lt; 5 días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Incremento &lt; 5 %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Sin cambios relevantes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Impacto mínimo</w:t>
            </w:r>
          </w:p>
        </w:tc>
      </w:tr>
    </w:tbl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EC4D98" w:rsidRDefault="00EC4D9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bookmarkStart w:id="20" w:name="_vn7zwqozaw59" w:colFirst="0" w:colLast="0"/>
      <w:bookmarkEnd w:id="20"/>
    </w:p>
    <w:p w:rsidR="001706B9" w:rsidRDefault="00C018BA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r>
        <w:rPr>
          <w:rFonts w:ascii="Calibri" w:eastAsia="Calibri" w:hAnsi="Calibri" w:cs="Calibri"/>
          <w:b/>
          <w:color w:val="0B5394"/>
          <w:sz w:val="28"/>
          <w:szCs w:val="28"/>
        </w:rPr>
        <w:t>Matriz de probabilidad e impacto</w:t>
      </w:r>
    </w:p>
    <w:tbl>
      <w:tblPr>
        <w:tblStyle w:val="Tabladecuadrcula5oscura-nfasis1"/>
        <w:tblW w:w="0" w:type="auto"/>
        <w:tblLook w:val="04A0" w:firstRow="1" w:lastRow="0" w:firstColumn="1" w:lastColumn="0" w:noHBand="0" w:noVBand="1"/>
      </w:tblPr>
      <w:tblGrid>
        <w:gridCol w:w="2603"/>
        <w:gridCol w:w="843"/>
        <w:gridCol w:w="870"/>
        <w:gridCol w:w="883"/>
      </w:tblGrid>
      <w:tr w:rsidR="00EC4D98" w:rsidRPr="00EC4D98" w:rsidTr="00EC4D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Impacto / Probabilidad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Baja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Media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Alta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Alto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Crítico</w:t>
            </w:r>
          </w:p>
        </w:tc>
      </w:tr>
      <w:tr w:rsidR="00EC4D98" w:rsidRPr="00EC4D98" w:rsidTr="00EC4D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Alto</w:t>
            </w:r>
          </w:p>
        </w:tc>
      </w:tr>
      <w:tr w:rsidR="00EC4D98" w:rsidRPr="00EC4D98" w:rsidTr="00EC4D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C4D98" w:rsidRPr="00EC4D98" w:rsidRDefault="00EC4D98" w:rsidP="00EC4D9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Bajo</w:t>
            </w:r>
          </w:p>
        </w:tc>
        <w:tc>
          <w:tcPr>
            <w:tcW w:w="0" w:type="auto"/>
            <w:hideMark/>
          </w:tcPr>
          <w:p w:rsidR="00EC4D98" w:rsidRPr="00EC4D98" w:rsidRDefault="00EC4D98" w:rsidP="00EC4D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</w:pPr>
            <w:r w:rsidRPr="00EC4D9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ja-JP"/>
              </w:rPr>
              <w:t>Medio</w:t>
            </w:r>
          </w:p>
        </w:tc>
      </w:tr>
    </w:tbl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b/>
          <w:color w:val="0B5394"/>
          <w:sz w:val="28"/>
          <w:szCs w:val="28"/>
        </w:rPr>
        <w:t>Frecuencia</w:t>
      </w:r>
    </w:p>
    <w:p w:rsidR="001706B9" w:rsidRDefault="00EC4D98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revisión de riesgos se realizará </w:t>
      </w:r>
      <w:r>
        <w:rPr>
          <w:rStyle w:val="Textoennegrita"/>
        </w:rPr>
        <w:t>semanalmente</w:t>
      </w:r>
      <w:r>
        <w:t xml:space="preserve"> durante la ejecución del proyecto y </w:t>
      </w:r>
      <w:r>
        <w:rPr>
          <w:rStyle w:val="Textoennegrita"/>
        </w:rPr>
        <w:t>mensualmente</w:t>
      </w:r>
      <w:r>
        <w:t xml:space="preserve"> se presentará un informe consolidado al patrocinador</w:t>
      </w:r>
    </w:p>
    <w:p w:rsidR="001706B9" w:rsidRDefault="001706B9">
      <w:pPr>
        <w:pBdr>
          <w:top w:val="nil"/>
          <w:left w:val="nil"/>
          <w:bottom w:val="nil"/>
          <w:right w:val="nil"/>
          <w:between w:val="nil"/>
        </w:pBdr>
      </w:pPr>
    </w:p>
    <w:p w:rsidR="001706B9" w:rsidRDefault="00C018B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B5394"/>
          <w:sz w:val="28"/>
          <w:szCs w:val="28"/>
        </w:rPr>
      </w:pPr>
      <w:r>
        <w:rPr>
          <w:rFonts w:ascii="Calibri" w:eastAsia="Calibri" w:hAnsi="Calibri" w:cs="Calibri"/>
          <w:b/>
          <w:color w:val="0B5394"/>
          <w:sz w:val="28"/>
          <w:szCs w:val="28"/>
        </w:rPr>
        <w:t>Protocolos de contingencia</w:t>
      </w:r>
    </w:p>
    <w:p w:rsidR="00EC4D98" w:rsidRPr="00EC4D98" w:rsidRDefault="00EC4D98" w:rsidP="00EC4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Registrar inmediatamente el riesgo identificado. </w:t>
      </w:r>
    </w:p>
    <w:p w:rsidR="00EC4D98" w:rsidRPr="00EC4D98" w:rsidRDefault="00EC4D98" w:rsidP="00EC4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Evaluar su impacto y probabilidad. </w:t>
      </w:r>
    </w:p>
    <w:p w:rsidR="00EC4D98" w:rsidRPr="00EC4D98" w:rsidRDefault="00EC4D98" w:rsidP="00EC4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Aplicar el plan de respuesta correspondiente. </w:t>
      </w:r>
    </w:p>
    <w:p w:rsidR="00EC4D98" w:rsidRPr="00EC4D98" w:rsidRDefault="00EC4D98" w:rsidP="00EC4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Informar al Director del Proyecto. </w:t>
      </w:r>
    </w:p>
    <w:p w:rsidR="00EC4D98" w:rsidRPr="00EC4D98" w:rsidRDefault="00EC4D98" w:rsidP="00EC4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</w:pPr>
      <w:r w:rsidRPr="00EC4D98">
        <w:rPr>
          <w:rFonts w:ascii="Times New Roman" w:eastAsia="Times New Roman" w:hAnsi="Times New Roman" w:cs="Times New Roman"/>
          <w:sz w:val="24"/>
          <w:szCs w:val="24"/>
          <w:lang w:val="es-ES" w:eastAsia="ja-JP"/>
        </w:rPr>
        <w:t xml:space="preserve">Actualizar la matriz de riesgos y realizar seguimiento hasta su cierre. </w:t>
      </w:r>
    </w:p>
    <w:p w:rsidR="00EC4D98" w:rsidRPr="00EC4D98" w:rsidRDefault="00EC4D98">
      <w:pPr>
        <w:pBdr>
          <w:top w:val="nil"/>
          <w:left w:val="nil"/>
          <w:bottom w:val="nil"/>
          <w:right w:val="nil"/>
          <w:between w:val="nil"/>
        </w:pBdr>
        <w:rPr>
          <w:lang w:val="es-ES"/>
        </w:rPr>
      </w:pPr>
    </w:p>
    <w:p w:rsidR="001706B9" w:rsidRDefault="001706B9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1" w:name="_4ikf015tghpr" w:colFirst="0" w:colLast="0"/>
      <w:bookmarkStart w:id="22" w:name="_GoBack"/>
      <w:bookmarkEnd w:id="21"/>
      <w:bookmarkEnd w:id="22"/>
    </w:p>
    <w:sectPr w:rsidR="001706B9" w:rsidSect="00C24B5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0E98" w:rsidRDefault="00CE0E98">
      <w:pPr>
        <w:spacing w:line="240" w:lineRule="auto"/>
      </w:pPr>
      <w:r>
        <w:separator/>
      </w:r>
    </w:p>
  </w:endnote>
  <w:endnote w:type="continuationSeparator" w:id="0">
    <w:p w:rsidR="00CE0E98" w:rsidRDefault="00CE0E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6B9" w:rsidRDefault="00CE0E98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pict>
        <v:rect id="_x0000_i1026" style="width:0;height:1.5pt" o:hralign="center" o:hrstd="t" o:hr="t" fillcolor="#a0a0a0" stroked="f"/>
      </w:pict>
    </w:r>
  </w:p>
  <w:p w:rsidR="001706B9" w:rsidRDefault="00EC4D98">
    <w:pPr>
      <w:pBdr>
        <w:top w:val="nil"/>
        <w:left w:val="nil"/>
        <w:bottom w:val="nil"/>
        <w:right w:val="nil"/>
        <w:between w:val="nil"/>
      </w:pBdr>
      <w:rPr>
        <w:i/>
        <w:color w:val="3D85C6"/>
      </w:rPr>
    </w:pPr>
    <w:r>
      <w:rPr>
        <w:i/>
        <w:color w:val="3D85C6"/>
      </w:rPr>
      <w:t>Salud Total S.R.L.</w:t>
    </w:r>
  </w:p>
  <w:p w:rsidR="001706B9" w:rsidRDefault="00C018BA">
    <w:pPr>
      <w:pBdr>
        <w:top w:val="nil"/>
        <w:left w:val="nil"/>
        <w:bottom w:val="nil"/>
        <w:right w:val="nil"/>
        <w:between w:val="nil"/>
      </w:pBd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EC4D98">
      <w:rPr>
        <w:noProof/>
        <w:color w:val="666666"/>
      </w:rPr>
      <w:t>5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6B9" w:rsidRDefault="001706B9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0E98" w:rsidRDefault="00CE0E98">
      <w:pPr>
        <w:spacing w:line="240" w:lineRule="auto"/>
      </w:pPr>
      <w:r>
        <w:separator/>
      </w:r>
    </w:p>
  </w:footnote>
  <w:footnote w:type="continuationSeparator" w:id="0">
    <w:p w:rsidR="00CE0E98" w:rsidRDefault="00CE0E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6B9" w:rsidRDefault="00C018BA">
    <w:pPr>
      <w:pBdr>
        <w:top w:val="nil"/>
        <w:left w:val="nil"/>
        <w:bottom w:val="nil"/>
        <w:right w:val="nil"/>
        <w:between w:val="nil"/>
      </w:pBdr>
      <w:ind w:left="720"/>
      <w:jc w:val="center"/>
      <w:rPr>
        <w:rFonts w:ascii="Calibri" w:eastAsia="Calibri" w:hAnsi="Calibri" w:cs="Calibri"/>
        <w:b/>
        <w:color w:val="0B5394"/>
        <w:sz w:val="36"/>
        <w:szCs w:val="36"/>
      </w:rPr>
    </w:pPr>
    <w:r>
      <w:rPr>
        <w:rFonts w:ascii="Calibri" w:eastAsia="Calibri" w:hAnsi="Calibri" w:cs="Calibri"/>
        <w:b/>
        <w:color w:val="0B5394"/>
        <w:sz w:val="36"/>
        <w:szCs w:val="36"/>
      </w:rPr>
      <w:t>Plan de Gestión de los Riesgos</w:t>
    </w:r>
  </w:p>
  <w:p w:rsidR="001706B9" w:rsidRDefault="00C018BA" w:rsidP="00EC4D98">
    <w:pPr>
      <w:jc w:val="center"/>
      <w:rPr>
        <w:rFonts w:ascii="Calibri" w:eastAsia="Calibri" w:hAnsi="Calibri" w:cs="Calibri"/>
        <w:b/>
        <w:color w:val="CCCCCC"/>
        <w:sz w:val="20"/>
        <w:szCs w:val="20"/>
      </w:rPr>
    </w:pPr>
    <w:r>
      <w:rPr>
        <w:rFonts w:ascii="Calibri" w:eastAsia="Calibri" w:hAnsi="Calibri" w:cs="Calibri"/>
        <w:b/>
        <w:color w:val="3D85C6"/>
        <w:sz w:val="20"/>
        <w:szCs w:val="20"/>
      </w:rPr>
      <w:t>Identificador del proyecto:</w:t>
    </w:r>
    <w:r w:rsidR="00EC4D98" w:rsidRPr="00EC4D98">
      <w:rPr>
        <w:color w:val="A6A6A6" w:themeColor="background1" w:themeShade="A6"/>
      </w:rPr>
      <w:t xml:space="preserve"> </w:t>
    </w:r>
    <w:r w:rsidR="00EC4D98">
      <w:rPr>
        <w:color w:val="A6A6A6" w:themeColor="background1" w:themeShade="A6"/>
      </w:rPr>
      <w:t>Sistema Integral de Gestión de Farmacia (SIGFAR)</w:t>
    </w:r>
  </w:p>
  <w:p w:rsidR="001706B9" w:rsidRDefault="00C018BA">
    <w:pPr>
      <w:pBdr>
        <w:top w:val="nil"/>
        <w:left w:val="nil"/>
        <w:bottom w:val="nil"/>
        <w:right w:val="nil"/>
        <w:between w:val="nil"/>
      </w:pBdr>
      <w:jc w:val="center"/>
      <w:rPr>
        <w:rFonts w:ascii="Calibri" w:eastAsia="Calibri" w:hAnsi="Calibri" w:cs="Calibri"/>
        <w:b/>
        <w:color w:val="6FA8DC"/>
        <w:sz w:val="36"/>
        <w:szCs w:val="36"/>
      </w:rPr>
    </w:pPr>
    <w:r>
      <w:rPr>
        <w:rFonts w:ascii="Calibri" w:eastAsia="Calibri" w:hAnsi="Calibri" w:cs="Calibri"/>
        <w:b/>
        <w:color w:val="6FA8DC"/>
        <w:sz w:val="20"/>
        <w:szCs w:val="20"/>
      </w:rPr>
      <w:t>Versión 1.0</w:t>
    </w:r>
  </w:p>
  <w:p w:rsidR="001706B9" w:rsidRDefault="00CE0E98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  <w:sz w:val="36"/>
        <w:szCs w:val="36"/>
      </w:rPr>
    </w:pPr>
    <w:r>
      <w:pict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6B9" w:rsidRDefault="001706B9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81346"/>
    <w:multiLevelType w:val="multilevel"/>
    <w:tmpl w:val="24E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24626"/>
    <w:multiLevelType w:val="multilevel"/>
    <w:tmpl w:val="B776A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6B9"/>
    <w:rsid w:val="001706B9"/>
    <w:rsid w:val="00C018BA"/>
    <w:rsid w:val="00C24B55"/>
    <w:rsid w:val="00CE0E98"/>
    <w:rsid w:val="00EC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E0F31D"/>
  <w15:docId w15:val="{96F2A1DE-EBC4-420A-BF97-39FCF8DF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Pr>
      <w:rFonts w:ascii="Calibri" w:eastAsia="Calibri" w:hAnsi="Calibri" w:cs="Calibri"/>
      <w:b/>
      <w:sz w:val="28"/>
      <w:szCs w:val="28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4B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B55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C4D98"/>
    <w:rPr>
      <w:b/>
      <w:bCs/>
    </w:rPr>
  </w:style>
  <w:style w:type="table" w:styleId="Tabladecuadrcula5oscura-nfasis1">
    <w:name w:val="Grid Table 5 Dark Accent 1"/>
    <w:basedOn w:val="Tablanormal"/>
    <w:uiPriority w:val="50"/>
    <w:rsid w:val="00EC4D9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decuadrcula4-nfasis1">
    <w:name w:val="Grid Table 4 Accent 1"/>
    <w:basedOn w:val="Tablanormal"/>
    <w:uiPriority w:val="49"/>
    <w:rsid w:val="00EC4D9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C4D9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D98"/>
  </w:style>
  <w:style w:type="paragraph" w:styleId="Piedepgina">
    <w:name w:val="footer"/>
    <w:basedOn w:val="Normal"/>
    <w:link w:val="PiedepginaCar"/>
    <w:uiPriority w:val="99"/>
    <w:unhideWhenUsed/>
    <w:rsid w:val="00EC4D9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7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36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Javier Molina Barrero</dc:creator>
  <cp:lastModifiedBy>PERSONAL</cp:lastModifiedBy>
  <cp:revision>3</cp:revision>
  <dcterms:created xsi:type="dcterms:W3CDTF">2018-10-20T15:31:00Z</dcterms:created>
  <dcterms:modified xsi:type="dcterms:W3CDTF">2026-07-12T00:15:00Z</dcterms:modified>
</cp:coreProperties>
</file>