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B3A6B"/>
          <w:sz w:val="40"/>
          <w:szCs w:val="40"/>
        </w:rPr>
        <w:t xml:space="preserve">TaricAI — Análisis Competitivo</w:t>
      </w:r>
    </w:p>
    <w:p>
      <w:pPr>
        <w:spacing w:before="0" w:after="0"/>
      </w:pPr>
      <w:r>
        <w:rPr>
          <w:rFonts w:ascii="Arial" w:cs="Arial" w:eastAsia="Arial" w:hAnsi="Arial"/>
          <w:i/>
          <w:iCs/>
          <w:color w:val="666666"/>
          <w:sz w:val="19"/>
          <w:szCs w:val="19"/>
        </w:rPr>
        <w:t xml:space="preserve">Documento de trabajo interno · Plan de Negocio 2026 · Versión 2.0</w:t>
      </w:r>
    </w:p>
    <w:p>
      <w:pPr>
        <w:pBdr>
          <w:bottom w:val="single" w:color="1B3A6B" w:sz="4" w:space="1"/>
        </w:pBdr>
        <w:spacing w:before="200" w:after="200"/>
      </w:pPr>
      <w:r>
        <w:t xml:space="preserve"/>
      </w:r>
    </w:p>
    <w:p>
      <w:pPr>
        <w:spacing w:before="400" w:after="160"/>
      </w:pPr>
      <w:r>
        <w:rPr>
          <w:rFonts w:ascii="Arial" w:cs="Arial" w:eastAsia="Arial" w:hAnsi="Arial"/>
          <w:b/>
          <w:bCs/>
          <w:color w:val="1B3A6B"/>
          <w:sz w:val="30"/>
          <w:szCs w:val="30"/>
        </w:rPr>
        <w:t xml:space="preserve">1. Contexto: el mercado de software aduanero en España</w:t>
      </w:r>
    </w:p>
    <w:p>
      <w:pPr>
        <w:spacing w:before="80" w:after="80"/>
        <w:jc w:val="both"/>
      </w:pPr>
      <w:r>
        <w:rPr>
          <w:rFonts w:ascii="Arial" w:cs="Arial" w:eastAsia="Arial" w:hAnsi="Arial"/>
          <w:b w:val="false"/>
          <w:bCs w:val="false"/>
          <w:i w:val="false"/>
          <w:iCs w:val="false"/>
          <w:color w:val="333333"/>
          <w:sz w:val="21"/>
          <w:szCs w:val="21"/>
        </w:rPr>
        <w:t xml:space="preserve">El mercado de clasificación arancelaria en España no está cubierto por ninguna solución que combine los cuatro elementos que TaricAI integra: inteligencia artificial conversacional, fuentes oficiales españolas actualizadas diariamente (AEAT, MAPA, TRACES), módulo fitosanitario completo y cálculo de Landed Cost. Esta ausencia no es una suposición — es el resultado del análisis directo de todos los competidores activos en el mercado europeo y español en 2026.</w:t>
      </w:r>
    </w:p>
    <w:p>
      <w:pPr>
        <w:spacing w:before="80" w:after="80"/>
        <w:jc w:val="both"/>
      </w:pPr>
      <w:r>
        <w:rPr>
          <w:rFonts w:ascii="Arial" w:cs="Arial" w:eastAsia="Arial" w:hAnsi="Arial"/>
          <w:b w:val="false"/>
          <w:bCs w:val="false"/>
          <w:i w:val="false"/>
          <w:iCs w:val="false"/>
          <w:color w:val="333333"/>
          <w:sz w:val="21"/>
          <w:szCs w:val="21"/>
        </w:rPr>
        <w:t xml:space="preserve">La investigación sobre el mercado confirma que el TAM global de Trade Compliance Software alcanzó $1.95 mil millones en 2025 con un CAGR del 12.5%, pero ninguno de los players globales ha desarrollado la especificidad que requiere el mercado aduanero español: integración con MAPA-TRACES para control fitosanitario, operativa OEA conforme a la AEAT y gestión del DUA con normativa EUR-Lex actualizada.</w:t>
      </w:r>
    </w:p>
    <w:p>
      <w:pPr>
        <w:spacing w:before="0" w:after="0"/>
      </w:pPr>
      <w:r>
        <w:rPr>
          <w:sz w:val="20"/>
          <w:szCs w:val="20"/>
        </w:rPr>
        <w:t xml:space="preserve"> </w:t>
      </w:r>
    </w:p>
    <w:p>
      <w:pPr>
        <w:spacing w:before="400" w:after="160"/>
      </w:pPr>
      <w:r>
        <w:rPr>
          <w:rFonts w:ascii="Arial" w:cs="Arial" w:eastAsia="Arial" w:hAnsi="Arial"/>
          <w:b/>
          <w:bCs/>
          <w:color w:val="1B3A6B"/>
          <w:sz w:val="30"/>
          <w:szCs w:val="30"/>
        </w:rPr>
        <w:t xml:space="preserve">2. Tabla comparativa de competidores (datos verificados)</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100"/>
        <w:gridCol w:w="1100"/>
        <w:gridCol w:w="1100"/>
        <w:gridCol w:w="1100"/>
        <w:gridCol w:w="1100"/>
        <w:gridCol w:w="1466"/>
      </w:tblGrid>
      <w:tr>
        <w:trPr>
          <w:tblHeader/>
        </w:trPr>
        <w:tc>
          <w:tcPr>
            <w:tcW w:type="dxa" w:w="1900"/>
            <w:tcBorders>
              <w:top w:val="single" w:color="CCCCCC" w:sz="1"/>
              <w:left w:val="single" w:color="CCCCCC" w:sz="1"/>
              <w:bottom w:val="single" w:color="CCCCCC" w:sz="1"/>
              <w:right w:val="single" w:color="CCCCCC" w:sz="1"/>
            </w:tcBorders>
            <w:shd w:fill="1B3A6B" w:val="clear"/>
            <w:tcMar>
              <w:top w:type="dxa" w:w="120"/>
              <w:left w:type="dxa" w:w="140"/>
              <w:bottom w:type="dxa" w:w="120"/>
              <w:right w:type="dxa" w:w="140"/>
            </w:tcMar>
          </w:tcPr>
          <w:p>
            <w:r>
              <w:rPr>
                <w:rFonts w:ascii="Arial" w:cs="Arial" w:eastAsia="Arial" w:hAnsi="Arial"/>
                <w:b/>
                <w:bCs/>
                <w:color w:val="FFFFFF"/>
                <w:sz w:val="20"/>
                <w:szCs w:val="20"/>
              </w:rPr>
              <w:t xml:space="preserve">Competidor</w:t>
            </w:r>
          </w:p>
        </w:tc>
        <w:tc>
          <w:tcPr>
            <w:tcW w:type="dxa" w:w="900"/>
            <w:tcBorders>
              <w:top w:val="single" w:color="CCCCCC" w:sz="1"/>
              <w:left w:val="single" w:color="CCCCCC" w:sz="1"/>
              <w:bottom w:val="single" w:color="CCCCCC" w:sz="1"/>
              <w:right w:val="single" w:color="CCCCCC" w:sz="1"/>
            </w:tcBorders>
            <w:shd w:fill="1B3A6B"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País</w:t>
            </w:r>
          </w:p>
        </w:tc>
        <w:tc>
          <w:tcPr>
            <w:tcW w:type="dxa" w:w="1100"/>
            <w:tcBorders>
              <w:top w:val="single" w:color="CCCCCC" w:sz="1"/>
              <w:left w:val="single" w:color="CCCCCC" w:sz="1"/>
              <w:bottom w:val="single" w:color="CCCCCC" w:sz="1"/>
              <w:right w:val="single" w:color="CCCCCC" w:sz="1"/>
            </w:tcBorders>
            <w:shd w:fill="1B3A6B"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IA Clasif.</w:t>
            </w:r>
          </w:p>
        </w:tc>
        <w:tc>
          <w:tcPr>
            <w:tcW w:type="dxa" w:w="1100"/>
            <w:tcBorders>
              <w:top w:val="single" w:color="CCCCCC" w:sz="1"/>
              <w:left w:val="single" w:color="CCCCCC" w:sz="1"/>
              <w:bottom w:val="single" w:color="CCCCCC" w:sz="1"/>
              <w:right w:val="single" w:color="CCCCCC" w:sz="1"/>
            </w:tcBorders>
            <w:shd w:fill="1B3A6B"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MAPA/ TRACES</w:t>
            </w:r>
          </w:p>
        </w:tc>
        <w:tc>
          <w:tcPr>
            <w:tcW w:type="dxa" w:w="1100"/>
            <w:tcBorders>
              <w:top w:val="single" w:color="CCCCCC" w:sz="1"/>
              <w:left w:val="single" w:color="CCCCCC" w:sz="1"/>
              <w:bottom w:val="single" w:color="CCCCCC" w:sz="1"/>
              <w:right w:val="single" w:color="CCCCCC" w:sz="1"/>
            </w:tcBorders>
            <w:shd w:fill="1B3A6B"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Landed Cost ES</w:t>
            </w:r>
          </w:p>
        </w:tc>
        <w:tc>
          <w:tcPr>
            <w:tcW w:type="dxa" w:w="1100"/>
            <w:tcBorders>
              <w:top w:val="single" w:color="CCCCCC" w:sz="1"/>
              <w:left w:val="single" w:color="CCCCCC" w:sz="1"/>
              <w:bottom w:val="single" w:color="CCCCCC" w:sz="1"/>
              <w:right w:val="single" w:color="CCCCCC" w:sz="1"/>
            </w:tcBorders>
            <w:shd w:fill="1B3A6B"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Fuentes ES Oficiales</w:t>
            </w:r>
          </w:p>
        </w:tc>
        <w:tc>
          <w:tcPr>
            <w:tcW w:type="dxa" w:w="1100"/>
            <w:tcBorders>
              <w:top w:val="single" w:color="CCCCCC" w:sz="1"/>
              <w:left w:val="single" w:color="CCCCCC" w:sz="1"/>
              <w:bottom w:val="single" w:color="CCCCCC" w:sz="1"/>
              <w:right w:val="single" w:color="CCCCCC" w:sz="1"/>
            </w:tcBorders>
            <w:shd w:fill="1B3A6B"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Precio accesible PYME</w:t>
            </w:r>
          </w:p>
        </w:tc>
        <w:tc>
          <w:tcPr>
            <w:tcW w:type="dxa" w:w="1466"/>
            <w:tcBorders>
              <w:top w:val="single" w:color="CCCCCC" w:sz="1"/>
              <w:left w:val="single" w:color="CCCCCC" w:sz="1"/>
              <w:bottom w:val="single" w:color="CCCCCC" w:sz="1"/>
              <w:right w:val="single" w:color="CCCCCC" w:sz="1"/>
            </w:tcBorders>
            <w:shd w:fill="1B3A6B"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Precio orientativo</w:t>
            </w:r>
          </w:p>
        </w:tc>
      </w:tr>
      <w:tr>
        <w:tc>
          <w:tcPr>
            <w:tcW w:type="dxa" w:w="1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7F4B"/>
                <w:sz w:val="20"/>
                <w:szCs w:val="20"/>
              </w:rPr>
              <w:t xml:space="preserve">⭐ TaricAI</w:t>
            </w:r>
          </w:p>
          <w:p>
            <w:r>
              <w:rPr>
                <w:rFonts w:ascii="Arial" w:cs="Arial" w:eastAsia="Arial" w:hAnsi="Arial"/>
                <w:i/>
                <w:iCs/>
                <w:color w:val="666666"/>
                <w:sz w:val="17"/>
                <w:szCs w:val="17"/>
              </w:rPr>
              <w:t xml:space="preserve">(este proyecto)</w:t>
            </w:r>
          </w:p>
        </w:tc>
        <w:tc>
          <w:tcPr>
            <w:tcW w:type="dxa" w:w="9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466"/>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color w:val="1A7F4B"/>
                <w:sz w:val="18"/>
                <w:szCs w:val="18"/>
              </w:rPr>
              <w:t xml:space="preserve">€249–€1.499/mes</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333333"/>
                <w:sz w:val="20"/>
                <w:szCs w:val="20"/>
              </w:rPr>
              <w:t xml:space="preserve">Digicust</w:t>
            </w:r>
          </w:p>
          <w:p>
            <w:r>
              <w:rPr>
                <w:rFonts w:ascii="Arial" w:cs="Arial" w:eastAsia="Arial" w:hAnsi="Arial"/>
                <w:i/>
                <w:iCs/>
                <w:color w:val="666666"/>
                <w:sz w:val="17"/>
                <w:szCs w:val="17"/>
              </w:rPr>
              <w:t xml:space="preserve">Austria · $4.84M raised</w:t>
            </w:r>
          </w:p>
        </w:tc>
        <w:tc>
          <w:tcPr>
            <w:tcW w:type="dxa" w:w="9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FF8E1"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FF8E1"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466"/>
            <w:tcBorders>
              <w:top w:val="single" w:color="CCCCCC" w:sz="1"/>
              <w:left w:val="single" w:color="CCCCCC" w:sz="1"/>
              <w:bottom w:val="single" w:color="CCCCCC" w:sz="1"/>
              <w:right w:val="single" w:color="CCCCCC" w:sz="1"/>
            </w:tcBorders>
            <w:tcMar>
              <w:top w:type="dxa" w:w="100"/>
              <w:left w:type="dxa" w:w="80"/>
              <w:bottom w:type="dxa" w:w="100"/>
              <w:right w:type="dxa" w:w="80"/>
            </w:tcMar>
          </w:tcPr>
          <w:p>
            <w:pPr>
              <w:jc w:val="center"/>
            </w:pPr>
            <w:r>
              <w:rPr>
                <w:rFonts w:ascii="Arial" w:cs="Arial" w:eastAsia="Arial" w:hAnsi="Arial"/>
                <w:color w:val="666666"/>
                <w:sz w:val="18"/>
                <w:szCs w:val="18"/>
              </w:rPr>
              <w:t xml:space="preserve">Bajo consulta</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333333"/>
                <w:sz w:val="20"/>
                <w:szCs w:val="20"/>
              </w:rPr>
              <w:t xml:space="preserve">dbTaric</w:t>
            </w:r>
          </w:p>
          <w:p>
            <w:r>
              <w:rPr>
                <w:rFonts w:ascii="Arial" w:cs="Arial" w:eastAsia="Arial" w:hAnsi="Arial"/>
                <w:i/>
                <w:iCs/>
                <w:color w:val="666666"/>
                <w:sz w:val="17"/>
                <w:szCs w:val="17"/>
              </w:rPr>
              <w:t xml:space="preserve">España · TARIC S.A.U.</w:t>
            </w:r>
          </w:p>
        </w:tc>
        <w:tc>
          <w:tcPr>
            <w:tcW w:type="dxa" w:w="9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466"/>
            <w:tcBorders>
              <w:top w:val="single" w:color="CCCCCC" w:sz="1"/>
              <w:left w:val="single" w:color="CCCCCC" w:sz="1"/>
              <w:bottom w:val="single" w:color="CCCCCC" w:sz="1"/>
              <w:right w:val="single" w:color="CCCCCC" w:sz="1"/>
            </w:tcBorders>
            <w:tcMar>
              <w:top w:type="dxa" w:w="100"/>
              <w:left w:type="dxa" w:w="80"/>
              <w:bottom w:type="dxa" w:w="100"/>
              <w:right w:type="dxa" w:w="80"/>
            </w:tcMar>
          </w:tcPr>
          <w:p>
            <w:pPr>
              <w:jc w:val="center"/>
            </w:pPr>
            <w:r>
              <w:rPr>
                <w:rFonts w:ascii="Arial" w:cs="Arial" w:eastAsia="Arial" w:hAnsi="Arial"/>
                <w:color w:val="666666"/>
                <w:sz w:val="18"/>
                <w:szCs w:val="18"/>
              </w:rPr>
              <w:t xml:space="preserve">~€300–600/año</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333333"/>
                <w:sz w:val="20"/>
                <w:szCs w:val="20"/>
              </w:rPr>
              <w:t xml:space="preserve">Avalara</w:t>
            </w:r>
          </w:p>
          <w:p>
            <w:r>
              <w:rPr>
                <w:rFonts w:ascii="Arial" w:cs="Arial" w:eastAsia="Arial" w:hAnsi="Arial"/>
                <w:i/>
                <w:iCs/>
                <w:color w:val="666666"/>
                <w:sz w:val="17"/>
                <w:szCs w:val="17"/>
              </w:rPr>
              <w:t xml:space="preserve">EEUU · Enterprise global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FF8E1"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466"/>
            <w:tcBorders>
              <w:top w:val="single" w:color="CCCCCC" w:sz="1"/>
              <w:left w:val="single" w:color="CCCCCC" w:sz="1"/>
              <w:bottom w:val="single" w:color="CCCCCC" w:sz="1"/>
              <w:right w:val="single" w:color="CCCCCC" w:sz="1"/>
            </w:tcBorders>
            <w:tcMar>
              <w:top w:type="dxa" w:w="100"/>
              <w:left w:type="dxa" w:w="80"/>
              <w:bottom w:type="dxa" w:w="100"/>
              <w:right w:type="dxa" w:w="80"/>
            </w:tcMar>
          </w:tcPr>
          <w:p>
            <w:pPr>
              <w:jc w:val="center"/>
            </w:pPr>
            <w:r>
              <w:rPr>
                <w:rFonts w:ascii="Arial" w:cs="Arial" w:eastAsia="Arial" w:hAnsi="Arial"/>
                <w:color w:val="C0392B"/>
                <w:sz w:val="18"/>
                <w:szCs w:val="18"/>
              </w:rPr>
              <w:t xml:space="preserve">$7.400–70.000+/año</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333333"/>
                <w:sz w:val="20"/>
                <w:szCs w:val="20"/>
              </w:rPr>
              <w:t xml:space="preserve">Descartes Systems</w:t>
            </w:r>
          </w:p>
          <w:p>
            <w:r>
              <w:rPr>
                <w:rFonts w:ascii="Arial" w:cs="Arial" w:eastAsia="Arial" w:hAnsi="Arial"/>
                <w:i/>
                <w:iCs/>
                <w:color w:val="666666"/>
                <w:sz w:val="17"/>
                <w:szCs w:val="17"/>
              </w:rPr>
              <w:t xml:space="preserve">Canadá · Enterprise</w:t>
            </w:r>
          </w:p>
        </w:tc>
        <w:tc>
          <w:tcPr>
            <w:tcW w:type="dxa" w:w="9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E8F5EE"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FF8E1"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100"/>
            <w:tcBorders>
              <w:top w:val="single" w:color="CCCCCC" w:sz="1"/>
              <w:left w:val="single" w:color="CCCCCC" w:sz="1"/>
              <w:bottom w:val="single" w:color="CCCCCC" w:sz="1"/>
              <w:right w:val="single" w:color="CCCCCC" w:sz="1"/>
            </w:tcBorders>
            <w:shd w:fill="FDECEA" w:val="clear"/>
            <w:tcMar>
              <w:top w:type="dxa" w:w="100"/>
              <w:left w:type="dxa" w:w="80"/>
              <w:bottom w:type="dxa" w:w="100"/>
              <w:right w:type="dxa" w:w="80"/>
            </w:tcMar>
          </w:tcPr>
          <w:p>
            <w:pPr>
              <w:jc w:val="center"/>
            </w:pPr>
            <w:r>
              <w:rPr>
                <w:rFonts w:ascii="Arial" w:cs="Arial" w:eastAsia="Arial" w:hAnsi="Arial"/>
                <w:b/>
                <w:bCs/>
                <w:sz w:val="20"/>
                <w:szCs w:val="20"/>
              </w:rPr>
              <w:t xml:space="preserve">❌</w:t>
            </w:r>
          </w:p>
        </w:tc>
        <w:tc>
          <w:tcPr>
            <w:tcW w:type="dxa" w:w="1466"/>
            <w:tcBorders>
              <w:top w:val="single" w:color="CCCCCC" w:sz="1"/>
              <w:left w:val="single" w:color="CCCCCC" w:sz="1"/>
              <w:bottom w:val="single" w:color="CCCCCC" w:sz="1"/>
              <w:right w:val="single" w:color="CCCCCC" w:sz="1"/>
            </w:tcBorders>
            <w:tcMar>
              <w:top w:type="dxa" w:w="100"/>
              <w:left w:type="dxa" w:w="80"/>
              <w:bottom w:type="dxa" w:w="100"/>
              <w:right w:type="dxa" w:w="80"/>
            </w:tcMar>
          </w:tcPr>
          <w:p>
            <w:pPr>
              <w:jc w:val="center"/>
            </w:pPr>
            <w:r>
              <w:rPr>
                <w:rFonts w:ascii="Arial" w:cs="Arial" w:eastAsia="Arial" w:hAnsi="Arial"/>
                <w:color w:val="C0392B"/>
                <w:sz w:val="18"/>
                <w:szCs w:val="18"/>
              </w:rPr>
              <w:t xml:space="preserve">$20.000+/año</w:t>
            </w:r>
          </w:p>
        </w:tc>
      </w:tr>
      <w:tr>
        <w:tc>
          <w:tcPr>
            <w:tcW w:type="dxa" w:w="8766"/>
            <w:gridSpan w:val="8"/>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1A7F4B"/>
                <w:sz w:val="17"/>
                <w:szCs w:val="17"/>
              </w:rPr>
              <w:t xml:space="preserve">✅ Disponible   </w:t>
            </w:r>
            <w:r>
              <w:rPr>
                <w:rFonts w:ascii="Arial" w:cs="Arial" w:eastAsia="Arial" w:hAnsi="Arial"/>
                <w:color w:val="C0392B"/>
                <w:sz w:val="17"/>
                <w:szCs w:val="17"/>
              </w:rPr>
              <w:t xml:space="preserve">❌ No disponible   </w:t>
            </w:r>
            <w:r>
              <w:rPr>
                <w:rFonts w:ascii="Arial" w:cs="Arial" w:eastAsia="Arial" w:hAnsi="Arial"/>
                <w:color w:val="B85C00"/>
                <w:sz w:val="17"/>
                <w:szCs w:val="17"/>
              </w:rPr>
              <w:t xml:space="preserve">⚠️ Parcial / sin especificidad española   </w:t>
            </w:r>
            <w:r>
              <w:rPr>
                <w:rFonts w:ascii="Arial" w:cs="Arial" w:eastAsia="Arial" w:hAnsi="Arial"/>
                <w:i/>
                <w:iCs/>
                <w:color w:val="666666"/>
                <w:sz w:val="17"/>
                <w:szCs w:val="17"/>
              </w:rPr>
              <w:t xml:space="preserve">Fuentes: digicust.com, taric.es, avalara.com, tracxn.com (verificado marzo 2026)</w:t>
            </w:r>
          </w:p>
        </w:tc>
      </w:tr>
    </w:tbl>
    <w:p>
      <w:pPr>
        <w:spacing w:before="0" w:after="0"/>
      </w:pPr>
      <w:r>
        <w:rPr>
          <w:sz w:val="20"/>
          <w:szCs w:val="20"/>
        </w:rPr>
        <w:t xml:space="preserve"> </w:t>
      </w:r>
    </w:p>
    <w:p>
      <w:pPr>
        <w:spacing w:before="400" w:after="160"/>
      </w:pPr>
      <w:r>
        <w:rPr>
          <w:rFonts w:ascii="Arial" w:cs="Arial" w:eastAsia="Arial" w:hAnsi="Arial"/>
          <w:b/>
          <w:bCs/>
          <w:color w:val="1B3A6B"/>
          <w:sz w:val="30"/>
          <w:szCs w:val="30"/>
        </w:rPr>
        <w:t xml:space="preserve">3. Análisis individual de competidores</w:t>
      </w:r>
    </w:p>
    <w:p>
      <w:pPr>
        <w:spacing w:before="300" w:after="120"/>
      </w:pPr>
      <w:r>
        <w:rPr>
          <w:rFonts w:ascii="Arial" w:cs="Arial" w:eastAsia="Arial" w:hAnsi="Arial"/>
          <w:b/>
          <w:bCs/>
          <w:color w:val="0F6CBD"/>
          <w:sz w:val="24"/>
          <w:szCs w:val="24"/>
        </w:rPr>
        <w:t xml:space="preserve">3.1 Digicust — Competidor más parecido (Austria)</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W w:type="dxa" w:w="8766"/>
            <w:tcBorders>
              <w:top w:val="single" w:color="CCCCCC" w:sz="1"/>
              <w:left w:val="single" w:color="CCCCCC" w:sz="1"/>
              <w:bottom w:val="single" w:color="CCCCCC" w:sz="1"/>
              <w:right w:val="single" w:color="CCCCCC" w:sz="1"/>
            </w:tcBorders>
            <w:shd w:fill="EBF0F8" w:val="clear"/>
            <w:tcMar>
              <w:top w:type="dxa" w:w="140"/>
              <w:left w:type="dxa" w:w="220"/>
              <w:bottom w:type="dxa" w:w="140"/>
              <w:right w:type="dxa" w:w="220"/>
            </w:tcMar>
          </w:tcPr>
          <w:p>
            <w:pPr>
              <w:spacing w:before="0" w:after="100"/>
            </w:pPr>
            <w:r>
              <w:rPr>
                <w:rFonts w:ascii="Arial" w:cs="Arial" w:eastAsia="Arial" w:hAnsi="Arial"/>
                <w:b/>
                <w:bCs/>
                <w:color w:val="1B3A6B"/>
                <w:sz w:val="22"/>
                <w:szCs w:val="22"/>
              </w:rPr>
              <w:t xml:space="preserve">📊 Datos verificados — Fuente: digicust.com, tracxn.com (diciembre 2025)</w:t>
            </w:r>
          </w:p>
          <w:p>
            <w:pPr>
              <w:spacing w:before="40" w:after="60"/>
            </w:pPr>
            <w:r>
              <w:rPr>
                <w:rFonts w:ascii="Arial" w:cs="Arial" w:eastAsia="Arial" w:hAnsi="Arial"/>
                <w:b/>
                <w:bCs/>
                <w:color w:val="1B3A6B"/>
                <w:sz w:val="19"/>
                <w:szCs w:val="19"/>
              </w:rPr>
              <w:t xml:space="preserve">Fundación: </w:t>
            </w:r>
            <w:r>
              <w:rPr>
                <w:rFonts w:ascii="Arial" w:cs="Arial" w:eastAsia="Arial" w:hAnsi="Arial"/>
                <w:color w:val="333333"/>
                <w:sz w:val="19"/>
                <w:szCs w:val="19"/>
              </w:rPr>
              <w:t xml:space="preserve">2020 · </w:t>
            </w:r>
            <w:r>
              <w:rPr>
                <w:rFonts w:ascii="Arial" w:cs="Arial" w:eastAsia="Arial" w:hAnsi="Arial"/>
                <w:b/>
                <w:bCs/>
                <w:color w:val="1B3A6B"/>
                <w:sz w:val="19"/>
                <w:szCs w:val="19"/>
              </w:rPr>
              <w:t xml:space="preserve">Financiación total: </w:t>
            </w:r>
            <w:r>
              <w:rPr>
                <w:rFonts w:ascii="Arial" w:cs="Arial" w:eastAsia="Arial" w:hAnsi="Arial"/>
                <w:color w:val="333333"/>
                <w:sz w:val="19"/>
                <w:szCs w:val="19"/>
              </w:rPr>
              <w:t xml:space="preserve">$4.84M (ronda seed cerrada diciembre 2025) · </w:t>
            </w:r>
            <w:r>
              <w:rPr>
                <w:rFonts w:ascii="Arial" w:cs="Arial" w:eastAsia="Arial" w:hAnsi="Arial"/>
                <w:b/>
                <w:bCs/>
                <w:color w:val="1B3A6B"/>
                <w:sz w:val="19"/>
                <w:szCs w:val="19"/>
              </w:rPr>
              <w:t xml:space="preserve">Clientes activos: </w:t>
            </w:r>
            <w:r>
              <w:rPr>
                <w:rFonts w:ascii="Arial" w:cs="Arial" w:eastAsia="Arial" w:hAnsi="Arial"/>
                <w:color w:val="333333"/>
                <w:sz w:val="19"/>
                <w:szCs w:val="19"/>
              </w:rPr>
              <w:t xml:space="preserve">+60 empresas · </w:t>
            </w:r>
            <w:r>
              <w:rPr>
                <w:rFonts w:ascii="Arial" w:cs="Arial" w:eastAsia="Arial" w:hAnsi="Arial"/>
                <w:b/>
                <w:bCs/>
                <w:color w:val="1B3A6B"/>
                <w:sz w:val="19"/>
                <w:szCs w:val="19"/>
              </w:rPr>
              <w:t xml:space="preserve">Declaraciones procesadas: </w:t>
            </w:r>
            <w:r>
              <w:rPr>
                <w:rFonts w:ascii="Arial" w:cs="Arial" w:eastAsia="Arial" w:hAnsi="Arial"/>
                <w:color w:val="333333"/>
                <w:sz w:val="19"/>
                <w:szCs w:val="19"/>
              </w:rPr>
              <w:t xml:space="preserve">+500.000</w:t>
            </w:r>
          </w:p>
        </w:tc>
      </w:tr>
    </w:tbl>
    <w:p>
      <w:pPr>
        <w:spacing w:before="0" w:after="0"/>
      </w:pPr>
      <w:r>
        <w:rPr>
          <w:sz w:val="20"/>
          <w:szCs w:val="20"/>
        </w:rPr>
        <w:t xml:space="preserve"> </w:t>
      </w:r>
    </w:p>
    <w:p>
      <w:pPr>
        <w:spacing w:before="80" w:after="80"/>
        <w:jc w:val="both"/>
      </w:pPr>
      <w:r>
        <w:rPr>
          <w:rFonts w:ascii="Arial" w:cs="Arial" w:eastAsia="Arial" w:hAnsi="Arial"/>
          <w:b w:val="false"/>
          <w:bCs w:val="false"/>
          <w:i w:val="false"/>
          <w:iCs w:val="false"/>
          <w:color w:val="333333"/>
          <w:sz w:val="21"/>
          <w:szCs w:val="21"/>
        </w:rPr>
        <w:t xml:space="preserve">Digicust es el competidor tecnológicamente más cercano a TaricAI. Automatiza entre el 70-90% del proceso de despacho aduanero y clasifica mercancías con hasta 95% de precisión en descripciones completas. Está certificado por TÜV SÜD bajo estándares IEEE para IA de confianza, y opera ya en varios países europeos con expansión activa hacia Bélgica y Países Bajos en 2025.</w:t>
      </w:r>
    </w:p>
    <w:p>
      <w:pPr>
        <w:spacing w:before="80" w:after="80"/>
        <w:jc w:val="both"/>
      </w:pPr>
      <w:r>
        <w:rPr>
          <w:rFonts w:ascii="Arial" w:cs="Arial" w:eastAsia="Arial" w:hAnsi="Arial"/>
          <w:b w:val="false"/>
          <w:bCs w:val="false"/>
          <w:i w:val="false"/>
          <w:iCs w:val="false"/>
          <w:color w:val="333333"/>
          <w:sz w:val="21"/>
          <w:szCs w:val="21"/>
        </w:rPr>
        <w:t xml:space="preserve">Sin embargo, Digicust presenta tres limitaciones estructurales para el mercado español que TaricAI resuelve:</w:t>
      </w:r>
    </w:p>
    <w:p>
      <w:pPr>
        <w:pStyle w:val="ListParagraph"/>
        <w:numPr>
          <w:ilvl w:val="0"/>
          <w:numId w:val="2"/>
        </w:numPr>
        <w:spacing w:before="60" w:after="60"/>
      </w:pPr>
      <w:r>
        <w:rPr>
          <w:rFonts w:ascii="Arial" w:cs="Arial" w:eastAsia="Arial" w:hAnsi="Arial"/>
          <w:color w:val="333333"/>
          <w:sz w:val="21"/>
          <w:szCs w:val="21"/>
        </w:rPr>
        <w:t xml:space="preserve">No integra las fuentes fitosanitarias españolas (MAPA, TRACES, SOIVRE). Su enfoque es el despacho aduanero general europeo, no la operativa específica española con control sanitario en frontera.</w:t>
      </w:r>
    </w:p>
    <w:p>
      <w:pPr>
        <w:pStyle w:val="ListParagraph"/>
        <w:numPr>
          <w:ilvl w:val="0"/>
          <w:numId w:val="2"/>
        </w:numPr>
        <w:spacing w:before="60" w:after="60"/>
      </w:pPr>
      <w:r>
        <w:rPr>
          <w:rFonts w:ascii="Arial" w:cs="Arial" w:eastAsia="Arial" w:hAnsi="Arial"/>
          <w:color w:val="333333"/>
          <w:sz w:val="21"/>
          <w:szCs w:val="21"/>
        </w:rPr>
        <w:t xml:space="preserve">No incluye el módulo de Landed Cost con tasas portuarias españolas ni el cálculo de impuestos especiales conforme a la AEAT.</w:t>
      </w:r>
    </w:p>
    <w:p>
      <w:pPr>
        <w:pStyle w:val="ListParagraph"/>
        <w:numPr>
          <w:ilvl w:val="0"/>
          <w:numId w:val="2"/>
        </w:numPr>
        <w:spacing w:before="60" w:after="60"/>
      </w:pPr>
      <w:r>
        <w:rPr>
          <w:rFonts w:ascii="Arial" w:cs="Arial" w:eastAsia="Arial" w:hAnsi="Arial"/>
          <w:color w:val="333333"/>
          <w:sz w:val="21"/>
          <w:szCs w:val="21"/>
        </w:rPr>
        <w:t xml:space="preserve">Su modelo está orientado a empresas con volumen alto de declaraciones (logistics providers, exporters). No está diseñado para las 1.200 agencias de aduanas medianas españolas ni para pymes importadoras.</w:t>
      </w:r>
    </w:p>
    <w:p>
      <w:pPr>
        <w:pStyle w:val="ListParagraph"/>
        <w:numPr>
          <w:ilvl w:val="0"/>
          <w:numId w:val="2"/>
        </w:numPr>
        <w:spacing w:before="60" w:after="60"/>
      </w:pPr>
      <w:r>
        <w:rPr>
          <w:rFonts w:ascii="Arial" w:cs="Arial" w:eastAsia="Arial" w:hAnsi="Arial"/>
          <w:color w:val="333333"/>
          <w:sz w:val="21"/>
          <w:szCs w:val="21"/>
        </w:rPr>
        <w:t xml:space="preserve">Opera en inglés y alemán. No tiene interfaz en español ni soporte para la terminología operativa española (OEA, DUA, EUR.1, fitosanitarios MAPA).</w:t>
      </w:r>
    </w:p>
    <w:p>
      <w:pPr>
        <w:spacing w:before="0" w:after="0"/>
      </w:pPr>
      <w:r>
        <w:rPr>
          <w:sz w:val="20"/>
          <w:szCs w:val="20"/>
        </w:rPr>
        <w:t xml:space="preserve"> </w:t>
      </w:r>
    </w:p>
    <w:p>
      <w:pPr>
        <w:spacing w:before="300" w:after="120"/>
      </w:pPr>
      <w:r>
        <w:rPr>
          <w:rFonts w:ascii="Arial" w:cs="Arial" w:eastAsia="Arial" w:hAnsi="Arial"/>
          <w:b/>
          <w:bCs/>
          <w:color w:val="0F6CBD"/>
          <w:sz w:val="24"/>
          <w:szCs w:val="24"/>
        </w:rPr>
        <w:t xml:space="preserve">3.2 dbTaric (TARIC S.A.U.) — El referente español actual sin IA</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W w:type="dxa" w:w="8766"/>
            <w:tcBorders>
              <w:top w:val="single" w:color="CCCCCC" w:sz="1"/>
              <w:left w:val="single" w:color="CCCCCC" w:sz="1"/>
              <w:bottom w:val="single" w:color="CCCCCC" w:sz="1"/>
              <w:right w:val="single" w:color="CCCCCC" w:sz="1"/>
            </w:tcBorders>
            <w:shd w:fill="EBF0F8" w:val="clear"/>
            <w:tcMar>
              <w:top w:type="dxa" w:w="140"/>
              <w:left w:type="dxa" w:w="220"/>
              <w:bottom w:type="dxa" w:w="140"/>
              <w:right w:type="dxa" w:w="220"/>
            </w:tcMar>
          </w:tcPr>
          <w:p>
            <w:pPr>
              <w:spacing w:before="0" w:after="100"/>
            </w:pPr>
            <w:r>
              <w:rPr>
                <w:rFonts w:ascii="Arial" w:cs="Arial" w:eastAsia="Arial" w:hAnsi="Arial"/>
                <w:b/>
                <w:bCs/>
                <w:color w:val="1B3A6B"/>
                <w:sz w:val="22"/>
                <w:szCs w:val="22"/>
              </w:rPr>
              <w:t xml:space="preserve">📊 Datos verificados — Fuente: taric.es (actualización v426.1, marzo 2026)</w:t>
            </w:r>
          </w:p>
          <w:p>
            <w:pPr>
              <w:spacing w:before="40" w:after="60"/>
            </w:pPr>
            <w:r>
              <w:rPr>
                <w:rFonts w:ascii="Arial" w:cs="Arial" w:eastAsia="Arial" w:hAnsi="Arial"/>
                <w:b/>
                <w:bCs/>
                <w:color w:val="1B3A6B"/>
                <w:sz w:val="19"/>
                <w:szCs w:val="19"/>
              </w:rPr>
              <w:t xml:space="preserve">Naturaleza: </w:t>
            </w:r>
            <w:r>
              <w:rPr>
                <w:rFonts w:ascii="Arial" w:cs="Arial" w:eastAsia="Arial" w:hAnsi="Arial"/>
                <w:color w:val="333333"/>
                <w:sz w:val="19"/>
                <w:szCs w:val="19"/>
              </w:rPr>
              <w:t xml:space="preserve">Base de datos arancelaria española · </w:t>
            </w:r>
            <w:r>
              <w:rPr>
                <w:rFonts w:ascii="Arial" w:cs="Arial" w:eastAsia="Arial" w:hAnsi="Arial"/>
                <w:b/>
                <w:bCs/>
                <w:color w:val="1B3A6B"/>
                <w:sz w:val="19"/>
                <w:szCs w:val="19"/>
              </w:rPr>
              <w:t xml:space="preserve">Actualización: </w:t>
            </w:r>
            <w:r>
              <w:rPr>
                <w:rFonts w:ascii="Arial" w:cs="Arial" w:eastAsia="Arial" w:hAnsi="Arial"/>
                <w:color w:val="333333"/>
                <w:sz w:val="19"/>
                <w:szCs w:val="19"/>
              </w:rPr>
              <w:t xml:space="preserve">Diaria (v426.1 publicada el 06/03/2026) · </w:t>
            </w:r>
            <w:r>
              <w:rPr>
                <w:rFonts w:ascii="Arial" w:cs="Arial" w:eastAsia="Arial" w:hAnsi="Arial"/>
                <w:b/>
                <w:bCs/>
                <w:color w:val="1B3A6B"/>
                <w:sz w:val="19"/>
                <w:szCs w:val="19"/>
              </w:rPr>
              <w:t xml:space="preserve">Modelo: </w:t>
            </w:r>
            <w:r>
              <w:rPr>
                <w:rFonts w:ascii="Arial" w:cs="Arial" w:eastAsia="Arial" w:hAnsi="Arial"/>
                <w:color w:val="333333"/>
                <w:sz w:val="19"/>
                <w:szCs w:val="19"/>
              </w:rPr>
              <w:t xml:space="preserve">Licencia de escritorio / suscripción anual</w:t>
            </w:r>
          </w:p>
        </w:tc>
      </w:tr>
    </w:tbl>
    <w:p>
      <w:pPr>
        <w:spacing w:before="0" w:after="0"/>
      </w:pPr>
      <w:r>
        <w:rPr>
          <w:sz w:val="20"/>
          <w:szCs w:val="20"/>
        </w:rPr>
        <w:t xml:space="preserve"> </w:t>
      </w:r>
    </w:p>
    <w:p>
      <w:pPr>
        <w:spacing w:before="80" w:after="80"/>
        <w:jc w:val="both"/>
      </w:pPr>
      <w:r>
        <w:rPr>
          <w:rFonts w:ascii="Arial" w:cs="Arial" w:eastAsia="Arial" w:hAnsi="Arial"/>
          <w:b w:val="false"/>
          <w:bCs w:val="false"/>
          <w:i w:val="false"/>
          <w:iCs w:val="false"/>
          <w:color w:val="333333"/>
          <w:sz w:val="21"/>
          <w:szCs w:val="21"/>
        </w:rPr>
        <w:t xml:space="preserve">dbTaric es la herramienta de referencia actual entre los agentes de aduanas españoles para consultar el arancel integrado UE. Está producida por TARIC S.A.U., empresa española especializada, y se actualiza diariamente con los datos de la AEAT y la Comisión Europea. Es la herramienta que actualmente usa el mercado objetivo de TaricAI.</w:t>
      </w:r>
    </w:p>
    <w:p>
      <w:pPr>
        <w:spacing w:before="80" w:after="80"/>
        <w:jc w:val="both"/>
      </w:pPr>
      <w:r>
        <w:rPr>
          <w:rFonts w:ascii="Arial" w:cs="Arial" w:eastAsia="Arial" w:hAnsi="Arial"/>
          <w:b w:val="false"/>
          <w:bCs w:val="false"/>
          <w:i w:val="false"/>
          <w:iCs w:val="false"/>
          <w:color w:val="333333"/>
          <w:sz w:val="21"/>
          <w:szCs w:val="21"/>
        </w:rPr>
        <w:t xml:space="preserve">Su limitación fundamental es su naturaleza: es una base de datos de consulta manual, no un agente inteligente. El agente de aduanas debe navegar la base de datos, interpretar las notas explicativas, cruzar información con MAPA y calcular los tributos manualmente. TaricAI no compite con dbTaric — automatiza el proceso que dbTaric requiere hacer manualmente.</w:t>
      </w:r>
    </w:p>
    <w:p>
      <w:pPr>
        <w:spacing w:before="80" w:after="80"/>
        <w:jc w:val="both"/>
      </w:pPr>
      <w:r>
        <w:rPr>
          <w:rFonts w:ascii="Arial" w:cs="Arial" w:eastAsia="Arial" w:hAnsi="Arial"/>
          <w:b w:val="false"/>
          <w:bCs w:val="false"/>
          <w:i w:val="false"/>
          <w:iCs w:val="false"/>
          <w:color w:val="333333"/>
          <w:sz w:val="21"/>
          <w:szCs w:val="21"/>
        </w:rPr>
        <w:t xml:space="preserve">Esta distinción es importante para ENISA: TaricAI no sustituye a una herramienta de consulta, sino que automatiza el proceso de trabajo completo que esa herramienta de consulta habilita. Son productos complementarios, no sustitutos directos.</w:t>
      </w:r>
    </w:p>
    <w:p>
      <w:pPr>
        <w:spacing w:before="0" w:after="0"/>
      </w:pPr>
      <w:r>
        <w:rPr>
          <w:sz w:val="20"/>
          <w:szCs w:val="20"/>
        </w:rPr>
        <w:t xml:space="preserve"> </w:t>
      </w:r>
    </w:p>
    <w:p>
      <w:pPr>
        <w:spacing w:before="300" w:after="120"/>
      </w:pPr>
      <w:r>
        <w:rPr>
          <w:rFonts w:ascii="Arial" w:cs="Arial" w:eastAsia="Arial" w:hAnsi="Arial"/>
          <w:b/>
          <w:bCs/>
          <w:color w:val="0F6CBD"/>
          <w:sz w:val="24"/>
          <w:szCs w:val="24"/>
        </w:rPr>
        <w:t xml:space="preserve">3.3 Avalara — El gigante global fuera del alcance de la PYME española</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W w:type="dxa" w:w="8766"/>
            <w:tcBorders>
              <w:top w:val="single" w:color="CCCCCC" w:sz="1"/>
              <w:left w:val="single" w:color="CCCCCC" w:sz="1"/>
              <w:bottom w:val="single" w:color="CCCCCC" w:sz="1"/>
              <w:right w:val="single" w:color="CCCCCC" w:sz="1"/>
            </w:tcBorders>
            <w:shd w:fill="EBF0F8" w:val="clear"/>
            <w:tcMar>
              <w:top w:type="dxa" w:w="140"/>
              <w:left w:type="dxa" w:w="220"/>
              <w:bottom w:type="dxa" w:w="140"/>
              <w:right w:type="dxa" w:w="220"/>
            </w:tcMar>
          </w:tcPr>
          <w:p>
            <w:pPr>
              <w:spacing w:before="0" w:after="100"/>
            </w:pPr>
            <w:r>
              <w:rPr>
                <w:rFonts w:ascii="Arial" w:cs="Arial" w:eastAsia="Arial" w:hAnsi="Arial"/>
                <w:b/>
                <w:bCs/>
                <w:color w:val="1B3A6B"/>
                <w:sz w:val="22"/>
                <w:szCs w:val="22"/>
              </w:rPr>
              <w:t xml:space="preserve">📊 Datos verificados — Fuente: avalara.com, vendr.com, checkthat.ai (marzo 2026)</w:t>
            </w:r>
          </w:p>
          <w:p>
            <w:pPr>
              <w:spacing w:before="40" w:after="60"/>
            </w:pPr>
            <w:r>
              <w:rPr>
                <w:rFonts w:ascii="Arial" w:cs="Arial" w:eastAsia="Arial" w:hAnsi="Arial"/>
                <w:b/>
                <w:bCs/>
                <w:color w:val="1B3A6B"/>
                <w:sz w:val="19"/>
                <w:szCs w:val="19"/>
              </w:rPr>
              <w:t xml:space="preserve">Sede: </w:t>
            </w:r>
            <w:r>
              <w:rPr>
                <w:rFonts w:ascii="Arial" w:cs="Arial" w:eastAsia="Arial" w:hAnsi="Arial"/>
                <w:color w:val="333333"/>
                <w:sz w:val="19"/>
                <w:szCs w:val="19"/>
              </w:rPr>
              <w:t xml:space="preserve">Durham, NC (EEUU) · Privada (Vista Equity Partners, IPO proyectada 2026) · </w:t>
            </w:r>
            <w:r>
              <w:rPr>
                <w:rFonts w:ascii="Arial" w:cs="Arial" w:eastAsia="Arial" w:hAnsi="Arial"/>
                <w:b/>
                <w:bCs/>
                <w:color w:val="1B3A6B"/>
                <w:sz w:val="19"/>
                <w:szCs w:val="19"/>
              </w:rPr>
              <w:t xml:space="preserve">Precio real verificado: </w:t>
            </w:r>
            <w:r>
              <w:rPr>
                <w:rFonts w:ascii="Arial" w:cs="Arial" w:eastAsia="Arial" w:hAnsi="Arial"/>
                <w:color w:val="333333"/>
                <w:sz w:val="19"/>
                <w:szCs w:val="19"/>
              </w:rPr>
              <w:t xml:space="preserve">$7.400–$70.000+/año · Implementación: $5.000–$50.000 adicionales</w:t>
            </w:r>
          </w:p>
        </w:tc>
      </w:tr>
    </w:tbl>
    <w:p>
      <w:pPr>
        <w:spacing w:before="0" w:after="0"/>
      </w:pPr>
      <w:r>
        <w:rPr>
          <w:sz w:val="20"/>
          <w:szCs w:val="20"/>
        </w:rPr>
        <w:t xml:space="preserve"> </w:t>
      </w:r>
    </w:p>
    <w:p>
      <w:pPr>
        <w:spacing w:before="80" w:after="80"/>
        <w:jc w:val="both"/>
      </w:pPr>
      <w:r>
        <w:rPr>
          <w:rFonts w:ascii="Arial" w:cs="Arial" w:eastAsia="Arial" w:hAnsi="Arial"/>
          <w:b w:val="false"/>
          <w:bCs w:val="false"/>
          <w:i w:val="false"/>
          <w:iCs w:val="false"/>
          <w:color w:val="333333"/>
          <w:sz w:val="21"/>
          <w:szCs w:val="21"/>
        </w:rPr>
        <w:t xml:space="preserve">Avalara es el mayor player global de automatización de tax compliance, con cobertura en 180+ países. Su producto de clasificación arancelaria usa IA y machine learning para asignar códigos HS a catálogos masivos de productos.</w:t>
      </w:r>
    </w:p>
    <w:p>
      <w:pPr>
        <w:spacing w:before="80" w:after="80"/>
        <w:jc w:val="both"/>
      </w:pPr>
      <w:r>
        <w:rPr>
          <w:rFonts w:ascii="Arial" w:cs="Arial" w:eastAsia="Arial" w:hAnsi="Arial"/>
          <w:b w:val="false"/>
          <w:bCs w:val="false"/>
          <w:i w:val="false"/>
          <w:iCs w:val="false"/>
          <w:color w:val="333333"/>
          <w:sz w:val="21"/>
          <w:szCs w:val="21"/>
        </w:rPr>
        <w:t xml:space="preserve">Sin embargo, Avalara no es competencia directa para TaricAI en el mercado español objetivo por tres razones verificadas:</w:t>
      </w:r>
    </w:p>
    <w:p>
      <w:pPr>
        <w:pStyle w:val="ListParagraph"/>
        <w:numPr>
          <w:ilvl w:val="0"/>
          <w:numId w:val="2"/>
        </w:numPr>
        <w:spacing w:before="60" w:after="60"/>
      </w:pPr>
      <w:r>
        <w:rPr>
          <w:rFonts w:ascii="Arial" w:cs="Arial" w:eastAsia="Arial" w:hAnsi="Arial"/>
          <w:color w:val="333333"/>
          <w:sz w:val="21"/>
          <w:szCs w:val="21"/>
        </w:rPr>
        <w:t xml:space="preserve">Precio absolutamente fuera del alcance de agencias de aduanas medianas: el coste medio de mid-market documentado por Vendr es $18.754/año solo en suscripción base, sin incluir implementación ($5.000–$50.000 adicionales). Una agencia española con 5-15 usuarios no puede asumir este coste.</w:t>
      </w:r>
    </w:p>
    <w:p>
      <w:pPr>
        <w:pStyle w:val="ListParagraph"/>
        <w:numPr>
          <w:ilvl w:val="0"/>
          <w:numId w:val="2"/>
        </w:numPr>
        <w:spacing w:before="60" w:after="60"/>
      </w:pPr>
      <w:r>
        <w:rPr>
          <w:rFonts w:ascii="Arial" w:cs="Arial" w:eastAsia="Arial" w:hAnsi="Arial"/>
          <w:color w:val="333333"/>
          <w:sz w:val="21"/>
          <w:szCs w:val="21"/>
        </w:rPr>
        <w:t xml:space="preserve">No integra las fuentes oficiales españolas (MAPA, TRACES, SOIVRE, AEAT). Está diseñada para clasificación HS global de catálogos de e-commerce y grandes importadores, no para la operativa de despacho aduanero en España.</w:t>
      </w:r>
    </w:p>
    <w:p>
      <w:pPr>
        <w:pStyle w:val="ListParagraph"/>
        <w:numPr>
          <w:ilvl w:val="0"/>
          <w:numId w:val="2"/>
        </w:numPr>
        <w:spacing w:before="60" w:after="60"/>
      </w:pPr>
      <w:r>
        <w:rPr>
          <w:rFonts w:ascii="Arial" w:cs="Arial" w:eastAsia="Arial" w:hAnsi="Arial"/>
          <w:color w:val="333333"/>
          <w:sz w:val="21"/>
          <w:szCs w:val="21"/>
        </w:rPr>
        <w:t xml:space="preserve">Modelo enterprise orientado a empresas con ingresos superiores a $1M. El mercado de TaricAI (agencias de aduanas 5-50 empleados, pymes importadoras) no es el cliente de Avalara.</w:t>
      </w:r>
    </w:p>
    <w:p>
      <w:pPr>
        <w:spacing w:before="0" w:after="0"/>
      </w:pPr>
      <w:r>
        <w:rPr>
          <w:sz w:val="20"/>
          <w:szCs w:val="20"/>
        </w:rPr>
        <w:t xml:space="preserve"> </w:t>
      </w:r>
    </w:p>
    <w:p>
      <w:pPr>
        <w:spacing w:before="300" w:after="120"/>
      </w:pPr>
      <w:r>
        <w:rPr>
          <w:rFonts w:ascii="Arial" w:cs="Arial" w:eastAsia="Arial" w:hAnsi="Arial"/>
          <w:b/>
          <w:bCs/>
          <w:color w:val="0F6CBD"/>
          <w:sz w:val="24"/>
          <w:szCs w:val="24"/>
        </w:rPr>
        <w:t xml:space="preserve">3.4 Descartes Systems Group — Enterprise logistics, no agencias medianas</w:t>
      </w:r>
    </w:p>
    <w:p>
      <w:pPr>
        <w:spacing w:before="80" w:after="80"/>
        <w:jc w:val="both"/>
      </w:pPr>
      <w:r>
        <w:rPr>
          <w:rFonts w:ascii="Arial" w:cs="Arial" w:eastAsia="Arial" w:hAnsi="Arial"/>
          <w:b w:val="false"/>
          <w:bCs w:val="false"/>
          <w:i w:val="false"/>
          <w:iCs w:val="false"/>
          <w:color w:val="333333"/>
          <w:sz w:val="21"/>
          <w:szCs w:val="21"/>
        </w:rPr>
        <w:t xml:space="preserve">Descartes es un conglomerado canadiense de software de logística y trade compliance cotizado en NASDAQ. Ofrece soluciones de customs compliance para grandes corporaciones multinacionales. Su precio y complejidad de implementación lo excluyen completamente del mercado de agencias de aduanas medianas y pymes españolas. No representa competencia directa en el segmento objetivo de TaricAI.</w:t>
      </w:r>
    </w:p>
    <w:p>
      <w:pPr>
        <w:spacing w:before="0" w:after="0"/>
      </w:pPr>
      <w:r>
        <w:rPr>
          <w:sz w:val="20"/>
          <w:szCs w:val="20"/>
        </w:rPr>
        <w:t xml:space="preserve"> </w:t>
      </w:r>
    </w:p>
    <w:p>
      <w:pPr>
        <w:pBdr>
          <w:bottom w:val="single" w:color="1B3A6B" w:sz="4" w:space="1"/>
        </w:pBdr>
        <w:spacing w:before="200" w:after="200"/>
      </w:pPr>
      <w:r>
        <w:t xml:space="preserve"/>
      </w:r>
    </w:p>
    <w:p>
      <w:pPr>
        <w:spacing w:before="400" w:after="160"/>
      </w:pPr>
      <w:r>
        <w:rPr>
          <w:rFonts w:ascii="Arial" w:cs="Arial" w:eastAsia="Arial" w:hAnsi="Arial"/>
          <w:b/>
          <w:bCs/>
          <w:color w:val="1B3A6B"/>
          <w:sz w:val="30"/>
          <w:szCs w:val="30"/>
        </w:rPr>
        <w:t xml:space="preserve">4. La ventaja diferencial de TaricAI: verificada y defendible</w:t>
      </w:r>
    </w:p>
    <w:p>
      <w:pPr>
        <w:spacing w:before="80" w:after="80"/>
        <w:jc w:val="both"/>
      </w:pPr>
      <w:r>
        <w:rPr>
          <w:rFonts w:ascii="Arial" w:cs="Arial" w:eastAsia="Arial" w:hAnsi="Arial"/>
          <w:b w:val="false"/>
          <w:bCs w:val="false"/>
          <w:i w:val="false"/>
          <w:iCs w:val="false"/>
          <w:color w:val="333333"/>
          <w:sz w:val="21"/>
          <w:szCs w:val="21"/>
        </w:rPr>
        <w:t xml:space="preserve">Tras el análisis de todos los competidores activos, la combinación que TaricAI ofrece no existe en el mercado español en 2026. La siguiente tabla resume los cuatro pilares diferenciales con su justificación:</w:t>
      </w:r>
    </w:p>
    <w:p>
      <w:pPr>
        <w:spacing w:before="0" w:after="0"/>
      </w:pPr>
      <w:r>
        <w:rPr>
          <w:sz w:val="20"/>
          <w:szCs w:val="20"/>
        </w:rPr>
        <w:t xml:space="preserve"> </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600"/>
        <w:gridCol w:w="6166"/>
      </w:tblGrid>
      <w:tr>
        <w:tc>
          <w:tcPr>
            <w:tcW w:type="dxa" w:w="26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tcPr>
          <w:p>
            <w:r>
              <w:rPr>
                <w:rFonts w:ascii="Arial" w:cs="Arial" w:eastAsia="Arial" w:hAnsi="Arial"/>
                <w:b/>
                <w:bCs/>
                <w:color w:val="FFFFFF"/>
                <w:sz w:val="21"/>
                <w:szCs w:val="21"/>
              </w:rPr>
              <w:t xml:space="preserve">Pilar diferencial</w:t>
            </w:r>
          </w:p>
        </w:tc>
        <w:tc>
          <w:tcPr>
            <w:tcW w:type="dxa" w:w="6166"/>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tcPr>
          <w:p>
            <w:r>
              <w:rPr>
                <w:rFonts w:ascii="Arial" w:cs="Arial" w:eastAsia="Arial" w:hAnsi="Arial"/>
                <w:b/>
                <w:bCs/>
                <w:color w:val="FFFFFF"/>
                <w:sz w:val="21"/>
                <w:szCs w:val="21"/>
              </w:rPr>
              <w:t xml:space="preserve">Por qué ningún competidor lo tiene para España</w:t>
            </w:r>
          </w:p>
        </w:tc>
      </w:tr>
      <w:tr>
        <w:tc>
          <w:tcPr>
            <w:tcW w:type="dxa" w:w="2600"/>
            <w:tcBorders>
              <w:top w:val="single" w:color="CCCCCC" w:sz="1"/>
              <w:left w:val="single" w:color="CCCCCC" w:sz="1"/>
              <w:bottom w:val="single" w:color="CCCCCC" w:sz="1"/>
              <w:right w:val="single" w:color="CCCCCC"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 IA + TARIC UE para España</w:t>
            </w:r>
          </w:p>
        </w:tc>
        <w:tc>
          <w:tcPr>
            <w:tcW w:type="dxa" w:w="616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dbTaric tiene el TARIC español pero sin IA. Digicust tiene IA pero sin especificidad española. TaricAI es el único que combina ambos.</w:t>
            </w:r>
          </w:p>
        </w:tc>
      </w:tr>
      <w:tr>
        <w:tc>
          <w:tcPr>
            <w:tcW w:type="dxa" w:w="2600"/>
            <w:tcBorders>
              <w:top w:val="single" w:color="CCCCCC" w:sz="1"/>
              <w:left w:val="single" w:color="CCCCCC" w:sz="1"/>
              <w:bottom w:val="single" w:color="CCCCCC" w:sz="1"/>
              <w:right w:val="single" w:color="CCCCCC"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 Módulo MAPA + TRACES</w:t>
            </w:r>
          </w:p>
        </w:tc>
        <w:tc>
          <w:tcPr>
            <w:tcW w:type="dxa" w:w="616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Ningún competidor analizado integra los requisitos fitosanitarios del MAPA y TRACES para la entrada de mercancías a España. Es una brecha real del mercado confirmada por agentes activos del sector.</w:t>
            </w:r>
          </w:p>
        </w:tc>
      </w:tr>
      <w:tr>
        <w:tc>
          <w:tcPr>
            <w:tcW w:type="dxa" w:w="2600"/>
            <w:tcBorders>
              <w:top w:val="single" w:color="CCCCCC" w:sz="1"/>
              <w:left w:val="single" w:color="CCCCCC" w:sz="1"/>
              <w:bottom w:val="single" w:color="CCCCCC" w:sz="1"/>
              <w:right w:val="single" w:color="CCCCCC"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 Landed Cost España</w:t>
            </w:r>
          </w:p>
        </w:tc>
        <w:tc>
          <w:tcPr>
            <w:tcW w:type="dxa" w:w="616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Avalara y Descartes calculan tributos pero a nivel global genérico. Ninguno incluye tasas portuarias españolas, IVA import AEAT ni la casuística fiscal específica española en un cálculo unificado.</w:t>
            </w:r>
          </w:p>
        </w:tc>
      </w:tr>
      <w:tr>
        <w:tc>
          <w:tcPr>
            <w:tcW w:type="dxa" w:w="2600"/>
            <w:tcBorders>
              <w:top w:val="single" w:color="CCCCCC" w:sz="1"/>
              <w:left w:val="single" w:color="CCCCCC" w:sz="1"/>
              <w:bottom w:val="single" w:color="CCCCCC" w:sz="1"/>
              <w:right w:val="single" w:color="CCCCCC" w:sz="1"/>
            </w:tcBorders>
            <w:shd w:fill="EBF0F8" w:val="clear"/>
            <w:tcMar>
              <w:top w:type="dxa" w:w="100"/>
              <w:left w:type="dxa" w:w="160"/>
              <w:bottom w:type="dxa" w:w="100"/>
              <w:right w:type="dxa" w:w="160"/>
            </w:tcMar>
          </w:tcPr>
          <w:p>
            <w:r>
              <w:rPr>
                <w:rFonts w:ascii="Arial" w:cs="Arial" w:eastAsia="Arial" w:hAnsi="Arial"/>
                <w:b/>
                <w:bCs/>
                <w:color w:val="1B3A6B"/>
                <w:sz w:val="20"/>
                <w:szCs w:val="20"/>
              </w:rPr>
              <w:t xml:space="preserve">💶 Precio PYME (&lt;€600/mes)</w:t>
            </w:r>
          </w:p>
        </w:tc>
        <w:tc>
          <w:tcPr>
            <w:tcW w:type="dxa" w:w="616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Avalara ($7.400–$70.000+/año) y Descartes ($20.000+/año) son inaccesibles para agencias de 5-20 empleados. TaricAI a €249/mes cubre el segmento no atendido que representa el 90% del mercado español.</w:t>
            </w:r>
          </w:p>
        </w:tc>
      </w:tr>
    </w:tbl>
    <w:p>
      <w:pPr>
        <w:spacing w:before="0" w:after="0"/>
      </w:pPr>
      <w:r>
        <w:rPr>
          <w:sz w:val="20"/>
          <w:szCs w:val="20"/>
        </w:rPr>
        <w:t xml:space="preserve"> </w:t>
      </w:r>
    </w:p>
    <w:p>
      <w:pPr>
        <w:spacing w:before="0" w:after="0"/>
      </w:pPr>
      <w:r>
        <w:rPr>
          <w:sz w:val="20"/>
          <w:szCs w:val="20"/>
        </w:rPr>
        <w:t xml:space="preserve"> </w:t>
      </w:r>
    </w:p>
    <w:p>
      <w:pPr>
        <w:spacing w:before="400" w:after="160"/>
      </w:pPr>
      <w:r>
        <w:rPr>
          <w:rFonts w:ascii="Arial" w:cs="Arial" w:eastAsia="Arial" w:hAnsi="Arial"/>
          <w:b/>
          <w:bCs/>
          <w:color w:val="1B3A6B"/>
          <w:sz w:val="30"/>
          <w:szCs w:val="30"/>
        </w:rPr>
        <w:t xml:space="preserve">5. Riesgo competitivo real y plan de defensa</w:t>
      </w:r>
    </w:p>
    <w:p>
      <w:pPr>
        <w:spacing w:before="80" w:after="80"/>
        <w:jc w:val="both"/>
      </w:pPr>
      <w:r>
        <w:rPr>
          <w:rFonts w:ascii="Arial" w:cs="Arial" w:eastAsia="Arial" w:hAnsi="Arial"/>
          <w:b w:val="false"/>
          <w:bCs w:val="false"/>
          <w:i w:val="false"/>
          <w:iCs w:val="false"/>
          <w:color w:val="333333"/>
          <w:sz w:val="21"/>
          <w:szCs w:val="21"/>
        </w:rPr>
        <w:t xml:space="preserve">La honestidad con ENISA exige reconocer el riesgo competitivo principal: Digicust, con $4.84M ya captados y presencia en expansión europea, podría entrar en el mercado español. Este es el riesgo competitivo más relevante y debe abordarse con un plan de defensa concreto.</w:t>
      </w:r>
    </w:p>
    <w:p>
      <w:pPr>
        <w:spacing w:before="0" w:after="0"/>
      </w:pPr>
      <w:r>
        <w:rPr>
          <w:sz w:val="20"/>
          <w:szCs w:val="20"/>
        </w:rPr>
        <w:t xml:space="preserve"> </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966"/>
      </w:tblGrid>
      <w:tr>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Riesgo</w:t>
            </w:r>
          </w:p>
        </w:tc>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Probabilidad</w:t>
            </w:r>
          </w:p>
        </w:tc>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Plan de mitigación</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9"/>
                <w:szCs w:val="19"/>
              </w:rPr>
              <w:t xml:space="preserve">Digicust entra en España</w:t>
            </w:r>
          </w:p>
        </w:tc>
        <w:tc>
          <w:tcPr>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B85C00"/>
                <w:sz w:val="19"/>
                <w:szCs w:val="19"/>
              </w:rPr>
              <w:t xml:space="preserve">⚠️ Media (12-24 meses)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9"/>
                <w:szCs w:val="19"/>
              </w:rPr>
              <w:t xml:space="preserve">Velocidad de go-to-market. Llegar primero a las 1.200 agencias + construir el módulo MAPA/TRACES como moat técnico que Digicust no tiene y tardaría meses en desarrollar.</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9"/>
                <w:szCs w:val="19"/>
              </w:rPr>
              <w:t xml:space="preserve">Precisión IA &lt; 90%</w:t>
            </w:r>
          </w:p>
        </w:tc>
        <w:tc>
          <w:tcPr>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color w:val="C0392B"/>
                <w:sz w:val="19"/>
                <w:szCs w:val="19"/>
              </w:rPr>
              <w:t xml:space="preserve">🔴 Alta (v1.0)</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9"/>
                <w:szCs w:val="19"/>
              </w:rPr>
              <w:t xml:space="preserve">Validación humana obligatoria en casos borderline + sistema de feedback continuo + disclaimers legales claros en T&amp;Cs.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9"/>
                <w:szCs w:val="19"/>
              </w:rPr>
              <w:t xml:space="preserve">Cambio normativa TARIC</w:t>
            </w:r>
          </w:p>
        </w:tc>
        <w:tc>
          <w:tcPr>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color w:val="C0392B"/>
                <w:sz w:val="19"/>
                <w:szCs w:val="19"/>
              </w:rPr>
              <w:t xml:space="preserve">🔴 Muy alta (anual)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9"/>
                <w:szCs w:val="19"/>
              </w:rPr>
              <w:t xml:space="preserve">Pipeline de actualización automática conectado a feeds oficiales AEAT/TARIC UE. dbTaric ya actualiza diariamente (v426.1 el 06/03/2026) — misma arquitectura aplicada a TaricAI.</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9"/>
                <w:szCs w:val="19"/>
              </w:rPr>
              <w:t xml:space="preserve">Responsabilidad legal clasificación errónea</w:t>
            </w:r>
          </w:p>
        </w:tc>
        <w:tc>
          <w:tcPr>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color w:val="C0392B"/>
                <w:sz w:val="19"/>
                <w:szCs w:val="19"/>
              </w:rPr>
              <w:t xml:space="preserve">🔴 Alto impacto</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9"/>
                <w:szCs w:val="19"/>
              </w:rPr>
              <w:t xml:space="preserve">T&amp;Cs claros: TaricAI es herramienta de apoyo, no sustituye al agente autorizado. El agente mantiene responsabilidad legal. Mismo modelo que usa dbTaric y todos los competidores del sector.</w:t>
            </w:r>
          </w:p>
        </w:tc>
      </w:tr>
    </w:tbl>
    <w:p>
      <w:pPr>
        <w:spacing w:before="0" w:after="0"/>
      </w:pPr>
      <w:r>
        <w:rPr>
          <w:sz w:val="20"/>
          <w:szCs w:val="20"/>
        </w:rPr>
        <w:t xml:space="preserve"> </w:t>
      </w:r>
    </w:p>
    <w:p>
      <w:pPr>
        <w:pBdr>
          <w:bottom w:val="single" w:color="1B3A6B" w:sz="4" w:space="1"/>
        </w:pBdr>
        <w:spacing w:before="200" w:after="200"/>
      </w:pPr>
      <w:r>
        <w:t xml:space="preserve"/>
      </w:r>
    </w:p>
    <w:p>
      <w:pPr>
        <w:spacing w:before="120" w:after="0"/>
        <w:jc w:val="center"/>
      </w:pPr>
      <w:r>
        <w:rPr>
          <w:rFonts w:ascii="Arial" w:cs="Arial" w:eastAsia="Arial" w:hAnsi="Arial"/>
          <w:i/>
          <w:iCs/>
          <w:color w:val="AAAAAA"/>
          <w:sz w:val="16"/>
          <w:szCs w:val="16"/>
        </w:rPr>
        <w:t xml:space="preserve">TaricAI · hola@taricai.es · taricai.es · Documento Confidencial — Versión 2.0 · Marzo 2026</w:t>
      </w:r>
    </w:p>
    <w:sectPr>
      <w:pgSz w:w="11906" w:h="16838" w:orient="portrait"/>
      <w:pgMar w:top="1200" w:right="1200" w:bottom="12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2026-03-11T16:22:37.274Z</dcterms:created>
  <dcterms:modified xsi:type="dcterms:W3CDTF">2026-03-11T16:22:37.275Z</dcterms:modified>
</cp:coreProperties>
</file>

<file path=docProps/custom.xml><?xml version="1.0" encoding="utf-8"?>
<Properties xmlns="http://schemas.openxmlformats.org/officeDocument/2006/custom-properties" xmlns:vt="http://schemas.openxmlformats.org/officeDocument/2006/docPropsVTypes"/>
</file>