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Arial" w:cs="Arial" w:eastAsia="Arial" w:hAnsi="Arial"/>
          <w:b/>
          <w:bCs/>
          <w:i w:val="false"/>
          <w:iCs w:val="false"/>
          <w:color w:val="1B3A6B"/>
          <w:sz w:val="42"/>
          <w:szCs w:val="42"/>
        </w:rPr>
        <w:t xml:space="preserve">TaricAI — Análisis Competitivo</w:t>
      </w:r>
    </w:p>
    <w:p>
      <w:pPr>
        <w:spacing w:before="0" w:after="0"/>
      </w:pPr>
      <w:r>
        <w:rPr>
          <w:rFonts w:ascii="Arial" w:cs="Arial" w:eastAsia="Arial" w:hAnsi="Arial"/>
          <w:b w:val="false"/>
          <w:bCs w:val="false"/>
          <w:i/>
          <w:iCs/>
          <w:color w:val="666666"/>
          <w:sz w:val="18"/>
          <w:szCs w:val="18"/>
        </w:rPr>
        <w:t xml:space="preserve">Documento de trabajo interno  ·  Plan de Negocio 2026  ·  Versión 2.1  ·  Actualizado: marzo 2026</w:t>
      </w:r>
    </w:p>
    <w:p>
      <w:pPr>
        <w:pBdr>
          <w:bottom w:val="single" w:color="1B3A6B" w:sz="4" w:space="1"/>
        </w:pBdr>
        <w:spacing w:before="180" w:after="180"/>
      </w:pPr>
      <w:r>
        <w:rPr>
          <w:rFonts w:ascii="Arial" w:cs="Arial" w:eastAsia="Arial" w:hAnsi="Arial"/>
          <w:b w:val="false"/>
          <w:bCs w:val="false"/>
          <w:i w:val="false"/>
          <w:iCs w:val="false"/>
          <w:color w:val="333333"/>
          <w:sz w:val="21"/>
          <w:szCs w:val="21"/>
        </w:rPr>
        <w:t xml:space="preserve"/>
      </w:r>
    </w:p>
    <w:p>
      <w:pPr>
        <w:spacing w:before="360" w:after="140"/>
      </w:pPr>
      <w:r>
        <w:rPr>
          <w:rFonts w:ascii="Arial" w:cs="Arial" w:eastAsia="Arial" w:hAnsi="Arial"/>
          <w:b/>
          <w:bCs/>
          <w:i w:val="false"/>
          <w:iCs w:val="false"/>
          <w:color w:val="1B3A6B"/>
          <w:sz w:val="30"/>
          <w:szCs w:val="30"/>
        </w:rPr>
        <w:t xml:space="preserve">1. Contexto: el mercado de software aduanero en España</w:t>
      </w:r>
    </w:p>
    <w:p>
      <w:pPr>
        <w:spacing w:before="80" w:after="80"/>
        <w:jc w:val="both"/>
      </w:pPr>
      <w:r>
        <w:rPr>
          <w:rFonts w:ascii="Arial" w:cs="Arial" w:eastAsia="Arial" w:hAnsi="Arial"/>
          <w:b w:val="false"/>
          <w:bCs w:val="false"/>
          <w:i w:val="false"/>
          <w:iCs w:val="false"/>
          <w:color w:val="333333"/>
          <w:sz w:val="21"/>
          <w:szCs w:val="21"/>
        </w:rPr>
        <w:t xml:space="preserve">El mercado de clasificación arancelaria en España no está cubierto por ninguna solución que combine los cuatro elementos que TaricAI integra: inteligencia artificial conversacional, fuentes oficiales españolas actualizadas diariamente (AEAT, MAPA, TRACES), módulo fitosanitario completo y cálculo de Landed Cost. Esta afirmación no parte de una suposición — es el resultado del análisis directo de los seis competidores activos más relevantes en el mercado europeo y español en 2026, detallado en las secciones siguientes.</w:t>
      </w:r>
    </w:p>
    <w:p>
      <w:pPr>
        <w:spacing w:before="80" w:after="80"/>
        <w:jc w:val="both"/>
      </w:pPr>
      <w:r>
        <w:rPr>
          <w:rFonts w:ascii="Arial" w:cs="Arial" w:eastAsia="Arial" w:hAnsi="Arial"/>
          <w:b w:val="false"/>
          <w:bCs w:val="false"/>
          <w:i w:val="false"/>
          <w:iCs w:val="false"/>
          <w:color w:val="333333"/>
          <w:sz w:val="21"/>
          <w:szCs w:val="21"/>
        </w:rPr>
        <w:t xml:space="preserve">El TAM global de Trade Compliance Software alcanzó $1.95 mil millones en 2025 con un CAGR del 12.5% (fuente: múltiples informes de mercado contrastados). Ninguno de los players globales ha desarrollado la especificidad que requiere el mercado aduanero español: integración con MAPA-TRACES para control fitosanitario, operativa OEA conforme a la AEAT y gestión del DUA con normativa EUR-Lex actualizada. El mercado español presenta por tanto una brecha estructural no cubierta por ningún proveedor activo.</w:t>
      </w:r>
    </w:p>
    <w:p>
      <w:pPr>
        <w:spacing w:before="0" w:after="0"/>
      </w:pPr>
      <w:r>
        <w:rPr>
          <w:rFonts w:ascii="Arial" w:cs="Arial" w:eastAsia="Arial" w:hAnsi="Arial"/>
          <w:b w:val="false"/>
          <w:bCs w:val="false"/>
          <w:i w:val="false"/>
          <w:iCs w:val="false"/>
          <w:color w:val="333333"/>
          <w:sz w:val="18"/>
          <w:szCs w:val="18"/>
        </w:rPr>
        <w:t xml:space="preserve"> </w:t>
      </w:r>
    </w:p>
    <w:p>
      <w:pPr>
        <w:spacing w:before="360" w:after="140"/>
      </w:pPr>
      <w:r>
        <w:rPr>
          <w:rFonts w:ascii="Arial" w:cs="Arial" w:eastAsia="Arial" w:hAnsi="Arial"/>
          <w:b/>
          <w:bCs/>
          <w:i w:val="false"/>
          <w:iCs w:val="false"/>
          <w:color w:val="1B3A6B"/>
          <w:sz w:val="30"/>
          <w:szCs w:val="30"/>
        </w:rPr>
        <w:t xml:space="preserve">2. Tabla comparativa de competidores (6 competidores, datos verificados)</w:t>
      </w:r>
    </w:p>
    <w:tbl>
      <w:tblPr>
        <w:tblW w:type="dxa" w:w="8766"/>
        <w:tblBorders>
          <w:top w:val="single" w:color="auto" w:sz="4"/>
          <w:left w:val="single" w:color="auto" w:sz="4"/>
          <w:bottom w:val="single" w:color="auto" w:sz="4"/>
          <w:right w:val="single" w:color="auto" w:sz="4"/>
          <w:insideH w:val="single" w:color="auto" w:sz="4"/>
          <w:insideV w:val="single" w:color="auto" w:sz="4"/>
        </w:tblBorders>
      </w:tblPr>
      <w:tblGrid>
        <w:gridCol w:w="1700"/>
        <w:gridCol w:w="750"/>
        <w:gridCol w:w="950"/>
        <w:gridCol w:w="950"/>
        <w:gridCol w:w="950"/>
        <w:gridCol w:w="950"/>
        <w:gridCol w:w="950"/>
        <w:gridCol w:w="1400"/>
      </w:tblGrid>
      <w:tr>
        <w:trPr>
          <w:tblHeader/>
        </w:trPr>
        <w:tc>
          <w:tcPr>
            <w:tcW w:type="dxa" w:w="1700"/>
            <w:tcBorders>
              <w:top w:val="single" w:color="CCCCCC" w:sz="1"/>
              <w:left w:val="single" w:color="CCCCCC" w:sz="1"/>
              <w:bottom w:val="single" w:color="CCCCCC" w:sz="1"/>
              <w:right w:val="single" w:color="CCCCCC" w:sz="1"/>
            </w:tcBorders>
            <w:shd w:fill="152D55" w:val="clear"/>
            <w:tcMar>
              <w:top w:type="dxa" w:w="110"/>
              <w:left w:type="dxa" w:w="100"/>
              <w:bottom w:type="dxa" w:w="110"/>
              <w:right w:type="dxa" w:w="100"/>
            </w:tcMar>
          </w:tcPr>
          <w:p>
            <w:pPr>
              <w:jc w:val="center"/>
            </w:pPr>
            <w:r>
              <w:rPr>
                <w:rFonts w:ascii="Arial" w:cs="Arial" w:eastAsia="Arial" w:hAnsi="Arial"/>
                <w:b/>
                <w:bCs/>
                <w:i w:val="false"/>
                <w:iCs w:val="false"/>
                <w:color w:val="FFFFFF"/>
                <w:sz w:val="18"/>
                <w:szCs w:val="18"/>
              </w:rPr>
              <w:t xml:space="preserve">Competidor</w:t>
            </w:r>
          </w:p>
        </w:tc>
        <w:tc>
          <w:tcPr>
            <w:tcW w:type="dxa" w:w="750"/>
            <w:tcBorders>
              <w:top w:val="single" w:color="CCCCCC" w:sz="1"/>
              <w:left w:val="single" w:color="CCCCCC" w:sz="1"/>
              <w:bottom w:val="single" w:color="CCCCCC" w:sz="1"/>
              <w:right w:val="single" w:color="CCCCCC" w:sz="1"/>
            </w:tcBorders>
            <w:shd w:fill="152D55" w:val="clear"/>
            <w:tcMar>
              <w:top w:type="dxa" w:w="110"/>
              <w:left w:type="dxa" w:w="100"/>
              <w:bottom w:type="dxa" w:w="110"/>
              <w:right w:type="dxa" w:w="100"/>
            </w:tcMar>
          </w:tcPr>
          <w:p>
            <w:pPr>
              <w:jc w:val="center"/>
            </w:pPr>
            <w:r>
              <w:rPr>
                <w:rFonts w:ascii="Arial" w:cs="Arial" w:eastAsia="Arial" w:hAnsi="Arial"/>
                <w:b/>
                <w:bCs/>
                <w:i w:val="false"/>
                <w:iCs w:val="false"/>
                <w:color w:val="FFFFFF"/>
                <w:sz w:val="18"/>
                <w:szCs w:val="18"/>
              </w:rPr>
              <w:t xml:space="preserve">País</w:t>
            </w:r>
          </w:p>
        </w:tc>
        <w:tc>
          <w:tcPr>
            <w:tcW w:type="dxa" w:w="950"/>
            <w:tcBorders>
              <w:top w:val="single" w:color="CCCCCC" w:sz="1"/>
              <w:left w:val="single" w:color="CCCCCC" w:sz="1"/>
              <w:bottom w:val="single" w:color="CCCCCC" w:sz="1"/>
              <w:right w:val="single" w:color="CCCCCC" w:sz="1"/>
            </w:tcBorders>
            <w:shd w:fill="152D55" w:val="clear"/>
            <w:tcMar>
              <w:top w:type="dxa" w:w="110"/>
              <w:left w:type="dxa" w:w="100"/>
              <w:bottom w:type="dxa" w:w="110"/>
              <w:right w:type="dxa" w:w="100"/>
            </w:tcMar>
          </w:tcPr>
          <w:p>
            <w:pPr>
              <w:jc w:val="center"/>
            </w:pPr>
            <w:r>
              <w:rPr>
                <w:rFonts w:ascii="Arial" w:cs="Arial" w:eastAsia="Arial" w:hAnsi="Arial"/>
                <w:b/>
                <w:bCs/>
                <w:i w:val="false"/>
                <w:iCs w:val="false"/>
                <w:color w:val="FFFFFF"/>
                <w:sz w:val="18"/>
                <w:szCs w:val="18"/>
              </w:rPr>
              <w:t xml:space="preserve">IA Clasif.</w:t>
            </w:r>
          </w:p>
        </w:tc>
        <w:tc>
          <w:tcPr>
            <w:tcW w:type="dxa" w:w="950"/>
            <w:tcBorders>
              <w:top w:val="single" w:color="CCCCCC" w:sz="1"/>
              <w:left w:val="single" w:color="CCCCCC" w:sz="1"/>
              <w:bottom w:val="single" w:color="CCCCCC" w:sz="1"/>
              <w:right w:val="single" w:color="CCCCCC" w:sz="1"/>
            </w:tcBorders>
            <w:shd w:fill="152D55" w:val="clear"/>
            <w:tcMar>
              <w:top w:type="dxa" w:w="110"/>
              <w:left w:type="dxa" w:w="100"/>
              <w:bottom w:type="dxa" w:w="110"/>
              <w:right w:type="dxa" w:w="100"/>
            </w:tcMar>
          </w:tcPr>
          <w:p>
            <w:pPr>
              <w:jc w:val="center"/>
            </w:pPr>
            <w:r>
              <w:rPr>
                <w:rFonts w:ascii="Arial" w:cs="Arial" w:eastAsia="Arial" w:hAnsi="Arial"/>
                <w:b/>
                <w:bCs/>
                <w:i w:val="false"/>
                <w:iCs w:val="false"/>
                <w:color w:val="FFFFFF"/>
                <w:sz w:val="18"/>
                <w:szCs w:val="18"/>
              </w:rPr>
              <w:t xml:space="preserve">MAPA/TRACES</w:t>
            </w:r>
          </w:p>
        </w:tc>
        <w:tc>
          <w:tcPr>
            <w:tcW w:type="dxa" w:w="950"/>
            <w:tcBorders>
              <w:top w:val="single" w:color="CCCCCC" w:sz="1"/>
              <w:left w:val="single" w:color="CCCCCC" w:sz="1"/>
              <w:bottom w:val="single" w:color="CCCCCC" w:sz="1"/>
              <w:right w:val="single" w:color="CCCCCC" w:sz="1"/>
            </w:tcBorders>
            <w:shd w:fill="152D55" w:val="clear"/>
            <w:tcMar>
              <w:top w:type="dxa" w:w="110"/>
              <w:left w:type="dxa" w:w="100"/>
              <w:bottom w:type="dxa" w:w="110"/>
              <w:right w:type="dxa" w:w="100"/>
            </w:tcMar>
          </w:tcPr>
          <w:p>
            <w:pPr>
              <w:jc w:val="center"/>
            </w:pPr>
            <w:r>
              <w:rPr>
                <w:rFonts w:ascii="Arial" w:cs="Arial" w:eastAsia="Arial" w:hAnsi="Arial"/>
                <w:b/>
                <w:bCs/>
                <w:i w:val="false"/>
                <w:iCs w:val="false"/>
                <w:color w:val="FFFFFF"/>
                <w:sz w:val="18"/>
                <w:szCs w:val="18"/>
              </w:rPr>
              <w:t xml:space="preserve">Landed Cost ES</w:t>
            </w:r>
          </w:p>
        </w:tc>
        <w:tc>
          <w:tcPr>
            <w:tcW w:type="dxa" w:w="950"/>
            <w:tcBorders>
              <w:top w:val="single" w:color="CCCCCC" w:sz="1"/>
              <w:left w:val="single" w:color="CCCCCC" w:sz="1"/>
              <w:bottom w:val="single" w:color="CCCCCC" w:sz="1"/>
              <w:right w:val="single" w:color="CCCCCC" w:sz="1"/>
            </w:tcBorders>
            <w:shd w:fill="152D55" w:val="clear"/>
            <w:tcMar>
              <w:top w:type="dxa" w:w="110"/>
              <w:left w:type="dxa" w:w="100"/>
              <w:bottom w:type="dxa" w:w="110"/>
              <w:right w:type="dxa" w:w="100"/>
            </w:tcMar>
          </w:tcPr>
          <w:p>
            <w:pPr>
              <w:jc w:val="center"/>
            </w:pPr>
            <w:r>
              <w:rPr>
                <w:rFonts w:ascii="Arial" w:cs="Arial" w:eastAsia="Arial" w:hAnsi="Arial"/>
                <w:b/>
                <w:bCs/>
                <w:i w:val="false"/>
                <w:iCs w:val="false"/>
                <w:color w:val="FFFFFF"/>
                <w:sz w:val="18"/>
                <w:szCs w:val="18"/>
              </w:rPr>
              <w:t xml:space="preserve">Fuentes ES Oficiales</w:t>
            </w:r>
          </w:p>
        </w:tc>
        <w:tc>
          <w:tcPr>
            <w:tcW w:type="dxa" w:w="950"/>
            <w:tcBorders>
              <w:top w:val="single" w:color="CCCCCC" w:sz="1"/>
              <w:left w:val="single" w:color="CCCCCC" w:sz="1"/>
              <w:bottom w:val="single" w:color="CCCCCC" w:sz="1"/>
              <w:right w:val="single" w:color="CCCCCC" w:sz="1"/>
            </w:tcBorders>
            <w:shd w:fill="152D55" w:val="clear"/>
            <w:tcMar>
              <w:top w:type="dxa" w:w="110"/>
              <w:left w:type="dxa" w:w="100"/>
              <w:bottom w:type="dxa" w:w="110"/>
              <w:right w:type="dxa" w:w="100"/>
            </w:tcMar>
          </w:tcPr>
          <w:p>
            <w:pPr>
              <w:jc w:val="center"/>
            </w:pPr>
            <w:r>
              <w:rPr>
                <w:rFonts w:ascii="Arial" w:cs="Arial" w:eastAsia="Arial" w:hAnsi="Arial"/>
                <w:b/>
                <w:bCs/>
                <w:i w:val="false"/>
                <w:iCs w:val="false"/>
                <w:color w:val="FFFFFF"/>
                <w:sz w:val="18"/>
                <w:szCs w:val="18"/>
              </w:rPr>
              <w:t xml:space="preserve">Precio PYME</w:t>
            </w:r>
          </w:p>
        </w:tc>
        <w:tc>
          <w:tcPr>
            <w:tcW w:type="dxa" w:w="1400"/>
            <w:tcBorders>
              <w:top w:val="single" w:color="CCCCCC" w:sz="1"/>
              <w:left w:val="single" w:color="CCCCCC" w:sz="1"/>
              <w:bottom w:val="single" w:color="CCCCCC" w:sz="1"/>
              <w:right w:val="single" w:color="CCCCCC" w:sz="1"/>
            </w:tcBorders>
            <w:shd w:fill="152D55" w:val="clear"/>
            <w:tcMar>
              <w:top w:type="dxa" w:w="110"/>
              <w:left w:type="dxa" w:w="100"/>
              <w:bottom w:type="dxa" w:w="110"/>
              <w:right w:type="dxa" w:w="100"/>
            </w:tcMar>
          </w:tcPr>
          <w:p>
            <w:pPr>
              <w:jc w:val="center"/>
            </w:pPr>
            <w:r>
              <w:rPr>
                <w:rFonts w:ascii="Arial" w:cs="Arial" w:eastAsia="Arial" w:hAnsi="Arial"/>
                <w:b/>
                <w:bCs/>
                <w:i w:val="false"/>
                <w:iCs w:val="false"/>
                <w:color w:val="FFFFFF"/>
                <w:sz w:val="18"/>
                <w:szCs w:val="18"/>
              </w:rPr>
              <w:t xml:space="preserve">Precio orientativo</w:t>
            </w:r>
          </w:p>
        </w:tc>
      </w:tr>
      <w:tr>
        <w:tc>
          <w:tcPr>
            <w:tcW w:type="dxa" w:w="1700"/>
            <w:tcBorders>
              <w:top w:val="single" w:color="CCCCCC" w:sz="1"/>
              <w:left w:val="single" w:color="CCCCCC" w:sz="1"/>
              <w:bottom w:val="single" w:color="CCCCCC" w:sz="1"/>
              <w:right w:val="single" w:color="CCCCCC" w:sz="1"/>
            </w:tcBorders>
            <w:shd w:fill="E8F5EE" w:val="clear"/>
            <w:tcMar>
              <w:top w:type="dxa" w:w="90"/>
              <w:left w:type="dxa" w:w="130"/>
              <w:bottom w:type="dxa" w:w="90"/>
              <w:right w:type="dxa" w:w="100"/>
            </w:tcMar>
          </w:tcPr>
          <w:p>
            <w:r>
              <w:rPr>
                <w:rFonts w:ascii="Arial" w:cs="Arial" w:eastAsia="Arial" w:hAnsi="Arial"/>
                <w:b/>
                <w:bCs/>
                <w:i w:val="false"/>
                <w:iCs w:val="false"/>
                <w:color w:val="1A7F4B"/>
                <w:sz w:val="19"/>
                <w:szCs w:val="19"/>
              </w:rPr>
              <w:t xml:space="preserve">⭐ TaricAI</w:t>
            </w:r>
          </w:p>
          <w:p>
            <w:r>
              <w:rPr>
                <w:rFonts w:ascii="Arial" w:cs="Arial" w:eastAsia="Arial" w:hAnsi="Arial"/>
                <w:b w:val="false"/>
                <w:bCs w:val="false"/>
                <w:i/>
                <w:iCs/>
                <w:color w:val="666666"/>
                <w:sz w:val="16"/>
                <w:szCs w:val="16"/>
              </w:rPr>
              <w:t xml:space="preserve">este proyecto · España</w:t>
            </w:r>
          </w:p>
        </w:tc>
        <w:tc>
          <w:tcPr>
            <w:tcW w:type="dxa" w:w="750"/>
            <w:tcBorders>
              <w:top w:val="single" w:color="CCCCCC" w:sz="1"/>
              <w:left w:val="single" w:color="CCCCCC" w:sz="1"/>
              <w:bottom w:val="single" w:color="CCCCCC" w:sz="1"/>
              <w:right w:val="single" w:color="CCCCCC" w:sz="1"/>
            </w:tcBorders>
            <w:shd w:fill="E8F5EE" w:val="clear"/>
            <w:tcMar>
              <w:top w:type="dxa" w:w="90"/>
              <w:left w:type="dxa" w:w="60"/>
              <w:bottom w:type="dxa" w:w="90"/>
              <w:right w:type="dxa" w:w="60"/>
            </w:tcMar>
          </w:tcPr>
          <w:p>
            <w:pPr>
              <w:jc w:val="center"/>
            </w:pPr>
            <w:r>
              <w:rPr>
                <w:rFonts w:ascii="Arial" w:cs="Arial" w:eastAsia="Arial" w:hAnsi="Arial"/>
                <w:b/>
                <w:bCs/>
                <w:i w:val="false"/>
                <w:iCs w:val="false"/>
                <w:color w:val="333333"/>
                <w:sz w:val="19"/>
                <w:szCs w:val="19"/>
              </w:rPr>
              <w:t xml:space="preserve">🇪🇸</w:t>
            </w:r>
          </w:p>
        </w:tc>
        <w:tc>
          <w:tcPr>
            <w:tcW w:type="dxa" w:w="950"/>
            <w:tcBorders>
              <w:top w:val="single" w:color="CCCCCC" w:sz="1"/>
              <w:left w:val="single" w:color="CCCCCC" w:sz="1"/>
              <w:bottom w:val="single" w:color="CCCCCC" w:sz="1"/>
              <w:right w:val="single" w:color="CCCCCC" w:sz="1"/>
            </w:tcBorders>
            <w:shd w:fill="E8F5EE" w:val="clear"/>
            <w:tcMar>
              <w:top w:type="dxa" w:w="90"/>
              <w:left w:type="dxa" w:w="60"/>
              <w:bottom w:type="dxa" w:w="90"/>
              <w:right w:type="dxa" w:w="60"/>
            </w:tcMar>
          </w:tcPr>
          <w:p>
            <w:pPr>
              <w:jc w:val="center"/>
            </w:pPr>
            <w:r>
              <w:rPr>
                <w:rFonts w:ascii="Arial" w:cs="Arial" w:eastAsia="Arial" w:hAnsi="Arial"/>
                <w:b/>
                <w:bCs/>
                <w:i w:val="false"/>
                <w:iCs w:val="false"/>
                <w:color w:val="333333"/>
                <w:sz w:val="19"/>
                <w:szCs w:val="19"/>
              </w:rPr>
              <w:t xml:space="preserve">✅</w:t>
            </w:r>
          </w:p>
        </w:tc>
        <w:tc>
          <w:tcPr>
            <w:tcW w:type="dxa" w:w="950"/>
            <w:tcBorders>
              <w:top w:val="single" w:color="CCCCCC" w:sz="1"/>
              <w:left w:val="single" w:color="CCCCCC" w:sz="1"/>
              <w:bottom w:val="single" w:color="CCCCCC" w:sz="1"/>
              <w:right w:val="single" w:color="CCCCCC" w:sz="1"/>
            </w:tcBorders>
            <w:shd w:fill="E8F5EE" w:val="clear"/>
            <w:tcMar>
              <w:top w:type="dxa" w:w="90"/>
              <w:left w:type="dxa" w:w="60"/>
              <w:bottom w:type="dxa" w:w="90"/>
              <w:right w:type="dxa" w:w="60"/>
            </w:tcMar>
          </w:tcPr>
          <w:p>
            <w:pPr>
              <w:jc w:val="center"/>
            </w:pPr>
            <w:r>
              <w:rPr>
                <w:rFonts w:ascii="Arial" w:cs="Arial" w:eastAsia="Arial" w:hAnsi="Arial"/>
                <w:b/>
                <w:bCs/>
                <w:i w:val="false"/>
                <w:iCs w:val="false"/>
                <w:color w:val="333333"/>
                <w:sz w:val="19"/>
                <w:szCs w:val="19"/>
              </w:rPr>
              <w:t xml:space="preserve">✅</w:t>
            </w:r>
          </w:p>
        </w:tc>
        <w:tc>
          <w:tcPr>
            <w:tcW w:type="dxa" w:w="950"/>
            <w:tcBorders>
              <w:top w:val="single" w:color="CCCCCC" w:sz="1"/>
              <w:left w:val="single" w:color="CCCCCC" w:sz="1"/>
              <w:bottom w:val="single" w:color="CCCCCC" w:sz="1"/>
              <w:right w:val="single" w:color="CCCCCC" w:sz="1"/>
            </w:tcBorders>
            <w:shd w:fill="E8F5EE" w:val="clear"/>
            <w:tcMar>
              <w:top w:type="dxa" w:w="90"/>
              <w:left w:type="dxa" w:w="60"/>
              <w:bottom w:type="dxa" w:w="90"/>
              <w:right w:type="dxa" w:w="60"/>
            </w:tcMar>
          </w:tcPr>
          <w:p>
            <w:pPr>
              <w:jc w:val="center"/>
            </w:pPr>
            <w:r>
              <w:rPr>
                <w:rFonts w:ascii="Arial" w:cs="Arial" w:eastAsia="Arial" w:hAnsi="Arial"/>
                <w:b/>
                <w:bCs/>
                <w:i w:val="false"/>
                <w:iCs w:val="false"/>
                <w:color w:val="333333"/>
                <w:sz w:val="19"/>
                <w:szCs w:val="19"/>
              </w:rPr>
              <w:t xml:space="preserve">✅</w:t>
            </w:r>
          </w:p>
        </w:tc>
        <w:tc>
          <w:tcPr>
            <w:tcW w:type="dxa" w:w="950"/>
            <w:tcBorders>
              <w:top w:val="single" w:color="CCCCCC" w:sz="1"/>
              <w:left w:val="single" w:color="CCCCCC" w:sz="1"/>
              <w:bottom w:val="single" w:color="CCCCCC" w:sz="1"/>
              <w:right w:val="single" w:color="CCCCCC" w:sz="1"/>
            </w:tcBorders>
            <w:shd w:fill="E8F5EE" w:val="clear"/>
            <w:tcMar>
              <w:top w:type="dxa" w:w="90"/>
              <w:left w:type="dxa" w:w="60"/>
              <w:bottom w:type="dxa" w:w="90"/>
              <w:right w:type="dxa" w:w="60"/>
            </w:tcMar>
          </w:tcPr>
          <w:p>
            <w:pPr>
              <w:jc w:val="center"/>
            </w:pPr>
            <w:r>
              <w:rPr>
                <w:rFonts w:ascii="Arial" w:cs="Arial" w:eastAsia="Arial" w:hAnsi="Arial"/>
                <w:b/>
                <w:bCs/>
                <w:i w:val="false"/>
                <w:iCs w:val="false"/>
                <w:color w:val="333333"/>
                <w:sz w:val="19"/>
                <w:szCs w:val="19"/>
              </w:rPr>
              <w:t xml:space="preserve">✅</w:t>
            </w:r>
          </w:p>
        </w:tc>
        <w:tc>
          <w:tcPr>
            <w:tcW w:type="dxa" w:w="950"/>
            <w:tcBorders>
              <w:top w:val="single" w:color="CCCCCC" w:sz="1"/>
              <w:left w:val="single" w:color="CCCCCC" w:sz="1"/>
              <w:bottom w:val="single" w:color="CCCCCC" w:sz="1"/>
              <w:right w:val="single" w:color="CCCCCC" w:sz="1"/>
            </w:tcBorders>
            <w:shd w:fill="E8F5EE" w:val="clear"/>
            <w:tcMar>
              <w:top w:type="dxa" w:w="90"/>
              <w:left w:type="dxa" w:w="60"/>
              <w:bottom w:type="dxa" w:w="90"/>
              <w:right w:type="dxa" w:w="60"/>
            </w:tcMar>
          </w:tcPr>
          <w:p>
            <w:pPr>
              <w:jc w:val="center"/>
            </w:pPr>
            <w:r>
              <w:rPr>
                <w:rFonts w:ascii="Arial" w:cs="Arial" w:eastAsia="Arial" w:hAnsi="Arial"/>
                <w:b/>
                <w:bCs/>
                <w:i w:val="false"/>
                <w:iCs w:val="false"/>
                <w:color w:val="333333"/>
                <w:sz w:val="19"/>
                <w:szCs w:val="19"/>
              </w:rPr>
              <w:t xml:space="preserve">✅</w:t>
            </w:r>
          </w:p>
        </w:tc>
        <w:tc>
          <w:tcPr>
            <w:tcW w:type="dxa" w:w="1400"/>
            <w:tcBorders>
              <w:top w:val="single" w:color="CCCCCC" w:sz="1"/>
              <w:left w:val="single" w:color="CCCCCC" w:sz="1"/>
              <w:bottom w:val="single" w:color="CCCCCC" w:sz="1"/>
              <w:right w:val="single" w:color="CCCCCC" w:sz="1"/>
            </w:tcBorders>
            <w:shd w:fill="E8F5EE" w:val="clear"/>
            <w:tcMar>
              <w:top w:type="dxa" w:w="90"/>
              <w:left w:type="dxa" w:w="80"/>
              <w:bottom w:type="dxa" w:w="90"/>
              <w:right w:type="dxa" w:w="80"/>
            </w:tcMar>
          </w:tcPr>
          <w:p>
            <w:pPr>
              <w:jc w:val="center"/>
            </w:pPr>
            <w:r>
              <w:rPr>
                <w:rFonts w:ascii="Arial" w:cs="Arial" w:eastAsia="Arial" w:hAnsi="Arial"/>
                <w:b/>
                <w:bCs/>
                <w:i w:val="false"/>
                <w:iCs w:val="false"/>
                <w:color w:val="1A7F4B"/>
                <w:sz w:val="17"/>
                <w:szCs w:val="17"/>
              </w:rPr>
              <w:t xml:space="preserve">€249–€1.499/mes</w:t>
            </w:r>
          </w:p>
        </w:tc>
      </w:tr>
      <w:tr>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00"/>
            </w:tcMar>
          </w:tcPr>
          <w:p>
            <w:r>
              <w:rPr>
                <w:rFonts w:ascii="Arial" w:cs="Arial" w:eastAsia="Arial" w:hAnsi="Arial"/>
                <w:b/>
                <w:bCs/>
                <w:i w:val="false"/>
                <w:iCs w:val="false"/>
                <w:color w:val="333333"/>
                <w:sz w:val="19"/>
                <w:szCs w:val="19"/>
              </w:rPr>
              <w:t xml:space="preserve">Digicust</w:t>
            </w:r>
          </w:p>
          <w:p>
            <w:r>
              <w:rPr>
                <w:rFonts w:ascii="Arial" w:cs="Arial" w:eastAsia="Arial" w:hAnsi="Arial"/>
                <w:b w:val="false"/>
                <w:bCs w:val="false"/>
                <w:i/>
                <w:iCs/>
                <w:color w:val="666666"/>
                <w:sz w:val="16"/>
                <w:szCs w:val="16"/>
              </w:rPr>
              <w:t xml:space="preserve">Austria · $4.84M raised</w:t>
            </w:r>
          </w:p>
        </w:tc>
        <w:tc>
          <w:tcPr>
            <w:tcW w:type="dxa" w:w="750"/>
            <w:tcBorders>
              <w:top w:val="single" w:color="CCCCCC" w:sz="1"/>
              <w:left w:val="single" w:color="CCCCCC" w:sz="1"/>
              <w:bottom w:val="single" w:color="CCCCCC" w:sz="1"/>
              <w:right w:val="single" w:color="CCCCCC" w:sz="1"/>
            </w:tcBorders>
            <w:shd w:fill="FFFFFF" w:val="clear"/>
            <w:tcMar>
              <w:top w:type="dxa" w:w="90"/>
              <w:left w:type="dxa" w:w="60"/>
              <w:bottom w:type="dxa" w:w="90"/>
              <w:right w:type="dxa" w:w="60"/>
            </w:tcMar>
          </w:tcPr>
          <w:p>
            <w:pPr>
              <w:jc w:val="center"/>
            </w:pPr>
            <w:r>
              <w:rPr>
                <w:rFonts w:ascii="Arial" w:cs="Arial" w:eastAsia="Arial" w:hAnsi="Arial"/>
                <w:b/>
                <w:bCs/>
                <w:i w:val="false"/>
                <w:iCs w:val="false"/>
                <w:color w:val="333333"/>
                <w:sz w:val="19"/>
                <w:szCs w:val="19"/>
              </w:rPr>
              <w:t xml:space="preserve">🇦🇹</w:t>
            </w:r>
          </w:p>
        </w:tc>
        <w:tc>
          <w:tcPr>
            <w:tcW w:type="dxa" w:w="950"/>
            <w:tcBorders>
              <w:top w:val="single" w:color="CCCCCC" w:sz="1"/>
              <w:left w:val="single" w:color="CCCCCC" w:sz="1"/>
              <w:bottom w:val="single" w:color="CCCCCC" w:sz="1"/>
              <w:right w:val="single" w:color="CCCCCC" w:sz="1"/>
            </w:tcBorders>
            <w:shd w:fill="E8F5EE" w:val="clear"/>
            <w:tcMar>
              <w:top w:type="dxa" w:w="90"/>
              <w:left w:type="dxa" w:w="60"/>
              <w:bottom w:type="dxa" w:w="90"/>
              <w:right w:type="dxa" w:w="60"/>
            </w:tcMar>
          </w:tcPr>
          <w:p>
            <w:pPr>
              <w:jc w:val="center"/>
            </w:pPr>
            <w:r>
              <w:rPr>
                <w:rFonts w:ascii="Arial" w:cs="Arial" w:eastAsia="Arial" w:hAnsi="Arial"/>
                <w:b/>
                <w:bCs/>
                <w:i w:val="false"/>
                <w:iCs w:val="false"/>
                <w:color w:val="333333"/>
                <w:sz w:val="19"/>
                <w:szCs w:val="19"/>
              </w:rPr>
              <w:t xml:space="preserve">✅</w:t>
            </w:r>
          </w:p>
        </w:tc>
        <w:tc>
          <w:tcPr>
            <w:tcW w:type="dxa" w:w="950"/>
            <w:tcBorders>
              <w:top w:val="single" w:color="CCCCCC" w:sz="1"/>
              <w:left w:val="single" w:color="CCCCCC" w:sz="1"/>
              <w:bottom w:val="single" w:color="CCCCCC" w:sz="1"/>
              <w:right w:val="single" w:color="CCCCCC" w:sz="1"/>
            </w:tcBorders>
            <w:shd w:fill="FDECEA" w:val="clear"/>
            <w:tcMar>
              <w:top w:type="dxa" w:w="90"/>
              <w:left w:type="dxa" w:w="60"/>
              <w:bottom w:type="dxa" w:w="90"/>
              <w:right w:type="dxa" w:w="60"/>
            </w:tcMar>
          </w:tcPr>
          <w:p>
            <w:pPr>
              <w:jc w:val="center"/>
            </w:pPr>
            <w:r>
              <w:rPr>
                <w:rFonts w:ascii="Arial" w:cs="Arial" w:eastAsia="Arial" w:hAnsi="Arial"/>
                <w:b/>
                <w:bCs/>
                <w:i w:val="false"/>
                <w:iCs w:val="false"/>
                <w:color w:val="333333"/>
                <w:sz w:val="19"/>
                <w:szCs w:val="19"/>
              </w:rPr>
              <w:t xml:space="preserve">❌</w:t>
            </w:r>
          </w:p>
        </w:tc>
        <w:tc>
          <w:tcPr>
            <w:tcW w:type="dxa" w:w="950"/>
            <w:tcBorders>
              <w:top w:val="single" w:color="CCCCCC" w:sz="1"/>
              <w:left w:val="single" w:color="CCCCCC" w:sz="1"/>
              <w:bottom w:val="single" w:color="CCCCCC" w:sz="1"/>
              <w:right w:val="single" w:color="CCCCCC" w:sz="1"/>
            </w:tcBorders>
            <w:shd w:fill="FFF8E1" w:val="clear"/>
            <w:tcMar>
              <w:top w:type="dxa" w:w="90"/>
              <w:left w:type="dxa" w:w="60"/>
              <w:bottom w:type="dxa" w:w="90"/>
              <w:right w:type="dxa" w:w="60"/>
            </w:tcMar>
          </w:tcPr>
          <w:p>
            <w:pPr>
              <w:jc w:val="center"/>
            </w:pPr>
            <w:r>
              <w:rPr>
                <w:rFonts w:ascii="Arial" w:cs="Arial" w:eastAsia="Arial" w:hAnsi="Arial"/>
                <w:b/>
                <w:bCs/>
                <w:i w:val="false"/>
                <w:iCs w:val="false"/>
                <w:color w:val="333333"/>
                <w:sz w:val="19"/>
                <w:szCs w:val="19"/>
              </w:rPr>
              <w:t xml:space="preserve">⚠️</w:t>
            </w:r>
          </w:p>
        </w:tc>
        <w:tc>
          <w:tcPr>
            <w:tcW w:type="dxa" w:w="950"/>
            <w:tcBorders>
              <w:top w:val="single" w:color="CCCCCC" w:sz="1"/>
              <w:left w:val="single" w:color="CCCCCC" w:sz="1"/>
              <w:bottom w:val="single" w:color="CCCCCC" w:sz="1"/>
              <w:right w:val="single" w:color="CCCCCC" w:sz="1"/>
            </w:tcBorders>
            <w:shd w:fill="FDECEA" w:val="clear"/>
            <w:tcMar>
              <w:top w:type="dxa" w:w="90"/>
              <w:left w:type="dxa" w:w="60"/>
              <w:bottom w:type="dxa" w:w="90"/>
              <w:right w:type="dxa" w:w="60"/>
            </w:tcMar>
          </w:tcPr>
          <w:p>
            <w:pPr>
              <w:jc w:val="center"/>
            </w:pPr>
            <w:r>
              <w:rPr>
                <w:rFonts w:ascii="Arial" w:cs="Arial" w:eastAsia="Arial" w:hAnsi="Arial"/>
                <w:b/>
                <w:bCs/>
                <w:i w:val="false"/>
                <w:iCs w:val="false"/>
                <w:color w:val="333333"/>
                <w:sz w:val="19"/>
                <w:szCs w:val="19"/>
              </w:rPr>
              <w:t xml:space="preserve">❌</w:t>
            </w:r>
          </w:p>
        </w:tc>
        <w:tc>
          <w:tcPr>
            <w:tcW w:type="dxa" w:w="950"/>
            <w:tcBorders>
              <w:top w:val="single" w:color="CCCCCC" w:sz="1"/>
              <w:left w:val="single" w:color="CCCCCC" w:sz="1"/>
              <w:bottom w:val="single" w:color="CCCCCC" w:sz="1"/>
              <w:right w:val="single" w:color="CCCCCC" w:sz="1"/>
            </w:tcBorders>
            <w:shd w:fill="FFF8E1" w:val="clear"/>
            <w:tcMar>
              <w:top w:type="dxa" w:w="90"/>
              <w:left w:type="dxa" w:w="60"/>
              <w:bottom w:type="dxa" w:w="90"/>
              <w:right w:type="dxa" w:w="60"/>
            </w:tcMar>
          </w:tcPr>
          <w:p>
            <w:pPr>
              <w:jc w:val="center"/>
            </w:pPr>
            <w:r>
              <w:rPr>
                <w:rFonts w:ascii="Arial" w:cs="Arial" w:eastAsia="Arial" w:hAnsi="Arial"/>
                <w:b/>
                <w:bCs/>
                <w:i w:val="false"/>
                <w:iCs w:val="false"/>
                <w:color w:val="333333"/>
                <w:sz w:val="19"/>
                <w:szCs w:val="19"/>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90"/>
              <w:left w:type="dxa" w:w="80"/>
              <w:bottom w:type="dxa" w:w="90"/>
              <w:right w:type="dxa" w:w="80"/>
            </w:tcMar>
          </w:tcPr>
          <w:p>
            <w:pPr>
              <w:jc w:val="center"/>
            </w:pPr>
            <w:r>
              <w:rPr>
                <w:rFonts w:ascii="Arial" w:cs="Arial" w:eastAsia="Arial" w:hAnsi="Arial"/>
                <w:b/>
                <w:bCs/>
                <w:i w:val="false"/>
                <w:iCs w:val="false"/>
                <w:color w:val="666666"/>
                <w:sz w:val="17"/>
                <w:szCs w:val="17"/>
              </w:rPr>
              <w:t xml:space="preserve">Bajo consulta</w:t>
            </w:r>
          </w:p>
        </w:tc>
      </w:tr>
      <w:tr>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00"/>
            </w:tcMar>
          </w:tcPr>
          <w:p>
            <w:r>
              <w:rPr>
                <w:rFonts w:ascii="Arial" w:cs="Arial" w:eastAsia="Arial" w:hAnsi="Arial"/>
                <w:b/>
                <w:bCs/>
                <w:i w:val="false"/>
                <w:iCs w:val="false"/>
                <w:color w:val="333333"/>
                <w:sz w:val="19"/>
                <w:szCs w:val="19"/>
              </w:rPr>
              <w:t xml:space="preserve">MIC-CUST</w:t>
            </w:r>
          </w:p>
          <w:p>
            <w:r>
              <w:rPr>
                <w:rFonts w:ascii="Arial" w:cs="Arial" w:eastAsia="Arial" w:hAnsi="Arial"/>
                <w:b w:val="false"/>
                <w:bCs w:val="false"/>
                <w:i/>
                <w:iCs/>
                <w:color w:val="666666"/>
                <w:sz w:val="16"/>
                <w:szCs w:val="16"/>
              </w:rPr>
              <w:t xml:space="preserve">Alemania · Enterprise global</w:t>
            </w:r>
          </w:p>
        </w:tc>
        <w:tc>
          <w:tcPr>
            <w:tcW w:type="dxa" w:w="750"/>
            <w:tcBorders>
              <w:top w:val="single" w:color="CCCCCC" w:sz="1"/>
              <w:left w:val="single" w:color="CCCCCC" w:sz="1"/>
              <w:bottom w:val="single" w:color="CCCCCC" w:sz="1"/>
              <w:right w:val="single" w:color="CCCCCC" w:sz="1"/>
            </w:tcBorders>
            <w:shd w:fill="FFFFFF" w:val="clear"/>
            <w:tcMar>
              <w:top w:type="dxa" w:w="90"/>
              <w:left w:type="dxa" w:w="60"/>
              <w:bottom w:type="dxa" w:w="90"/>
              <w:right w:type="dxa" w:w="60"/>
            </w:tcMar>
          </w:tcPr>
          <w:p>
            <w:pPr>
              <w:jc w:val="center"/>
            </w:pPr>
            <w:r>
              <w:rPr>
                <w:rFonts w:ascii="Arial" w:cs="Arial" w:eastAsia="Arial" w:hAnsi="Arial"/>
                <w:b/>
                <w:bCs/>
                <w:i w:val="false"/>
                <w:iCs w:val="false"/>
                <w:color w:val="333333"/>
                <w:sz w:val="19"/>
                <w:szCs w:val="19"/>
              </w:rPr>
              <w:t xml:space="preserve">🇩🇪</w:t>
            </w:r>
          </w:p>
        </w:tc>
        <w:tc>
          <w:tcPr>
            <w:tcW w:type="dxa" w:w="950"/>
            <w:tcBorders>
              <w:top w:val="single" w:color="CCCCCC" w:sz="1"/>
              <w:left w:val="single" w:color="CCCCCC" w:sz="1"/>
              <w:bottom w:val="single" w:color="CCCCCC" w:sz="1"/>
              <w:right w:val="single" w:color="CCCCCC" w:sz="1"/>
            </w:tcBorders>
            <w:shd w:fill="E8F5EE" w:val="clear"/>
            <w:tcMar>
              <w:top w:type="dxa" w:w="90"/>
              <w:left w:type="dxa" w:w="60"/>
              <w:bottom w:type="dxa" w:w="90"/>
              <w:right w:type="dxa" w:w="60"/>
            </w:tcMar>
          </w:tcPr>
          <w:p>
            <w:pPr>
              <w:jc w:val="center"/>
            </w:pPr>
            <w:r>
              <w:rPr>
                <w:rFonts w:ascii="Arial" w:cs="Arial" w:eastAsia="Arial" w:hAnsi="Arial"/>
                <w:b/>
                <w:bCs/>
                <w:i w:val="false"/>
                <w:iCs w:val="false"/>
                <w:color w:val="333333"/>
                <w:sz w:val="19"/>
                <w:szCs w:val="19"/>
              </w:rPr>
              <w:t xml:space="preserve">✅</w:t>
            </w:r>
          </w:p>
        </w:tc>
        <w:tc>
          <w:tcPr>
            <w:tcW w:type="dxa" w:w="950"/>
            <w:tcBorders>
              <w:top w:val="single" w:color="CCCCCC" w:sz="1"/>
              <w:left w:val="single" w:color="CCCCCC" w:sz="1"/>
              <w:bottom w:val="single" w:color="CCCCCC" w:sz="1"/>
              <w:right w:val="single" w:color="CCCCCC" w:sz="1"/>
            </w:tcBorders>
            <w:shd w:fill="FDECEA" w:val="clear"/>
            <w:tcMar>
              <w:top w:type="dxa" w:w="90"/>
              <w:left w:type="dxa" w:w="60"/>
              <w:bottom w:type="dxa" w:w="90"/>
              <w:right w:type="dxa" w:w="60"/>
            </w:tcMar>
          </w:tcPr>
          <w:p>
            <w:pPr>
              <w:jc w:val="center"/>
            </w:pPr>
            <w:r>
              <w:rPr>
                <w:rFonts w:ascii="Arial" w:cs="Arial" w:eastAsia="Arial" w:hAnsi="Arial"/>
                <w:b/>
                <w:bCs/>
                <w:i w:val="false"/>
                <w:iCs w:val="false"/>
                <w:color w:val="333333"/>
                <w:sz w:val="19"/>
                <w:szCs w:val="19"/>
              </w:rPr>
              <w:t xml:space="preserve">❌</w:t>
            </w:r>
          </w:p>
        </w:tc>
        <w:tc>
          <w:tcPr>
            <w:tcW w:type="dxa" w:w="950"/>
            <w:tcBorders>
              <w:top w:val="single" w:color="CCCCCC" w:sz="1"/>
              <w:left w:val="single" w:color="CCCCCC" w:sz="1"/>
              <w:bottom w:val="single" w:color="CCCCCC" w:sz="1"/>
              <w:right w:val="single" w:color="CCCCCC" w:sz="1"/>
            </w:tcBorders>
            <w:shd w:fill="FDECEA" w:val="clear"/>
            <w:tcMar>
              <w:top w:type="dxa" w:w="90"/>
              <w:left w:type="dxa" w:w="60"/>
              <w:bottom w:type="dxa" w:w="90"/>
              <w:right w:type="dxa" w:w="60"/>
            </w:tcMar>
          </w:tcPr>
          <w:p>
            <w:pPr>
              <w:jc w:val="center"/>
            </w:pPr>
            <w:r>
              <w:rPr>
                <w:rFonts w:ascii="Arial" w:cs="Arial" w:eastAsia="Arial" w:hAnsi="Arial"/>
                <w:b/>
                <w:bCs/>
                <w:i w:val="false"/>
                <w:iCs w:val="false"/>
                <w:color w:val="333333"/>
                <w:sz w:val="19"/>
                <w:szCs w:val="19"/>
              </w:rPr>
              <w:t xml:space="preserve">❌</w:t>
            </w:r>
          </w:p>
        </w:tc>
        <w:tc>
          <w:tcPr>
            <w:tcW w:type="dxa" w:w="950"/>
            <w:tcBorders>
              <w:top w:val="single" w:color="CCCCCC" w:sz="1"/>
              <w:left w:val="single" w:color="CCCCCC" w:sz="1"/>
              <w:bottom w:val="single" w:color="CCCCCC" w:sz="1"/>
              <w:right w:val="single" w:color="CCCCCC" w:sz="1"/>
            </w:tcBorders>
            <w:shd w:fill="FDECEA" w:val="clear"/>
            <w:tcMar>
              <w:top w:type="dxa" w:w="90"/>
              <w:left w:type="dxa" w:w="60"/>
              <w:bottom w:type="dxa" w:w="90"/>
              <w:right w:type="dxa" w:w="60"/>
            </w:tcMar>
          </w:tcPr>
          <w:p>
            <w:pPr>
              <w:jc w:val="center"/>
            </w:pPr>
            <w:r>
              <w:rPr>
                <w:rFonts w:ascii="Arial" w:cs="Arial" w:eastAsia="Arial" w:hAnsi="Arial"/>
                <w:b/>
                <w:bCs/>
                <w:i w:val="false"/>
                <w:iCs w:val="false"/>
                <w:color w:val="333333"/>
                <w:sz w:val="19"/>
                <w:szCs w:val="19"/>
              </w:rPr>
              <w:t xml:space="preserve">❌</w:t>
            </w:r>
          </w:p>
        </w:tc>
        <w:tc>
          <w:tcPr>
            <w:tcW w:type="dxa" w:w="950"/>
            <w:tcBorders>
              <w:top w:val="single" w:color="CCCCCC" w:sz="1"/>
              <w:left w:val="single" w:color="CCCCCC" w:sz="1"/>
              <w:bottom w:val="single" w:color="CCCCCC" w:sz="1"/>
              <w:right w:val="single" w:color="CCCCCC" w:sz="1"/>
            </w:tcBorders>
            <w:shd w:fill="FDECEA" w:val="clear"/>
            <w:tcMar>
              <w:top w:type="dxa" w:w="90"/>
              <w:left w:type="dxa" w:w="60"/>
              <w:bottom w:type="dxa" w:w="90"/>
              <w:right w:type="dxa" w:w="60"/>
            </w:tcMar>
          </w:tcPr>
          <w:p>
            <w:pPr>
              <w:jc w:val="center"/>
            </w:pPr>
            <w:r>
              <w:rPr>
                <w:rFonts w:ascii="Arial" w:cs="Arial" w:eastAsia="Arial" w:hAnsi="Arial"/>
                <w:b/>
                <w:bCs/>
                <w:i w:val="false"/>
                <w:iCs w:val="false"/>
                <w:color w:val="333333"/>
                <w:sz w:val="19"/>
                <w:szCs w:val="19"/>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90"/>
              <w:left w:type="dxa" w:w="80"/>
              <w:bottom w:type="dxa" w:w="90"/>
              <w:right w:type="dxa" w:w="80"/>
            </w:tcMar>
          </w:tcPr>
          <w:p>
            <w:pPr>
              <w:jc w:val="center"/>
            </w:pPr>
            <w:r>
              <w:rPr>
                <w:rFonts w:ascii="Arial" w:cs="Arial" w:eastAsia="Arial" w:hAnsi="Arial"/>
                <w:b/>
                <w:bCs/>
                <w:i w:val="false"/>
                <w:iCs w:val="false"/>
                <w:color w:val="666666"/>
                <w:sz w:val="17"/>
                <w:szCs w:val="17"/>
              </w:rPr>
              <w:t xml:space="preserve">Enterprise / consulta</w:t>
            </w:r>
          </w:p>
        </w:tc>
      </w:tr>
      <w:tr>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00"/>
            </w:tcMar>
          </w:tcPr>
          <w:p>
            <w:r>
              <w:rPr>
                <w:rFonts w:ascii="Arial" w:cs="Arial" w:eastAsia="Arial" w:hAnsi="Arial"/>
                <w:b/>
                <w:bCs/>
                <w:i w:val="false"/>
                <w:iCs w:val="false"/>
                <w:color w:val="333333"/>
                <w:sz w:val="19"/>
                <w:szCs w:val="19"/>
              </w:rPr>
              <w:t xml:space="preserve">dbTaric</w:t>
            </w:r>
          </w:p>
          <w:p>
            <w:r>
              <w:rPr>
                <w:rFonts w:ascii="Arial" w:cs="Arial" w:eastAsia="Arial" w:hAnsi="Arial"/>
                <w:b w:val="false"/>
                <w:bCs w:val="false"/>
                <w:i/>
                <w:iCs/>
                <w:color w:val="666666"/>
                <w:sz w:val="16"/>
                <w:szCs w:val="16"/>
              </w:rPr>
              <w:t xml:space="preserve">España · TARIC S.A.U.</w:t>
            </w:r>
          </w:p>
        </w:tc>
        <w:tc>
          <w:tcPr>
            <w:tcW w:type="dxa" w:w="750"/>
            <w:tcBorders>
              <w:top w:val="single" w:color="CCCCCC" w:sz="1"/>
              <w:left w:val="single" w:color="CCCCCC" w:sz="1"/>
              <w:bottom w:val="single" w:color="CCCCCC" w:sz="1"/>
              <w:right w:val="single" w:color="CCCCCC" w:sz="1"/>
            </w:tcBorders>
            <w:shd w:fill="FFFFFF" w:val="clear"/>
            <w:tcMar>
              <w:top w:type="dxa" w:w="90"/>
              <w:left w:type="dxa" w:w="60"/>
              <w:bottom w:type="dxa" w:w="90"/>
              <w:right w:type="dxa" w:w="60"/>
            </w:tcMar>
          </w:tcPr>
          <w:p>
            <w:pPr>
              <w:jc w:val="center"/>
            </w:pPr>
            <w:r>
              <w:rPr>
                <w:rFonts w:ascii="Arial" w:cs="Arial" w:eastAsia="Arial" w:hAnsi="Arial"/>
                <w:b/>
                <w:bCs/>
                <w:i w:val="false"/>
                <w:iCs w:val="false"/>
                <w:color w:val="333333"/>
                <w:sz w:val="19"/>
                <w:szCs w:val="19"/>
              </w:rPr>
              <w:t xml:space="preserve">🇪🇸</w:t>
            </w:r>
          </w:p>
        </w:tc>
        <w:tc>
          <w:tcPr>
            <w:tcW w:type="dxa" w:w="950"/>
            <w:tcBorders>
              <w:top w:val="single" w:color="CCCCCC" w:sz="1"/>
              <w:left w:val="single" w:color="CCCCCC" w:sz="1"/>
              <w:bottom w:val="single" w:color="CCCCCC" w:sz="1"/>
              <w:right w:val="single" w:color="CCCCCC" w:sz="1"/>
            </w:tcBorders>
            <w:shd w:fill="FDECEA" w:val="clear"/>
            <w:tcMar>
              <w:top w:type="dxa" w:w="90"/>
              <w:left w:type="dxa" w:w="60"/>
              <w:bottom w:type="dxa" w:w="90"/>
              <w:right w:type="dxa" w:w="60"/>
            </w:tcMar>
          </w:tcPr>
          <w:p>
            <w:pPr>
              <w:jc w:val="center"/>
            </w:pPr>
            <w:r>
              <w:rPr>
                <w:rFonts w:ascii="Arial" w:cs="Arial" w:eastAsia="Arial" w:hAnsi="Arial"/>
                <w:b/>
                <w:bCs/>
                <w:i w:val="false"/>
                <w:iCs w:val="false"/>
                <w:color w:val="333333"/>
                <w:sz w:val="19"/>
                <w:szCs w:val="19"/>
              </w:rPr>
              <w:t xml:space="preserve">❌</w:t>
            </w:r>
          </w:p>
        </w:tc>
        <w:tc>
          <w:tcPr>
            <w:tcW w:type="dxa" w:w="950"/>
            <w:tcBorders>
              <w:top w:val="single" w:color="CCCCCC" w:sz="1"/>
              <w:left w:val="single" w:color="CCCCCC" w:sz="1"/>
              <w:bottom w:val="single" w:color="CCCCCC" w:sz="1"/>
              <w:right w:val="single" w:color="CCCCCC" w:sz="1"/>
            </w:tcBorders>
            <w:shd w:fill="FDECEA" w:val="clear"/>
            <w:tcMar>
              <w:top w:type="dxa" w:w="90"/>
              <w:left w:type="dxa" w:w="60"/>
              <w:bottom w:type="dxa" w:w="90"/>
              <w:right w:type="dxa" w:w="60"/>
            </w:tcMar>
          </w:tcPr>
          <w:p>
            <w:pPr>
              <w:jc w:val="center"/>
            </w:pPr>
            <w:r>
              <w:rPr>
                <w:rFonts w:ascii="Arial" w:cs="Arial" w:eastAsia="Arial" w:hAnsi="Arial"/>
                <w:b/>
                <w:bCs/>
                <w:i w:val="false"/>
                <w:iCs w:val="false"/>
                <w:color w:val="333333"/>
                <w:sz w:val="19"/>
                <w:szCs w:val="19"/>
              </w:rPr>
              <w:t xml:space="preserve">❌</w:t>
            </w:r>
          </w:p>
        </w:tc>
        <w:tc>
          <w:tcPr>
            <w:tcW w:type="dxa" w:w="950"/>
            <w:tcBorders>
              <w:top w:val="single" w:color="CCCCCC" w:sz="1"/>
              <w:left w:val="single" w:color="CCCCCC" w:sz="1"/>
              <w:bottom w:val="single" w:color="CCCCCC" w:sz="1"/>
              <w:right w:val="single" w:color="CCCCCC" w:sz="1"/>
            </w:tcBorders>
            <w:shd w:fill="FDECEA" w:val="clear"/>
            <w:tcMar>
              <w:top w:type="dxa" w:w="90"/>
              <w:left w:type="dxa" w:w="60"/>
              <w:bottom w:type="dxa" w:w="90"/>
              <w:right w:type="dxa" w:w="60"/>
            </w:tcMar>
          </w:tcPr>
          <w:p>
            <w:pPr>
              <w:jc w:val="center"/>
            </w:pPr>
            <w:r>
              <w:rPr>
                <w:rFonts w:ascii="Arial" w:cs="Arial" w:eastAsia="Arial" w:hAnsi="Arial"/>
                <w:b/>
                <w:bCs/>
                <w:i w:val="false"/>
                <w:iCs w:val="false"/>
                <w:color w:val="333333"/>
                <w:sz w:val="19"/>
                <w:szCs w:val="19"/>
              </w:rPr>
              <w:t xml:space="preserve">❌</w:t>
            </w:r>
          </w:p>
        </w:tc>
        <w:tc>
          <w:tcPr>
            <w:tcW w:type="dxa" w:w="950"/>
            <w:tcBorders>
              <w:top w:val="single" w:color="CCCCCC" w:sz="1"/>
              <w:left w:val="single" w:color="CCCCCC" w:sz="1"/>
              <w:bottom w:val="single" w:color="CCCCCC" w:sz="1"/>
              <w:right w:val="single" w:color="CCCCCC" w:sz="1"/>
            </w:tcBorders>
            <w:shd w:fill="E8F5EE" w:val="clear"/>
            <w:tcMar>
              <w:top w:type="dxa" w:w="90"/>
              <w:left w:type="dxa" w:w="60"/>
              <w:bottom w:type="dxa" w:w="90"/>
              <w:right w:type="dxa" w:w="60"/>
            </w:tcMar>
          </w:tcPr>
          <w:p>
            <w:pPr>
              <w:jc w:val="center"/>
            </w:pPr>
            <w:r>
              <w:rPr>
                <w:rFonts w:ascii="Arial" w:cs="Arial" w:eastAsia="Arial" w:hAnsi="Arial"/>
                <w:b/>
                <w:bCs/>
                <w:i w:val="false"/>
                <w:iCs w:val="false"/>
                <w:color w:val="333333"/>
                <w:sz w:val="19"/>
                <w:szCs w:val="19"/>
              </w:rPr>
              <w:t xml:space="preserve">✅</w:t>
            </w:r>
          </w:p>
        </w:tc>
        <w:tc>
          <w:tcPr>
            <w:tcW w:type="dxa" w:w="950"/>
            <w:tcBorders>
              <w:top w:val="single" w:color="CCCCCC" w:sz="1"/>
              <w:left w:val="single" w:color="CCCCCC" w:sz="1"/>
              <w:bottom w:val="single" w:color="CCCCCC" w:sz="1"/>
              <w:right w:val="single" w:color="CCCCCC" w:sz="1"/>
            </w:tcBorders>
            <w:shd w:fill="E8F5EE" w:val="clear"/>
            <w:tcMar>
              <w:top w:type="dxa" w:w="90"/>
              <w:left w:type="dxa" w:w="60"/>
              <w:bottom w:type="dxa" w:w="90"/>
              <w:right w:type="dxa" w:w="60"/>
            </w:tcMar>
          </w:tcPr>
          <w:p>
            <w:pPr>
              <w:jc w:val="center"/>
            </w:pPr>
            <w:r>
              <w:rPr>
                <w:rFonts w:ascii="Arial" w:cs="Arial" w:eastAsia="Arial" w:hAnsi="Arial"/>
                <w:b/>
                <w:bCs/>
                <w:i w:val="false"/>
                <w:iCs w:val="false"/>
                <w:color w:val="333333"/>
                <w:sz w:val="19"/>
                <w:szCs w:val="19"/>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90"/>
              <w:left w:type="dxa" w:w="80"/>
              <w:bottom w:type="dxa" w:w="90"/>
              <w:right w:type="dxa" w:w="80"/>
            </w:tcMar>
          </w:tcPr>
          <w:p>
            <w:pPr>
              <w:jc w:val="center"/>
            </w:pPr>
            <w:r>
              <w:rPr>
                <w:rFonts w:ascii="Arial" w:cs="Arial" w:eastAsia="Arial" w:hAnsi="Arial"/>
                <w:b/>
                <w:bCs/>
                <w:i w:val="false"/>
                <w:iCs w:val="false"/>
                <w:color w:val="666666"/>
                <w:sz w:val="17"/>
                <w:szCs w:val="17"/>
              </w:rPr>
              <w:t xml:space="preserve">~€300–600/año</w:t>
            </w:r>
          </w:p>
        </w:tc>
      </w:tr>
      <w:tr>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00"/>
            </w:tcMar>
          </w:tcPr>
          <w:p>
            <w:r>
              <w:rPr>
                <w:rFonts w:ascii="Arial" w:cs="Arial" w:eastAsia="Arial" w:hAnsi="Arial"/>
                <w:b/>
                <w:bCs/>
                <w:i w:val="false"/>
                <w:iCs w:val="false"/>
                <w:color w:val="333333"/>
                <w:sz w:val="19"/>
                <w:szCs w:val="19"/>
              </w:rPr>
              <w:t xml:space="preserve">Avalara</w:t>
            </w:r>
          </w:p>
          <w:p>
            <w:r>
              <w:rPr>
                <w:rFonts w:ascii="Arial" w:cs="Arial" w:eastAsia="Arial" w:hAnsi="Arial"/>
                <w:b w:val="false"/>
                <w:bCs w:val="false"/>
                <w:i/>
                <w:iCs/>
                <w:color w:val="666666"/>
                <w:sz w:val="16"/>
                <w:szCs w:val="16"/>
              </w:rPr>
              <w:t xml:space="preserve">EEUU · Enterprise global</w:t>
            </w:r>
          </w:p>
        </w:tc>
        <w:tc>
          <w:tcPr>
            <w:tcW w:type="dxa" w:w="750"/>
            <w:tcBorders>
              <w:top w:val="single" w:color="CCCCCC" w:sz="1"/>
              <w:left w:val="single" w:color="CCCCCC" w:sz="1"/>
              <w:bottom w:val="single" w:color="CCCCCC" w:sz="1"/>
              <w:right w:val="single" w:color="CCCCCC" w:sz="1"/>
            </w:tcBorders>
            <w:shd w:fill="FFFFFF" w:val="clear"/>
            <w:tcMar>
              <w:top w:type="dxa" w:w="90"/>
              <w:left w:type="dxa" w:w="60"/>
              <w:bottom w:type="dxa" w:w="90"/>
              <w:right w:type="dxa" w:w="60"/>
            </w:tcMar>
          </w:tcPr>
          <w:p>
            <w:pPr>
              <w:jc w:val="center"/>
            </w:pPr>
            <w:r>
              <w:rPr>
                <w:rFonts w:ascii="Arial" w:cs="Arial" w:eastAsia="Arial" w:hAnsi="Arial"/>
                <w:b/>
                <w:bCs/>
                <w:i w:val="false"/>
                <w:iCs w:val="false"/>
                <w:color w:val="333333"/>
                <w:sz w:val="19"/>
                <w:szCs w:val="19"/>
              </w:rPr>
              <w:t xml:space="preserve">🇺🇸</w:t>
            </w:r>
          </w:p>
        </w:tc>
        <w:tc>
          <w:tcPr>
            <w:tcW w:type="dxa" w:w="950"/>
            <w:tcBorders>
              <w:top w:val="single" w:color="CCCCCC" w:sz="1"/>
              <w:left w:val="single" w:color="CCCCCC" w:sz="1"/>
              <w:bottom w:val="single" w:color="CCCCCC" w:sz="1"/>
              <w:right w:val="single" w:color="CCCCCC" w:sz="1"/>
            </w:tcBorders>
            <w:shd w:fill="E8F5EE" w:val="clear"/>
            <w:tcMar>
              <w:top w:type="dxa" w:w="90"/>
              <w:left w:type="dxa" w:w="60"/>
              <w:bottom w:type="dxa" w:w="90"/>
              <w:right w:type="dxa" w:w="60"/>
            </w:tcMar>
          </w:tcPr>
          <w:p>
            <w:pPr>
              <w:jc w:val="center"/>
            </w:pPr>
            <w:r>
              <w:rPr>
                <w:rFonts w:ascii="Arial" w:cs="Arial" w:eastAsia="Arial" w:hAnsi="Arial"/>
                <w:b/>
                <w:bCs/>
                <w:i w:val="false"/>
                <w:iCs w:val="false"/>
                <w:color w:val="333333"/>
                <w:sz w:val="19"/>
                <w:szCs w:val="19"/>
              </w:rPr>
              <w:t xml:space="preserve">✅</w:t>
            </w:r>
          </w:p>
        </w:tc>
        <w:tc>
          <w:tcPr>
            <w:tcW w:type="dxa" w:w="950"/>
            <w:tcBorders>
              <w:top w:val="single" w:color="CCCCCC" w:sz="1"/>
              <w:left w:val="single" w:color="CCCCCC" w:sz="1"/>
              <w:bottom w:val="single" w:color="CCCCCC" w:sz="1"/>
              <w:right w:val="single" w:color="CCCCCC" w:sz="1"/>
            </w:tcBorders>
            <w:shd w:fill="FDECEA" w:val="clear"/>
            <w:tcMar>
              <w:top w:type="dxa" w:w="90"/>
              <w:left w:type="dxa" w:w="60"/>
              <w:bottom w:type="dxa" w:w="90"/>
              <w:right w:type="dxa" w:w="60"/>
            </w:tcMar>
          </w:tcPr>
          <w:p>
            <w:pPr>
              <w:jc w:val="center"/>
            </w:pPr>
            <w:r>
              <w:rPr>
                <w:rFonts w:ascii="Arial" w:cs="Arial" w:eastAsia="Arial" w:hAnsi="Arial"/>
                <w:b/>
                <w:bCs/>
                <w:i w:val="false"/>
                <w:iCs w:val="false"/>
                <w:color w:val="333333"/>
                <w:sz w:val="19"/>
                <w:szCs w:val="19"/>
              </w:rPr>
              <w:t xml:space="preserve">❌</w:t>
            </w:r>
          </w:p>
        </w:tc>
        <w:tc>
          <w:tcPr>
            <w:tcW w:type="dxa" w:w="950"/>
            <w:tcBorders>
              <w:top w:val="single" w:color="CCCCCC" w:sz="1"/>
              <w:left w:val="single" w:color="CCCCCC" w:sz="1"/>
              <w:bottom w:val="single" w:color="CCCCCC" w:sz="1"/>
              <w:right w:val="single" w:color="CCCCCC" w:sz="1"/>
            </w:tcBorders>
            <w:shd w:fill="FFF8E1" w:val="clear"/>
            <w:tcMar>
              <w:top w:type="dxa" w:w="90"/>
              <w:left w:type="dxa" w:w="60"/>
              <w:bottom w:type="dxa" w:w="90"/>
              <w:right w:type="dxa" w:w="60"/>
            </w:tcMar>
          </w:tcPr>
          <w:p>
            <w:pPr>
              <w:jc w:val="center"/>
            </w:pPr>
            <w:r>
              <w:rPr>
                <w:rFonts w:ascii="Arial" w:cs="Arial" w:eastAsia="Arial" w:hAnsi="Arial"/>
                <w:b/>
                <w:bCs/>
                <w:i w:val="false"/>
                <w:iCs w:val="false"/>
                <w:color w:val="333333"/>
                <w:sz w:val="19"/>
                <w:szCs w:val="19"/>
              </w:rPr>
              <w:t xml:space="preserve">⚠️</w:t>
            </w:r>
          </w:p>
        </w:tc>
        <w:tc>
          <w:tcPr>
            <w:tcW w:type="dxa" w:w="950"/>
            <w:tcBorders>
              <w:top w:val="single" w:color="CCCCCC" w:sz="1"/>
              <w:left w:val="single" w:color="CCCCCC" w:sz="1"/>
              <w:bottom w:val="single" w:color="CCCCCC" w:sz="1"/>
              <w:right w:val="single" w:color="CCCCCC" w:sz="1"/>
            </w:tcBorders>
            <w:shd w:fill="FDECEA" w:val="clear"/>
            <w:tcMar>
              <w:top w:type="dxa" w:w="90"/>
              <w:left w:type="dxa" w:w="60"/>
              <w:bottom w:type="dxa" w:w="90"/>
              <w:right w:type="dxa" w:w="60"/>
            </w:tcMar>
          </w:tcPr>
          <w:p>
            <w:pPr>
              <w:jc w:val="center"/>
            </w:pPr>
            <w:r>
              <w:rPr>
                <w:rFonts w:ascii="Arial" w:cs="Arial" w:eastAsia="Arial" w:hAnsi="Arial"/>
                <w:b/>
                <w:bCs/>
                <w:i w:val="false"/>
                <w:iCs w:val="false"/>
                <w:color w:val="333333"/>
                <w:sz w:val="19"/>
                <w:szCs w:val="19"/>
              </w:rPr>
              <w:t xml:space="preserve">❌</w:t>
            </w:r>
          </w:p>
        </w:tc>
        <w:tc>
          <w:tcPr>
            <w:tcW w:type="dxa" w:w="950"/>
            <w:tcBorders>
              <w:top w:val="single" w:color="CCCCCC" w:sz="1"/>
              <w:left w:val="single" w:color="CCCCCC" w:sz="1"/>
              <w:bottom w:val="single" w:color="CCCCCC" w:sz="1"/>
              <w:right w:val="single" w:color="CCCCCC" w:sz="1"/>
            </w:tcBorders>
            <w:shd w:fill="FDECEA" w:val="clear"/>
            <w:tcMar>
              <w:top w:type="dxa" w:w="90"/>
              <w:left w:type="dxa" w:w="60"/>
              <w:bottom w:type="dxa" w:w="90"/>
              <w:right w:type="dxa" w:w="60"/>
            </w:tcMar>
          </w:tcPr>
          <w:p>
            <w:pPr>
              <w:jc w:val="center"/>
            </w:pPr>
            <w:r>
              <w:rPr>
                <w:rFonts w:ascii="Arial" w:cs="Arial" w:eastAsia="Arial" w:hAnsi="Arial"/>
                <w:b/>
                <w:bCs/>
                <w:i w:val="false"/>
                <w:iCs w:val="false"/>
                <w:color w:val="333333"/>
                <w:sz w:val="19"/>
                <w:szCs w:val="19"/>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90"/>
              <w:left w:type="dxa" w:w="80"/>
              <w:bottom w:type="dxa" w:w="90"/>
              <w:right w:type="dxa" w:w="80"/>
            </w:tcMar>
          </w:tcPr>
          <w:p>
            <w:pPr>
              <w:jc w:val="center"/>
            </w:pPr>
            <w:r>
              <w:rPr>
                <w:rFonts w:ascii="Arial" w:cs="Arial" w:eastAsia="Arial" w:hAnsi="Arial"/>
                <w:b/>
                <w:bCs/>
                <w:i w:val="false"/>
                <w:iCs w:val="false"/>
                <w:color w:val="666666"/>
                <w:sz w:val="17"/>
                <w:szCs w:val="17"/>
              </w:rPr>
              <w:t xml:space="preserve">$7.400–70.000+/año</w:t>
            </w:r>
          </w:p>
        </w:tc>
      </w:tr>
      <w:tr>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00"/>
            </w:tcMar>
          </w:tcPr>
          <w:p>
            <w:r>
              <w:rPr>
                <w:rFonts w:ascii="Arial" w:cs="Arial" w:eastAsia="Arial" w:hAnsi="Arial"/>
                <w:b/>
                <w:bCs/>
                <w:i w:val="false"/>
                <w:iCs w:val="false"/>
                <w:color w:val="333333"/>
                <w:sz w:val="19"/>
                <w:szCs w:val="19"/>
              </w:rPr>
              <w:t xml:space="preserve">Descartes Systems</w:t>
            </w:r>
          </w:p>
          <w:p>
            <w:r>
              <w:rPr>
                <w:rFonts w:ascii="Arial" w:cs="Arial" w:eastAsia="Arial" w:hAnsi="Arial"/>
                <w:b w:val="false"/>
                <w:bCs w:val="false"/>
                <w:i/>
                <w:iCs/>
                <w:color w:val="666666"/>
                <w:sz w:val="16"/>
                <w:szCs w:val="16"/>
              </w:rPr>
              <w:t xml:space="preserve">Canadá · NASDAQ · Enterprise</w:t>
            </w:r>
          </w:p>
        </w:tc>
        <w:tc>
          <w:tcPr>
            <w:tcW w:type="dxa" w:w="750"/>
            <w:tcBorders>
              <w:top w:val="single" w:color="CCCCCC" w:sz="1"/>
              <w:left w:val="single" w:color="CCCCCC" w:sz="1"/>
              <w:bottom w:val="single" w:color="CCCCCC" w:sz="1"/>
              <w:right w:val="single" w:color="CCCCCC" w:sz="1"/>
            </w:tcBorders>
            <w:shd w:fill="FFFFFF" w:val="clear"/>
            <w:tcMar>
              <w:top w:type="dxa" w:w="90"/>
              <w:left w:type="dxa" w:w="60"/>
              <w:bottom w:type="dxa" w:w="90"/>
              <w:right w:type="dxa" w:w="60"/>
            </w:tcMar>
          </w:tcPr>
          <w:p>
            <w:pPr>
              <w:jc w:val="center"/>
            </w:pPr>
            <w:r>
              <w:rPr>
                <w:rFonts w:ascii="Arial" w:cs="Arial" w:eastAsia="Arial" w:hAnsi="Arial"/>
                <w:b/>
                <w:bCs/>
                <w:i w:val="false"/>
                <w:iCs w:val="false"/>
                <w:color w:val="333333"/>
                <w:sz w:val="19"/>
                <w:szCs w:val="19"/>
              </w:rPr>
              <w:t xml:space="preserve">🇨🇦</w:t>
            </w:r>
          </w:p>
        </w:tc>
        <w:tc>
          <w:tcPr>
            <w:tcW w:type="dxa" w:w="950"/>
            <w:tcBorders>
              <w:top w:val="single" w:color="CCCCCC" w:sz="1"/>
              <w:left w:val="single" w:color="CCCCCC" w:sz="1"/>
              <w:bottom w:val="single" w:color="CCCCCC" w:sz="1"/>
              <w:right w:val="single" w:color="CCCCCC" w:sz="1"/>
            </w:tcBorders>
            <w:shd w:fill="E8F5EE" w:val="clear"/>
            <w:tcMar>
              <w:top w:type="dxa" w:w="90"/>
              <w:left w:type="dxa" w:w="60"/>
              <w:bottom w:type="dxa" w:w="90"/>
              <w:right w:type="dxa" w:w="60"/>
            </w:tcMar>
          </w:tcPr>
          <w:p>
            <w:pPr>
              <w:jc w:val="center"/>
            </w:pPr>
            <w:r>
              <w:rPr>
                <w:rFonts w:ascii="Arial" w:cs="Arial" w:eastAsia="Arial" w:hAnsi="Arial"/>
                <w:b/>
                <w:bCs/>
                <w:i w:val="false"/>
                <w:iCs w:val="false"/>
                <w:color w:val="333333"/>
                <w:sz w:val="19"/>
                <w:szCs w:val="19"/>
              </w:rPr>
              <w:t xml:space="preserve">✅</w:t>
            </w:r>
          </w:p>
        </w:tc>
        <w:tc>
          <w:tcPr>
            <w:tcW w:type="dxa" w:w="950"/>
            <w:tcBorders>
              <w:top w:val="single" w:color="CCCCCC" w:sz="1"/>
              <w:left w:val="single" w:color="CCCCCC" w:sz="1"/>
              <w:bottom w:val="single" w:color="CCCCCC" w:sz="1"/>
              <w:right w:val="single" w:color="CCCCCC" w:sz="1"/>
            </w:tcBorders>
            <w:shd w:fill="FDECEA" w:val="clear"/>
            <w:tcMar>
              <w:top w:type="dxa" w:w="90"/>
              <w:left w:type="dxa" w:w="60"/>
              <w:bottom w:type="dxa" w:w="90"/>
              <w:right w:type="dxa" w:w="60"/>
            </w:tcMar>
          </w:tcPr>
          <w:p>
            <w:pPr>
              <w:jc w:val="center"/>
            </w:pPr>
            <w:r>
              <w:rPr>
                <w:rFonts w:ascii="Arial" w:cs="Arial" w:eastAsia="Arial" w:hAnsi="Arial"/>
                <w:b/>
                <w:bCs/>
                <w:i w:val="false"/>
                <w:iCs w:val="false"/>
                <w:color w:val="333333"/>
                <w:sz w:val="19"/>
                <w:szCs w:val="19"/>
              </w:rPr>
              <w:t xml:space="preserve">❌</w:t>
            </w:r>
          </w:p>
        </w:tc>
        <w:tc>
          <w:tcPr>
            <w:tcW w:type="dxa" w:w="950"/>
            <w:tcBorders>
              <w:top w:val="single" w:color="CCCCCC" w:sz="1"/>
              <w:left w:val="single" w:color="CCCCCC" w:sz="1"/>
              <w:bottom w:val="single" w:color="CCCCCC" w:sz="1"/>
              <w:right w:val="single" w:color="CCCCCC" w:sz="1"/>
            </w:tcBorders>
            <w:shd w:fill="FFF8E1" w:val="clear"/>
            <w:tcMar>
              <w:top w:type="dxa" w:w="90"/>
              <w:left w:type="dxa" w:w="60"/>
              <w:bottom w:type="dxa" w:w="90"/>
              <w:right w:type="dxa" w:w="60"/>
            </w:tcMar>
          </w:tcPr>
          <w:p>
            <w:pPr>
              <w:jc w:val="center"/>
            </w:pPr>
            <w:r>
              <w:rPr>
                <w:rFonts w:ascii="Arial" w:cs="Arial" w:eastAsia="Arial" w:hAnsi="Arial"/>
                <w:b/>
                <w:bCs/>
                <w:i w:val="false"/>
                <w:iCs w:val="false"/>
                <w:color w:val="333333"/>
                <w:sz w:val="19"/>
                <w:szCs w:val="19"/>
              </w:rPr>
              <w:t xml:space="preserve">⚠️</w:t>
            </w:r>
          </w:p>
        </w:tc>
        <w:tc>
          <w:tcPr>
            <w:tcW w:type="dxa" w:w="950"/>
            <w:tcBorders>
              <w:top w:val="single" w:color="CCCCCC" w:sz="1"/>
              <w:left w:val="single" w:color="CCCCCC" w:sz="1"/>
              <w:bottom w:val="single" w:color="CCCCCC" w:sz="1"/>
              <w:right w:val="single" w:color="CCCCCC" w:sz="1"/>
            </w:tcBorders>
            <w:shd w:fill="FDECEA" w:val="clear"/>
            <w:tcMar>
              <w:top w:type="dxa" w:w="90"/>
              <w:left w:type="dxa" w:w="60"/>
              <w:bottom w:type="dxa" w:w="90"/>
              <w:right w:type="dxa" w:w="60"/>
            </w:tcMar>
          </w:tcPr>
          <w:p>
            <w:pPr>
              <w:jc w:val="center"/>
            </w:pPr>
            <w:r>
              <w:rPr>
                <w:rFonts w:ascii="Arial" w:cs="Arial" w:eastAsia="Arial" w:hAnsi="Arial"/>
                <w:b/>
                <w:bCs/>
                <w:i w:val="false"/>
                <w:iCs w:val="false"/>
                <w:color w:val="333333"/>
                <w:sz w:val="19"/>
                <w:szCs w:val="19"/>
              </w:rPr>
              <w:t xml:space="preserve">❌</w:t>
            </w:r>
          </w:p>
        </w:tc>
        <w:tc>
          <w:tcPr>
            <w:tcW w:type="dxa" w:w="950"/>
            <w:tcBorders>
              <w:top w:val="single" w:color="CCCCCC" w:sz="1"/>
              <w:left w:val="single" w:color="CCCCCC" w:sz="1"/>
              <w:bottom w:val="single" w:color="CCCCCC" w:sz="1"/>
              <w:right w:val="single" w:color="CCCCCC" w:sz="1"/>
            </w:tcBorders>
            <w:shd w:fill="FDECEA" w:val="clear"/>
            <w:tcMar>
              <w:top w:type="dxa" w:w="90"/>
              <w:left w:type="dxa" w:w="60"/>
              <w:bottom w:type="dxa" w:w="90"/>
              <w:right w:type="dxa" w:w="60"/>
            </w:tcMar>
          </w:tcPr>
          <w:p>
            <w:pPr>
              <w:jc w:val="center"/>
            </w:pPr>
            <w:r>
              <w:rPr>
                <w:rFonts w:ascii="Arial" w:cs="Arial" w:eastAsia="Arial" w:hAnsi="Arial"/>
                <w:b/>
                <w:bCs/>
                <w:i w:val="false"/>
                <w:iCs w:val="false"/>
                <w:color w:val="333333"/>
                <w:sz w:val="19"/>
                <w:szCs w:val="19"/>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90"/>
              <w:left w:type="dxa" w:w="80"/>
              <w:bottom w:type="dxa" w:w="90"/>
              <w:right w:type="dxa" w:w="80"/>
            </w:tcMar>
          </w:tcPr>
          <w:p>
            <w:pPr>
              <w:jc w:val="center"/>
            </w:pPr>
            <w:r>
              <w:rPr>
                <w:rFonts w:ascii="Arial" w:cs="Arial" w:eastAsia="Arial" w:hAnsi="Arial"/>
                <w:b/>
                <w:bCs/>
                <w:i w:val="false"/>
                <w:iCs w:val="false"/>
                <w:color w:val="666666"/>
                <w:sz w:val="17"/>
                <w:szCs w:val="17"/>
              </w:rPr>
              <w:t xml:space="preserve">$20.000+/año</w:t>
            </w:r>
          </w:p>
        </w:tc>
      </w:tr>
      <w:tr>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00"/>
            </w:tcMar>
          </w:tcPr>
          <w:p>
            <w:r>
              <w:rPr>
                <w:rFonts w:ascii="Arial" w:cs="Arial" w:eastAsia="Arial" w:hAnsi="Arial"/>
                <w:b/>
                <w:bCs/>
                <w:i w:val="false"/>
                <w:iCs w:val="false"/>
                <w:color w:val="333333"/>
                <w:sz w:val="19"/>
                <w:szCs w:val="19"/>
              </w:rPr>
              <w:t xml:space="preserve">Camtom</w:t>
            </w:r>
          </w:p>
          <w:p>
            <w:r>
              <w:rPr>
                <w:rFonts w:ascii="Arial" w:cs="Arial" w:eastAsia="Arial" w:hAnsi="Arial"/>
                <w:b w:val="false"/>
                <w:bCs w:val="false"/>
                <w:i/>
                <w:iCs/>
                <w:color w:val="666666"/>
                <w:sz w:val="16"/>
                <w:szCs w:val="16"/>
              </w:rPr>
              <w:t xml:space="preserve">México · Latam · IA aduanal</w:t>
            </w:r>
          </w:p>
        </w:tc>
        <w:tc>
          <w:tcPr>
            <w:tcW w:type="dxa" w:w="750"/>
            <w:tcBorders>
              <w:top w:val="single" w:color="CCCCCC" w:sz="1"/>
              <w:left w:val="single" w:color="CCCCCC" w:sz="1"/>
              <w:bottom w:val="single" w:color="CCCCCC" w:sz="1"/>
              <w:right w:val="single" w:color="CCCCCC" w:sz="1"/>
            </w:tcBorders>
            <w:shd w:fill="FFFFFF" w:val="clear"/>
            <w:tcMar>
              <w:top w:type="dxa" w:w="90"/>
              <w:left w:type="dxa" w:w="60"/>
              <w:bottom w:type="dxa" w:w="90"/>
              <w:right w:type="dxa" w:w="60"/>
            </w:tcMar>
          </w:tcPr>
          <w:p>
            <w:pPr>
              <w:jc w:val="center"/>
            </w:pPr>
            <w:r>
              <w:rPr>
                <w:rFonts w:ascii="Arial" w:cs="Arial" w:eastAsia="Arial" w:hAnsi="Arial"/>
                <w:b/>
                <w:bCs/>
                <w:i w:val="false"/>
                <w:iCs w:val="false"/>
                <w:color w:val="333333"/>
                <w:sz w:val="19"/>
                <w:szCs w:val="19"/>
              </w:rPr>
              <w:t xml:space="preserve">🇲🇽</w:t>
            </w:r>
          </w:p>
        </w:tc>
        <w:tc>
          <w:tcPr>
            <w:tcW w:type="dxa" w:w="950"/>
            <w:tcBorders>
              <w:top w:val="single" w:color="CCCCCC" w:sz="1"/>
              <w:left w:val="single" w:color="CCCCCC" w:sz="1"/>
              <w:bottom w:val="single" w:color="CCCCCC" w:sz="1"/>
              <w:right w:val="single" w:color="CCCCCC" w:sz="1"/>
            </w:tcBorders>
            <w:shd w:fill="E8F5EE" w:val="clear"/>
            <w:tcMar>
              <w:top w:type="dxa" w:w="90"/>
              <w:left w:type="dxa" w:w="60"/>
              <w:bottom w:type="dxa" w:w="90"/>
              <w:right w:type="dxa" w:w="60"/>
            </w:tcMar>
          </w:tcPr>
          <w:p>
            <w:pPr>
              <w:jc w:val="center"/>
            </w:pPr>
            <w:r>
              <w:rPr>
                <w:rFonts w:ascii="Arial" w:cs="Arial" w:eastAsia="Arial" w:hAnsi="Arial"/>
                <w:b/>
                <w:bCs/>
                <w:i w:val="false"/>
                <w:iCs w:val="false"/>
                <w:color w:val="333333"/>
                <w:sz w:val="19"/>
                <w:szCs w:val="19"/>
              </w:rPr>
              <w:t xml:space="preserve">✅</w:t>
            </w:r>
          </w:p>
        </w:tc>
        <w:tc>
          <w:tcPr>
            <w:tcW w:type="dxa" w:w="950"/>
            <w:tcBorders>
              <w:top w:val="single" w:color="CCCCCC" w:sz="1"/>
              <w:left w:val="single" w:color="CCCCCC" w:sz="1"/>
              <w:bottom w:val="single" w:color="CCCCCC" w:sz="1"/>
              <w:right w:val="single" w:color="CCCCCC" w:sz="1"/>
            </w:tcBorders>
            <w:shd w:fill="FDECEA" w:val="clear"/>
            <w:tcMar>
              <w:top w:type="dxa" w:w="90"/>
              <w:left w:type="dxa" w:w="60"/>
              <w:bottom w:type="dxa" w:w="90"/>
              <w:right w:type="dxa" w:w="60"/>
            </w:tcMar>
          </w:tcPr>
          <w:p>
            <w:pPr>
              <w:jc w:val="center"/>
            </w:pPr>
            <w:r>
              <w:rPr>
                <w:rFonts w:ascii="Arial" w:cs="Arial" w:eastAsia="Arial" w:hAnsi="Arial"/>
                <w:b/>
                <w:bCs/>
                <w:i w:val="false"/>
                <w:iCs w:val="false"/>
                <w:color w:val="333333"/>
                <w:sz w:val="19"/>
                <w:szCs w:val="19"/>
              </w:rPr>
              <w:t xml:space="preserve">❌</w:t>
            </w:r>
          </w:p>
        </w:tc>
        <w:tc>
          <w:tcPr>
            <w:tcW w:type="dxa" w:w="950"/>
            <w:tcBorders>
              <w:top w:val="single" w:color="CCCCCC" w:sz="1"/>
              <w:left w:val="single" w:color="CCCCCC" w:sz="1"/>
              <w:bottom w:val="single" w:color="CCCCCC" w:sz="1"/>
              <w:right w:val="single" w:color="CCCCCC" w:sz="1"/>
            </w:tcBorders>
            <w:shd w:fill="FFF8E1" w:val="clear"/>
            <w:tcMar>
              <w:top w:type="dxa" w:w="90"/>
              <w:left w:type="dxa" w:w="60"/>
              <w:bottom w:type="dxa" w:w="90"/>
              <w:right w:type="dxa" w:w="60"/>
            </w:tcMar>
          </w:tcPr>
          <w:p>
            <w:pPr>
              <w:jc w:val="center"/>
            </w:pPr>
            <w:r>
              <w:rPr>
                <w:rFonts w:ascii="Arial" w:cs="Arial" w:eastAsia="Arial" w:hAnsi="Arial"/>
                <w:b/>
                <w:bCs/>
                <w:i w:val="false"/>
                <w:iCs w:val="false"/>
                <w:color w:val="333333"/>
                <w:sz w:val="19"/>
                <w:szCs w:val="19"/>
              </w:rPr>
              <w:t xml:space="preserve">⚠️</w:t>
            </w:r>
          </w:p>
        </w:tc>
        <w:tc>
          <w:tcPr>
            <w:tcW w:type="dxa" w:w="950"/>
            <w:tcBorders>
              <w:top w:val="single" w:color="CCCCCC" w:sz="1"/>
              <w:left w:val="single" w:color="CCCCCC" w:sz="1"/>
              <w:bottom w:val="single" w:color="CCCCCC" w:sz="1"/>
              <w:right w:val="single" w:color="CCCCCC" w:sz="1"/>
            </w:tcBorders>
            <w:shd w:fill="FDECEA" w:val="clear"/>
            <w:tcMar>
              <w:top w:type="dxa" w:w="90"/>
              <w:left w:type="dxa" w:w="60"/>
              <w:bottom w:type="dxa" w:w="90"/>
              <w:right w:type="dxa" w:w="60"/>
            </w:tcMar>
          </w:tcPr>
          <w:p>
            <w:pPr>
              <w:jc w:val="center"/>
            </w:pPr>
            <w:r>
              <w:rPr>
                <w:rFonts w:ascii="Arial" w:cs="Arial" w:eastAsia="Arial" w:hAnsi="Arial"/>
                <w:b/>
                <w:bCs/>
                <w:i w:val="false"/>
                <w:iCs w:val="false"/>
                <w:color w:val="333333"/>
                <w:sz w:val="19"/>
                <w:szCs w:val="19"/>
              </w:rPr>
              <w:t xml:space="preserve">❌</w:t>
            </w:r>
          </w:p>
        </w:tc>
        <w:tc>
          <w:tcPr>
            <w:tcW w:type="dxa" w:w="950"/>
            <w:tcBorders>
              <w:top w:val="single" w:color="CCCCCC" w:sz="1"/>
              <w:left w:val="single" w:color="CCCCCC" w:sz="1"/>
              <w:bottom w:val="single" w:color="CCCCCC" w:sz="1"/>
              <w:right w:val="single" w:color="CCCCCC" w:sz="1"/>
            </w:tcBorders>
            <w:shd w:fill="E8F5EE" w:val="clear"/>
            <w:tcMar>
              <w:top w:type="dxa" w:w="90"/>
              <w:left w:type="dxa" w:w="60"/>
              <w:bottom w:type="dxa" w:w="90"/>
              <w:right w:type="dxa" w:w="60"/>
            </w:tcMar>
          </w:tcPr>
          <w:p>
            <w:pPr>
              <w:jc w:val="center"/>
            </w:pPr>
            <w:r>
              <w:rPr>
                <w:rFonts w:ascii="Arial" w:cs="Arial" w:eastAsia="Arial" w:hAnsi="Arial"/>
                <w:b/>
                <w:bCs/>
                <w:i w:val="false"/>
                <w:iCs w:val="false"/>
                <w:color w:val="333333"/>
                <w:sz w:val="19"/>
                <w:szCs w:val="19"/>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90"/>
              <w:left w:type="dxa" w:w="80"/>
              <w:bottom w:type="dxa" w:w="90"/>
              <w:right w:type="dxa" w:w="80"/>
            </w:tcMar>
          </w:tcPr>
          <w:p>
            <w:pPr>
              <w:jc w:val="center"/>
            </w:pPr>
            <w:r>
              <w:rPr>
                <w:rFonts w:ascii="Arial" w:cs="Arial" w:eastAsia="Arial" w:hAnsi="Arial"/>
                <w:b/>
                <w:bCs/>
                <w:i w:val="false"/>
                <w:iCs w:val="false"/>
                <w:color w:val="666666"/>
                <w:sz w:val="17"/>
                <w:szCs w:val="17"/>
              </w:rPr>
              <w:t xml:space="preserve">Bajo consulta</w:t>
            </w:r>
          </w:p>
        </w:tc>
      </w:tr>
      <w:tr>
        <w:tc>
          <w:tcPr>
            <w:tcW w:type="dxa" w:w="8650"/>
            <w:gridSpan w:val="8"/>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val="false"/>
                <w:bCs w:val="false"/>
                <w:i w:val="false"/>
                <w:iCs w:val="false"/>
                <w:color w:val="1A7F4B"/>
                <w:sz w:val="17"/>
                <w:szCs w:val="17"/>
              </w:rPr>
              <w:t xml:space="preserve">✅ Disponible   </w:t>
            </w:r>
            <w:r>
              <w:rPr>
                <w:rFonts w:ascii="Arial" w:cs="Arial" w:eastAsia="Arial" w:hAnsi="Arial"/>
                <w:b w:val="false"/>
                <w:bCs w:val="false"/>
                <w:i w:val="false"/>
                <w:iCs w:val="false"/>
                <w:color w:val="C0392B"/>
                <w:sz w:val="17"/>
                <w:szCs w:val="17"/>
              </w:rPr>
              <w:t xml:space="preserve">❌ No disponible   </w:t>
            </w:r>
            <w:r>
              <w:rPr>
                <w:rFonts w:ascii="Arial" w:cs="Arial" w:eastAsia="Arial" w:hAnsi="Arial"/>
                <w:b w:val="false"/>
                <w:bCs w:val="false"/>
                <w:i w:val="false"/>
                <w:iCs w:val="false"/>
                <w:color w:val="B85C00"/>
                <w:sz w:val="17"/>
                <w:szCs w:val="17"/>
              </w:rPr>
              <w:t xml:space="preserve">⚠️ Parcial/sin especificidad española     </w:t>
            </w:r>
            <w:r>
              <w:rPr>
                <w:rFonts w:ascii="Arial" w:cs="Arial" w:eastAsia="Arial" w:hAnsi="Arial"/>
                <w:b w:val="false"/>
                <w:bCs w:val="false"/>
                <w:i/>
                <w:iCs/>
                <w:color w:val="666666"/>
                <w:sz w:val="16"/>
                <w:szCs w:val="16"/>
              </w:rPr>
              <w:t xml:space="preserve">Fuentes verificadas: digicust.com · mic-cust.com · taric.es · avalara.com · camtomx.com · tracxn.com · vendr.com (marzo 2026)</w:t>
            </w:r>
          </w:p>
        </w:tc>
      </w:tr>
    </w:tbl>
    <w:p>
      <w:pPr>
        <w:spacing w:before="0" w:after="0"/>
      </w:pPr>
      <w:r>
        <w:rPr>
          <w:rFonts w:ascii="Arial" w:cs="Arial" w:eastAsia="Arial" w:hAnsi="Arial"/>
          <w:b w:val="false"/>
          <w:bCs w:val="false"/>
          <w:i w:val="false"/>
          <w:iCs w:val="false"/>
          <w:color w:val="333333"/>
          <w:sz w:val="18"/>
          <w:szCs w:val="18"/>
        </w:rPr>
        <w:t xml:space="preserve"> </w:t>
      </w:r>
    </w:p>
    <w:p>
      <w:pPr>
        <w:spacing w:before="360" w:after="140"/>
      </w:pPr>
      <w:r>
        <w:rPr>
          <w:rFonts w:ascii="Arial" w:cs="Arial" w:eastAsia="Arial" w:hAnsi="Arial"/>
          <w:b/>
          <w:bCs/>
          <w:i w:val="false"/>
          <w:iCs w:val="false"/>
          <w:color w:val="1B3A6B"/>
          <w:sz w:val="30"/>
          <w:szCs w:val="30"/>
        </w:rPr>
        <w:t xml:space="preserve">3. Análisis individual de competidores</w:t>
      </w:r>
    </w:p>
    <w:p>
      <w:pPr>
        <w:spacing w:before="280" w:after="110"/>
      </w:pPr>
      <w:r>
        <w:rPr>
          <w:rFonts w:ascii="Arial" w:cs="Arial" w:eastAsia="Arial" w:hAnsi="Arial"/>
          <w:b/>
          <w:bCs/>
          <w:i w:val="false"/>
          <w:iCs w:val="false"/>
          <w:color w:val="0F6CBD"/>
          <w:sz w:val="24"/>
          <w:szCs w:val="24"/>
        </w:rPr>
        <w:t xml:space="preserve">3.1  Digicust — Competidor tecnológicamente más próximo (Austria)</w:t>
      </w:r>
    </w:p>
    <w:tbl>
      <w:tblPr>
        <w:tblW w:type="dxa" w:w="8766"/>
        <w:tblBorders>
          <w:top w:val="single" w:color="auto" w:sz="4"/>
          <w:left w:val="single" w:color="auto" w:sz="4"/>
          <w:bottom w:val="single" w:color="auto" w:sz="4"/>
          <w:right w:val="single" w:color="auto" w:sz="4"/>
          <w:insideH w:val="single" w:color="auto" w:sz="4"/>
          <w:insideV w:val="single" w:color="auto" w:sz="4"/>
        </w:tblBorders>
      </w:tblPr>
      <w:tblGrid>
        <w:gridCol w:w="8766"/>
      </w:tblGrid>
      <w:tr>
        <w:tc>
          <w:tcPr>
            <w:tcW w:type="dxa" w:w="8766"/>
            <w:tcBorders>
              <w:top w:val="single" w:color="CCCCCC" w:sz="1"/>
              <w:left w:val="single" w:color="CCCCCC" w:sz="1"/>
              <w:bottom w:val="single" w:color="CCCCCC" w:sz="1"/>
              <w:right w:val="single" w:color="CCCCCC" w:sz="1"/>
            </w:tcBorders>
            <w:shd w:fill="EBF0F8" w:val="clear"/>
            <w:tcMar>
              <w:top w:type="dxa" w:w="140"/>
              <w:left w:type="dxa" w:w="220"/>
              <w:bottom w:type="dxa" w:w="140"/>
              <w:right w:type="dxa" w:w="220"/>
            </w:tcMar>
          </w:tcPr>
          <w:p>
            <w:pPr>
              <w:spacing w:before="0" w:after="90"/>
            </w:pPr>
            <w:r>
              <w:rPr>
                <w:rFonts w:ascii="Arial" w:cs="Arial" w:eastAsia="Arial" w:hAnsi="Arial"/>
                <w:b/>
                <w:bCs/>
                <w:i w:val="false"/>
                <w:iCs w:val="false"/>
                <w:color w:val="1B3A6B"/>
                <w:sz w:val="19"/>
                <w:szCs w:val="19"/>
              </w:rPr>
              <w:t xml:space="preserve">📊  Datos verificados — Fuente: digicust.com · tracxn.com (diciembre 2025)</w:t>
            </w:r>
          </w:p>
          <w:p>
            <w:pPr>
              <w:spacing w:before="50" w:after="50"/>
            </w:pPr>
            <w:r>
              <w:rPr>
                <w:rFonts w:ascii="Arial" w:cs="Arial" w:eastAsia="Arial" w:hAnsi="Arial"/>
                <w:b/>
                <w:bCs/>
                <w:i w:val="false"/>
                <w:iCs w:val="false"/>
                <w:color w:val="0F6CBD"/>
                <w:sz w:val="19"/>
                <w:szCs w:val="19"/>
              </w:rPr>
              <w:t xml:space="preserve">Fundación: </w:t>
            </w:r>
            <w:r>
              <w:rPr>
                <w:rFonts w:ascii="Arial" w:cs="Arial" w:eastAsia="Arial" w:hAnsi="Arial"/>
                <w:b w:val="false"/>
                <w:bCs w:val="false"/>
                <w:i w:val="false"/>
                <w:iCs w:val="false"/>
                <w:color w:val="333333"/>
                <w:sz w:val="19"/>
                <w:szCs w:val="19"/>
              </w:rPr>
              <w:t xml:space="preserve">2020  ·  Sede: Viena, Austria</w:t>
            </w:r>
          </w:p>
          <w:p>
            <w:pPr>
              <w:spacing w:before="50" w:after="50"/>
            </w:pPr>
            <w:r>
              <w:rPr>
                <w:rFonts w:ascii="Arial" w:cs="Arial" w:eastAsia="Arial" w:hAnsi="Arial"/>
                <w:b/>
                <w:bCs/>
                <w:i w:val="false"/>
                <w:iCs w:val="false"/>
                <w:color w:val="0F6CBD"/>
                <w:sz w:val="19"/>
                <w:szCs w:val="19"/>
              </w:rPr>
              <w:t xml:space="preserve">Financiación total: </w:t>
            </w:r>
            <w:r>
              <w:rPr>
                <w:rFonts w:ascii="Arial" w:cs="Arial" w:eastAsia="Arial" w:hAnsi="Arial"/>
                <w:b w:val="false"/>
                <w:bCs w:val="false"/>
                <w:i w:val="false"/>
                <w:iCs w:val="false"/>
                <w:color w:val="333333"/>
                <w:sz w:val="19"/>
                <w:szCs w:val="19"/>
              </w:rPr>
              <w:t xml:space="preserve">$4.84M — ronda seed cerrada diciembre 2025</w:t>
            </w:r>
          </w:p>
          <w:p>
            <w:pPr>
              <w:spacing w:before="50" w:after="50"/>
            </w:pPr>
            <w:r>
              <w:rPr>
                <w:rFonts w:ascii="Arial" w:cs="Arial" w:eastAsia="Arial" w:hAnsi="Arial"/>
                <w:b/>
                <w:bCs/>
                <w:i w:val="false"/>
                <w:iCs w:val="false"/>
                <w:color w:val="0F6CBD"/>
                <w:sz w:val="19"/>
                <w:szCs w:val="19"/>
              </w:rPr>
              <w:t xml:space="preserve">Clientes activos: </w:t>
            </w:r>
            <w:r>
              <w:rPr>
                <w:rFonts w:ascii="Arial" w:cs="Arial" w:eastAsia="Arial" w:hAnsi="Arial"/>
                <w:b w:val="false"/>
                <w:bCs w:val="false"/>
                <w:i w:val="false"/>
                <w:iCs w:val="false"/>
                <w:color w:val="333333"/>
                <w:sz w:val="19"/>
                <w:szCs w:val="19"/>
              </w:rPr>
              <w:t xml:space="preserve">+60 empresas  ·  Declaraciones procesadas: +500.000</w:t>
            </w:r>
          </w:p>
          <w:p>
            <w:pPr>
              <w:spacing w:before="50" w:after="50"/>
            </w:pPr>
            <w:r>
              <w:rPr>
                <w:rFonts w:ascii="Arial" w:cs="Arial" w:eastAsia="Arial" w:hAnsi="Arial"/>
                <w:b/>
                <w:bCs/>
                <w:i w:val="false"/>
                <w:iCs w:val="false"/>
                <w:color w:val="0F6CBD"/>
                <w:sz w:val="19"/>
                <w:szCs w:val="19"/>
              </w:rPr>
              <w:t xml:space="preserve">Certificación: </w:t>
            </w:r>
            <w:r>
              <w:rPr>
                <w:rFonts w:ascii="Arial" w:cs="Arial" w:eastAsia="Arial" w:hAnsi="Arial"/>
                <w:b w:val="false"/>
                <w:bCs w:val="false"/>
                <w:i w:val="false"/>
                <w:iCs w:val="false"/>
                <w:color w:val="333333"/>
                <w:sz w:val="19"/>
                <w:szCs w:val="19"/>
              </w:rPr>
              <w:t xml:space="preserve">TÜV SÜD bajo estándares IEEE para IA de confianza</w:t>
            </w:r>
          </w:p>
          <w:p>
            <w:pPr>
              <w:spacing w:before="50" w:after="50"/>
            </w:pPr>
            <w:r>
              <w:rPr>
                <w:rFonts w:ascii="Arial" w:cs="Arial" w:eastAsia="Arial" w:hAnsi="Arial"/>
                <w:b/>
                <w:bCs/>
                <w:i w:val="false"/>
                <w:iCs w:val="false"/>
                <w:color w:val="0F6CBD"/>
                <w:sz w:val="19"/>
                <w:szCs w:val="19"/>
              </w:rPr>
              <w:t xml:space="preserve">Expansión activa: </w:t>
            </w:r>
            <w:r>
              <w:rPr>
                <w:rFonts w:ascii="Arial" w:cs="Arial" w:eastAsia="Arial" w:hAnsi="Arial"/>
                <w:b w:val="false"/>
                <w:bCs w:val="false"/>
                <w:i w:val="false"/>
                <w:iCs w:val="false"/>
                <w:color w:val="333333"/>
                <w:sz w:val="19"/>
                <w:szCs w:val="19"/>
              </w:rPr>
              <w:t xml:space="preserve">Bélgica y Países Bajos en 2025 — no anunciado mercado español</w:t>
            </w:r>
          </w:p>
        </w:tc>
      </w:tr>
    </w:tbl>
    <w:p>
      <w:pPr>
        <w:spacing w:before="0" w:after="0"/>
      </w:pPr>
      <w:r>
        <w:rPr>
          <w:rFonts w:ascii="Arial" w:cs="Arial" w:eastAsia="Arial" w:hAnsi="Arial"/>
          <w:b w:val="false"/>
          <w:bCs w:val="false"/>
          <w:i w:val="false"/>
          <w:iCs w:val="false"/>
          <w:color w:val="333333"/>
          <w:sz w:val="18"/>
          <w:szCs w:val="18"/>
        </w:rPr>
        <w:t xml:space="preserve"> </w:t>
      </w:r>
    </w:p>
    <w:p>
      <w:pPr>
        <w:spacing w:before="80" w:after="80"/>
        <w:jc w:val="both"/>
      </w:pPr>
      <w:r>
        <w:rPr>
          <w:rFonts w:ascii="Arial" w:cs="Arial" w:eastAsia="Arial" w:hAnsi="Arial"/>
          <w:b w:val="false"/>
          <w:bCs w:val="false"/>
          <w:i w:val="false"/>
          <w:iCs w:val="false"/>
          <w:color w:val="333333"/>
          <w:sz w:val="21"/>
          <w:szCs w:val="21"/>
        </w:rPr>
        <w:t xml:space="preserve">Digicust es el competidor tecnológicamente más cercano a TaricAI. Automatiza entre el 70-90% del proceso de despacho aduanero y clasifica mercancías con hasta 95% de precisión en descripciones completas. Sin embargo, presenta cuatro limitaciones estructurales para el mercado español que TaricAI resuelve:</w:t>
      </w:r>
    </w:p>
    <w:p>
      <w:pPr>
        <w:pStyle w:val="ListParagraph"/>
        <w:numPr>
          <w:ilvl w:val="0"/>
          <w:numId w:val="2"/>
        </w:numPr>
        <w:spacing w:before="60" w:after="60"/>
      </w:pPr>
      <w:r>
        <w:rPr>
          <w:rFonts w:ascii="Arial" w:cs="Arial" w:eastAsia="Arial" w:hAnsi="Arial"/>
          <w:b/>
          <w:bCs/>
          <w:i w:val="false"/>
          <w:iCs w:val="false"/>
          <w:color w:val="333333"/>
          <w:sz w:val="21"/>
          <w:szCs w:val="21"/>
        </w:rPr>
        <w:t xml:space="preserve">MAPA/TRACES: </w:t>
      </w:r>
      <w:r>
        <w:rPr>
          <w:rFonts w:ascii="Arial" w:cs="Arial" w:eastAsia="Arial" w:hAnsi="Arial"/>
          <w:b w:val="false"/>
          <w:bCs w:val="false"/>
          <w:i w:val="false"/>
          <w:iCs w:val="false"/>
          <w:color w:val="333333"/>
          <w:sz w:val="21"/>
          <w:szCs w:val="21"/>
        </w:rPr>
        <w:t xml:space="preserve">No integra las fuentes fitosanitarias españolas (MAPA, TRACES, SOIVRE). Su enfoque es el despacho aduanero general europeo, no la operativa específica española con control sanitario en frontera.</w:t>
      </w:r>
    </w:p>
    <w:p>
      <w:pPr>
        <w:pStyle w:val="ListParagraph"/>
        <w:numPr>
          <w:ilvl w:val="0"/>
          <w:numId w:val="2"/>
        </w:numPr>
        <w:spacing w:before="60" w:after="60"/>
      </w:pPr>
      <w:r>
        <w:rPr>
          <w:rFonts w:ascii="Arial" w:cs="Arial" w:eastAsia="Arial" w:hAnsi="Arial"/>
          <w:b/>
          <w:bCs/>
          <w:i w:val="false"/>
          <w:iCs w:val="false"/>
          <w:color w:val="333333"/>
          <w:sz w:val="21"/>
          <w:szCs w:val="21"/>
        </w:rPr>
        <w:t xml:space="preserve">Landed Cost ES: </w:t>
      </w:r>
      <w:r>
        <w:rPr>
          <w:rFonts w:ascii="Arial" w:cs="Arial" w:eastAsia="Arial" w:hAnsi="Arial"/>
          <w:b w:val="false"/>
          <w:bCs w:val="false"/>
          <w:i w:val="false"/>
          <w:iCs w:val="false"/>
          <w:color w:val="333333"/>
          <w:sz w:val="21"/>
          <w:szCs w:val="21"/>
        </w:rPr>
        <w:t xml:space="preserve">No incluye el módulo de Landed Cost con tasas portuarias españolas ni el cálculo de impuestos especiales conforme a la AEAT.</w:t>
      </w:r>
    </w:p>
    <w:p>
      <w:pPr>
        <w:pStyle w:val="ListParagraph"/>
        <w:numPr>
          <w:ilvl w:val="0"/>
          <w:numId w:val="2"/>
        </w:numPr>
        <w:spacing w:before="60" w:after="60"/>
      </w:pPr>
      <w:r>
        <w:rPr>
          <w:rFonts w:ascii="Arial" w:cs="Arial" w:eastAsia="Arial" w:hAnsi="Arial"/>
          <w:b/>
          <w:bCs/>
          <w:i w:val="false"/>
          <w:iCs w:val="false"/>
          <w:color w:val="333333"/>
          <w:sz w:val="21"/>
          <w:szCs w:val="21"/>
        </w:rPr>
        <w:t xml:space="preserve">Segmento: </w:t>
      </w:r>
      <w:r>
        <w:rPr>
          <w:rFonts w:ascii="Arial" w:cs="Arial" w:eastAsia="Arial" w:hAnsi="Arial"/>
          <w:b w:val="false"/>
          <w:bCs w:val="false"/>
          <w:i w:val="false"/>
          <w:iCs w:val="false"/>
          <w:color w:val="333333"/>
          <w:sz w:val="21"/>
          <w:szCs w:val="21"/>
        </w:rPr>
        <w:t xml:space="preserve">Su modelo está orientado a empresas con volumen alto de declaraciones (logistics providers, grandes exportadores). No está diseñado para las 1.200 agencias de aduanas medianas españolas ni para pymes importadoras.</w:t>
      </w:r>
    </w:p>
    <w:p>
      <w:pPr>
        <w:pStyle w:val="ListParagraph"/>
        <w:numPr>
          <w:ilvl w:val="0"/>
          <w:numId w:val="2"/>
        </w:numPr>
        <w:spacing w:before="60" w:after="60"/>
      </w:pPr>
      <w:r>
        <w:rPr>
          <w:rFonts w:ascii="Arial" w:cs="Arial" w:eastAsia="Arial" w:hAnsi="Arial"/>
          <w:b/>
          <w:bCs/>
          <w:i w:val="false"/>
          <w:iCs w:val="false"/>
          <w:color w:val="333333"/>
          <w:sz w:val="21"/>
          <w:szCs w:val="21"/>
        </w:rPr>
        <w:t xml:space="preserve">Idioma: </w:t>
      </w:r>
      <w:r>
        <w:rPr>
          <w:rFonts w:ascii="Arial" w:cs="Arial" w:eastAsia="Arial" w:hAnsi="Arial"/>
          <w:b w:val="false"/>
          <w:bCs w:val="false"/>
          <w:i w:val="false"/>
          <w:iCs w:val="false"/>
          <w:color w:val="333333"/>
          <w:sz w:val="21"/>
          <w:szCs w:val="21"/>
        </w:rPr>
        <w:t xml:space="preserve">Opera en inglés y alemán. No tiene interfaz en español ni soporte para la terminología operativa española (OEA, DUA, EUR.1, certificados fitosanitarios MAPA).</w:t>
      </w:r>
    </w:p>
    <w:p>
      <w:pPr>
        <w:spacing w:before="0" w:after="0"/>
      </w:pPr>
      <w:r>
        <w:rPr>
          <w:rFonts w:ascii="Arial" w:cs="Arial" w:eastAsia="Arial" w:hAnsi="Arial"/>
          <w:b w:val="false"/>
          <w:bCs w:val="false"/>
          <w:i w:val="false"/>
          <w:iCs w:val="false"/>
          <w:color w:val="333333"/>
          <w:sz w:val="18"/>
          <w:szCs w:val="18"/>
        </w:rPr>
        <w:t xml:space="preserve"> </w:t>
      </w:r>
    </w:p>
    <w:p>
      <w:pPr>
        <w:spacing w:before="280" w:after="110"/>
      </w:pPr>
      <w:r>
        <w:rPr>
          <w:rFonts w:ascii="Arial" w:cs="Arial" w:eastAsia="Arial" w:hAnsi="Arial"/>
          <w:b/>
          <w:bCs/>
          <w:i w:val="false"/>
          <w:iCs w:val="false"/>
          <w:color w:val="0F6CBD"/>
          <w:sz w:val="24"/>
          <w:szCs w:val="24"/>
        </w:rPr>
        <w:t xml:space="preserve">3.2  MIC-CUST Tariff Copilot — Enterprise global sin especificidad española (Alemania)</w:t>
      </w:r>
    </w:p>
    <w:tbl>
      <w:tblPr>
        <w:tblW w:type="dxa" w:w="8766"/>
        <w:tblBorders>
          <w:top w:val="single" w:color="auto" w:sz="4"/>
          <w:left w:val="single" w:color="auto" w:sz="4"/>
          <w:bottom w:val="single" w:color="auto" w:sz="4"/>
          <w:right w:val="single" w:color="auto" w:sz="4"/>
          <w:insideH w:val="single" w:color="auto" w:sz="4"/>
          <w:insideV w:val="single" w:color="auto" w:sz="4"/>
        </w:tblBorders>
      </w:tblPr>
      <w:tblGrid>
        <w:gridCol w:w="8766"/>
      </w:tblGrid>
      <w:tr>
        <w:tc>
          <w:tcPr>
            <w:tcW w:type="dxa" w:w="8766"/>
            <w:tcBorders>
              <w:top w:val="single" w:color="CCCCCC" w:sz="1"/>
              <w:left w:val="single" w:color="CCCCCC" w:sz="1"/>
              <w:bottom w:val="single" w:color="CCCCCC" w:sz="1"/>
              <w:right w:val="single" w:color="CCCCCC" w:sz="1"/>
            </w:tcBorders>
            <w:shd w:fill="EBF0F8" w:val="clear"/>
            <w:tcMar>
              <w:top w:type="dxa" w:w="140"/>
              <w:left w:type="dxa" w:w="220"/>
              <w:bottom w:type="dxa" w:w="140"/>
              <w:right w:type="dxa" w:w="220"/>
            </w:tcMar>
          </w:tcPr>
          <w:p>
            <w:pPr>
              <w:spacing w:before="0" w:after="90"/>
            </w:pPr>
            <w:r>
              <w:rPr>
                <w:rFonts w:ascii="Arial" w:cs="Arial" w:eastAsia="Arial" w:hAnsi="Arial"/>
                <w:b/>
                <w:bCs/>
                <w:i w:val="false"/>
                <w:iCs w:val="false"/>
                <w:color w:val="1B3A6B"/>
                <w:sz w:val="19"/>
                <w:szCs w:val="19"/>
              </w:rPr>
              <w:t xml:space="preserve">📊  Datos verificados — Fuente: mic-cust.com (marzo 2026)</w:t>
            </w:r>
          </w:p>
          <w:p>
            <w:pPr>
              <w:spacing w:before="50" w:after="50"/>
            </w:pPr>
            <w:r>
              <w:rPr>
                <w:rFonts w:ascii="Arial" w:cs="Arial" w:eastAsia="Arial" w:hAnsi="Arial"/>
                <w:b/>
                <w:bCs/>
                <w:i w:val="false"/>
                <w:iCs w:val="false"/>
                <w:color w:val="0F6CBD"/>
                <w:sz w:val="19"/>
                <w:szCs w:val="19"/>
              </w:rPr>
              <w:t xml:space="preserve">Sede: </w:t>
            </w:r>
            <w:r>
              <w:rPr>
                <w:rFonts w:ascii="Arial" w:cs="Arial" w:eastAsia="Arial" w:hAnsi="Arial"/>
                <w:b w:val="false"/>
                <w:bCs w:val="false"/>
                <w:i w:val="false"/>
                <w:iCs w:val="false"/>
                <w:color w:val="333333"/>
                <w:sz w:val="19"/>
                <w:szCs w:val="19"/>
              </w:rPr>
              <w:t xml:space="preserve">Alemania  ·  Modelo: enterprise global</w:t>
            </w:r>
          </w:p>
          <w:p>
            <w:pPr>
              <w:spacing w:before="50" w:after="50"/>
            </w:pPr>
            <w:r>
              <w:rPr>
                <w:rFonts w:ascii="Arial" w:cs="Arial" w:eastAsia="Arial" w:hAnsi="Arial"/>
                <w:b/>
                <w:bCs/>
                <w:i w:val="false"/>
                <w:iCs w:val="false"/>
                <w:color w:val="0F6CBD"/>
                <w:sz w:val="19"/>
                <w:szCs w:val="19"/>
              </w:rPr>
              <w:t xml:space="preserve">Precisión declarada: </w:t>
            </w:r>
            <w:r>
              <w:rPr>
                <w:rFonts w:ascii="Arial" w:cs="Arial" w:eastAsia="Arial" w:hAnsi="Arial"/>
                <w:b w:val="false"/>
                <w:bCs w:val="false"/>
                <w:i w:val="false"/>
                <w:iCs w:val="false"/>
                <w:color w:val="333333"/>
                <w:sz w:val="19"/>
                <w:szCs w:val="19"/>
              </w:rPr>
              <w:t xml:space="preserve">97% en clasificación HS  ·  71% más rápido que proceso manual</w:t>
            </w:r>
          </w:p>
          <w:p>
            <w:pPr>
              <w:spacing w:before="50" w:after="50"/>
            </w:pPr>
            <w:r>
              <w:rPr>
                <w:rFonts w:ascii="Arial" w:cs="Arial" w:eastAsia="Arial" w:hAnsi="Arial"/>
                <w:b/>
                <w:bCs/>
                <w:i w:val="false"/>
                <w:iCs w:val="false"/>
                <w:color w:val="0F6CBD"/>
                <w:sz w:val="19"/>
                <w:szCs w:val="19"/>
              </w:rPr>
              <w:t xml:space="preserve">Cobertura: </w:t>
            </w:r>
            <w:r>
              <w:rPr>
                <w:rFonts w:ascii="Arial" w:cs="Arial" w:eastAsia="Arial" w:hAnsi="Arial"/>
                <w:b w:val="false"/>
                <w:bCs w:val="false"/>
                <w:i w:val="false"/>
                <w:iCs w:val="false"/>
                <w:color w:val="333333"/>
                <w:sz w:val="19"/>
                <w:szCs w:val="19"/>
              </w:rPr>
              <w:t xml:space="preserve">150+ países  ·  Clasificación HS con NLP, visión computacional e IA generativa</w:t>
            </w:r>
          </w:p>
          <w:p>
            <w:pPr>
              <w:spacing w:before="50" w:after="50"/>
            </w:pPr>
            <w:r>
              <w:rPr>
                <w:rFonts w:ascii="Arial" w:cs="Arial" w:eastAsia="Arial" w:hAnsi="Arial"/>
                <w:b/>
                <w:bCs/>
                <w:i w:val="false"/>
                <w:iCs w:val="false"/>
                <w:color w:val="0F6CBD"/>
                <w:sz w:val="19"/>
                <w:szCs w:val="19"/>
              </w:rPr>
              <w:t xml:space="preserve">Tecnología: </w:t>
            </w:r>
            <w:r>
              <w:rPr>
                <w:rFonts w:ascii="Arial" w:cs="Arial" w:eastAsia="Arial" w:hAnsi="Arial"/>
                <w:b w:val="false"/>
                <w:bCs w:val="false"/>
                <w:i w:val="false"/>
                <w:iCs w:val="false"/>
                <w:color w:val="333333"/>
                <w:sz w:val="19"/>
                <w:szCs w:val="19"/>
              </w:rPr>
              <w:t xml:space="preserve">LLMs fine-tuned + AI Tariff Copilot + AI Classifier con confidence scores</w:t>
            </w:r>
          </w:p>
          <w:p>
            <w:pPr>
              <w:spacing w:before="50" w:after="50"/>
            </w:pPr>
            <w:r>
              <w:rPr>
                <w:rFonts w:ascii="Arial" w:cs="Arial" w:eastAsia="Arial" w:hAnsi="Arial"/>
                <w:b/>
                <w:bCs/>
                <w:i w:val="false"/>
                <w:iCs w:val="false"/>
                <w:color w:val="0F6CBD"/>
                <w:sz w:val="19"/>
                <w:szCs w:val="19"/>
              </w:rPr>
              <w:t xml:space="preserve">Precio: </w:t>
            </w:r>
            <w:r>
              <w:rPr>
                <w:rFonts w:ascii="Arial" w:cs="Arial" w:eastAsia="Arial" w:hAnsi="Arial"/>
                <w:b w:val="false"/>
                <w:bCs w:val="false"/>
                <w:i w:val="false"/>
                <w:iCs w:val="false"/>
                <w:color w:val="333333"/>
                <w:sz w:val="19"/>
                <w:szCs w:val="19"/>
              </w:rPr>
              <w:t xml:space="preserve">Bajo consulta — sin precios publicados, orientado a enterprise</w:t>
            </w:r>
          </w:p>
        </w:tc>
      </w:tr>
    </w:tbl>
    <w:p>
      <w:pPr>
        <w:spacing w:before="0" w:after="0"/>
      </w:pPr>
      <w:r>
        <w:rPr>
          <w:rFonts w:ascii="Arial" w:cs="Arial" w:eastAsia="Arial" w:hAnsi="Arial"/>
          <w:b w:val="false"/>
          <w:bCs w:val="false"/>
          <w:i w:val="false"/>
          <w:iCs w:val="false"/>
          <w:color w:val="333333"/>
          <w:sz w:val="18"/>
          <w:szCs w:val="18"/>
        </w:rPr>
        <w:t xml:space="preserve"> </w:t>
      </w:r>
    </w:p>
    <w:p>
      <w:pPr>
        <w:spacing w:before="80" w:after="80"/>
        <w:jc w:val="both"/>
      </w:pPr>
      <w:r>
        <w:rPr>
          <w:rFonts w:ascii="Arial" w:cs="Arial" w:eastAsia="Arial" w:hAnsi="Arial"/>
          <w:b w:val="false"/>
          <w:bCs w:val="false"/>
          <w:i w:val="false"/>
          <w:iCs w:val="false"/>
          <w:color w:val="333333"/>
          <w:sz w:val="21"/>
          <w:szCs w:val="21"/>
        </w:rPr>
        <w:t xml:space="preserve">MIC-CUST es el producto técnicamente más sofisticado del análisis. Su AI Classifier alcanza un 97% de precisión declarada y un 71% de reducción de tiempo de procesamiento, con trazabilidad completa de cada decisión para auditorías. Sin embargo, tres factores lo excluyen como competidor real en el mercado objetivo de TaricAI:</w:t>
      </w:r>
    </w:p>
    <w:p>
      <w:pPr>
        <w:pStyle w:val="ListParagraph"/>
        <w:numPr>
          <w:ilvl w:val="0"/>
          <w:numId w:val="2"/>
        </w:numPr>
        <w:spacing w:before="60" w:after="60"/>
      </w:pPr>
      <w:r>
        <w:rPr>
          <w:rFonts w:ascii="Arial" w:cs="Arial" w:eastAsia="Arial" w:hAnsi="Arial"/>
          <w:b/>
          <w:bCs/>
          <w:i w:val="false"/>
          <w:iCs w:val="false"/>
          <w:color w:val="333333"/>
          <w:sz w:val="21"/>
          <w:szCs w:val="21"/>
        </w:rPr>
        <w:t xml:space="preserve">Segmento: </w:t>
      </w:r>
      <w:r>
        <w:rPr>
          <w:rFonts w:ascii="Arial" w:cs="Arial" w:eastAsia="Arial" w:hAnsi="Arial"/>
          <w:b w:val="false"/>
          <w:bCs w:val="false"/>
          <w:i w:val="false"/>
          <w:iCs w:val="false"/>
          <w:color w:val="333333"/>
          <w:sz w:val="21"/>
          <w:szCs w:val="21"/>
        </w:rPr>
        <w:t xml:space="preserve">Orientado exclusivamente a grandes corporaciones multinacionales con operaciones en múltiples países. No tiene producto accesible para agencias de aduanas medianas ni pymes.</w:t>
      </w:r>
    </w:p>
    <w:p>
      <w:pPr>
        <w:pStyle w:val="ListParagraph"/>
        <w:numPr>
          <w:ilvl w:val="0"/>
          <w:numId w:val="2"/>
        </w:numPr>
        <w:spacing w:before="60" w:after="60"/>
      </w:pPr>
      <w:r>
        <w:rPr>
          <w:rFonts w:ascii="Arial" w:cs="Arial" w:eastAsia="Arial" w:hAnsi="Arial"/>
          <w:b/>
          <w:bCs/>
          <w:i w:val="false"/>
          <w:iCs w:val="false"/>
          <w:color w:val="333333"/>
          <w:sz w:val="21"/>
          <w:szCs w:val="21"/>
        </w:rPr>
        <w:t xml:space="preserve">Fuentes ES: </w:t>
      </w:r>
      <w:r>
        <w:rPr>
          <w:rFonts w:ascii="Arial" w:cs="Arial" w:eastAsia="Arial" w:hAnsi="Arial"/>
          <w:b w:val="false"/>
          <w:bCs w:val="false"/>
          <w:i w:val="false"/>
          <w:iCs w:val="false"/>
          <w:color w:val="333333"/>
          <w:sz w:val="21"/>
          <w:szCs w:val="21"/>
        </w:rPr>
        <w:t xml:space="preserve">No integra las fuentes oficiales españolas MAPA, TRACES ni SOIVRE. Su clasificación es HS genérica internacional, sin la especificidad regulatoria española.</w:t>
      </w:r>
    </w:p>
    <w:p>
      <w:pPr>
        <w:pStyle w:val="ListParagraph"/>
        <w:numPr>
          <w:ilvl w:val="0"/>
          <w:numId w:val="2"/>
        </w:numPr>
        <w:spacing w:before="60" w:after="60"/>
      </w:pPr>
      <w:r>
        <w:rPr>
          <w:rFonts w:ascii="Arial" w:cs="Arial" w:eastAsia="Arial" w:hAnsi="Arial"/>
          <w:b/>
          <w:bCs/>
          <w:i w:val="false"/>
          <w:iCs w:val="false"/>
          <w:color w:val="333333"/>
          <w:sz w:val="21"/>
          <w:szCs w:val="21"/>
        </w:rPr>
        <w:t xml:space="preserve">Precio: </w:t>
      </w:r>
      <w:r>
        <w:rPr>
          <w:rFonts w:ascii="Arial" w:cs="Arial" w:eastAsia="Arial" w:hAnsi="Arial"/>
          <w:b w:val="false"/>
          <w:bCs w:val="false"/>
          <w:i w:val="false"/>
          <w:iCs w:val="false"/>
          <w:color w:val="333333"/>
          <w:sz w:val="21"/>
          <w:szCs w:val="21"/>
        </w:rPr>
        <w:t xml:space="preserve">Precio enterprise sin publicar — confirma que no es un competidor en el segmento de ≤€600/mes. Requiere implementación compleja no viable para agencias de 5-20 empleados.</w:t>
      </w:r>
    </w:p>
    <w:p>
      <w:pPr>
        <w:spacing w:before="0" w:after="0"/>
      </w:pPr>
      <w:r>
        <w:rPr>
          <w:rFonts w:ascii="Arial" w:cs="Arial" w:eastAsia="Arial" w:hAnsi="Arial"/>
          <w:b w:val="false"/>
          <w:bCs w:val="false"/>
          <w:i w:val="false"/>
          <w:iCs w:val="false"/>
          <w:color w:val="333333"/>
          <w:sz w:val="18"/>
          <w:szCs w:val="18"/>
        </w:rPr>
        <w:t xml:space="preserve"> </w:t>
      </w:r>
    </w:p>
    <w:p>
      <w:pPr>
        <w:spacing w:before="280" w:after="110"/>
      </w:pPr>
      <w:r>
        <w:rPr>
          <w:rFonts w:ascii="Arial" w:cs="Arial" w:eastAsia="Arial" w:hAnsi="Arial"/>
          <w:b/>
          <w:bCs/>
          <w:i w:val="false"/>
          <w:iCs w:val="false"/>
          <w:color w:val="0F6CBD"/>
          <w:sz w:val="24"/>
          <w:szCs w:val="24"/>
        </w:rPr>
        <w:t xml:space="preserve">3.3  dbTaric (TARIC S.A.U.) — El referente español actual, sin IA</w:t>
      </w:r>
    </w:p>
    <w:tbl>
      <w:tblPr>
        <w:tblW w:type="dxa" w:w="8766"/>
        <w:tblBorders>
          <w:top w:val="single" w:color="auto" w:sz="4"/>
          <w:left w:val="single" w:color="auto" w:sz="4"/>
          <w:bottom w:val="single" w:color="auto" w:sz="4"/>
          <w:right w:val="single" w:color="auto" w:sz="4"/>
          <w:insideH w:val="single" w:color="auto" w:sz="4"/>
          <w:insideV w:val="single" w:color="auto" w:sz="4"/>
        </w:tblBorders>
      </w:tblPr>
      <w:tblGrid>
        <w:gridCol w:w="8766"/>
      </w:tblGrid>
      <w:tr>
        <w:tc>
          <w:tcPr>
            <w:tcW w:type="dxa" w:w="8766"/>
            <w:tcBorders>
              <w:top w:val="single" w:color="CCCCCC" w:sz="1"/>
              <w:left w:val="single" w:color="CCCCCC" w:sz="1"/>
              <w:bottom w:val="single" w:color="CCCCCC" w:sz="1"/>
              <w:right w:val="single" w:color="CCCCCC" w:sz="1"/>
            </w:tcBorders>
            <w:shd w:fill="EBF0F8" w:val="clear"/>
            <w:tcMar>
              <w:top w:type="dxa" w:w="140"/>
              <w:left w:type="dxa" w:w="220"/>
              <w:bottom w:type="dxa" w:w="140"/>
              <w:right w:type="dxa" w:w="220"/>
            </w:tcMar>
          </w:tcPr>
          <w:p>
            <w:pPr>
              <w:spacing w:before="0" w:after="90"/>
            </w:pPr>
            <w:r>
              <w:rPr>
                <w:rFonts w:ascii="Arial" w:cs="Arial" w:eastAsia="Arial" w:hAnsi="Arial"/>
                <w:b/>
                <w:bCs/>
                <w:i w:val="false"/>
                <w:iCs w:val="false"/>
                <w:color w:val="1B3A6B"/>
                <w:sz w:val="19"/>
                <w:szCs w:val="19"/>
              </w:rPr>
              <w:t xml:space="preserve">📊  Datos verificados — Fuente: taric.es (actualización v426.1, 06/03/2026)</w:t>
            </w:r>
          </w:p>
          <w:p>
            <w:pPr>
              <w:spacing w:before="50" w:after="50"/>
            </w:pPr>
            <w:r>
              <w:rPr>
                <w:rFonts w:ascii="Arial" w:cs="Arial" w:eastAsia="Arial" w:hAnsi="Arial"/>
                <w:b/>
                <w:bCs/>
                <w:i w:val="false"/>
                <w:iCs w:val="false"/>
                <w:color w:val="0F6CBD"/>
                <w:sz w:val="19"/>
                <w:szCs w:val="19"/>
              </w:rPr>
              <w:t xml:space="preserve">Producido por: </w:t>
            </w:r>
            <w:r>
              <w:rPr>
                <w:rFonts w:ascii="Arial" w:cs="Arial" w:eastAsia="Arial" w:hAnsi="Arial"/>
                <w:b w:val="false"/>
                <w:bCs w:val="false"/>
                <w:i w:val="false"/>
                <w:iCs w:val="false"/>
                <w:color w:val="333333"/>
                <w:sz w:val="19"/>
                <w:szCs w:val="19"/>
              </w:rPr>
              <w:t xml:space="preserve">TARIC S.A.U.  ·  Empresa española especializada</w:t>
            </w:r>
          </w:p>
          <w:p>
            <w:pPr>
              <w:spacing w:before="50" w:after="50"/>
            </w:pPr>
            <w:r>
              <w:rPr>
                <w:rFonts w:ascii="Arial" w:cs="Arial" w:eastAsia="Arial" w:hAnsi="Arial"/>
                <w:b/>
                <w:bCs/>
                <w:i w:val="false"/>
                <w:iCs w:val="false"/>
                <w:color w:val="0F6CBD"/>
                <w:sz w:val="19"/>
                <w:szCs w:val="19"/>
              </w:rPr>
              <w:t xml:space="preserve">Actualización: </w:t>
            </w:r>
            <w:r>
              <w:rPr>
                <w:rFonts w:ascii="Arial" w:cs="Arial" w:eastAsia="Arial" w:hAnsi="Arial"/>
                <w:b w:val="false"/>
                <w:bCs w:val="false"/>
                <w:i w:val="false"/>
                <w:iCs w:val="false"/>
                <w:color w:val="333333"/>
                <w:sz w:val="19"/>
                <w:szCs w:val="19"/>
              </w:rPr>
              <w:t xml:space="preserve">Diaria  ·  v426.1 publicada el 06/03/2026</w:t>
            </w:r>
          </w:p>
          <w:p>
            <w:pPr>
              <w:spacing w:before="50" w:after="50"/>
            </w:pPr>
            <w:r>
              <w:rPr>
                <w:rFonts w:ascii="Arial" w:cs="Arial" w:eastAsia="Arial" w:hAnsi="Arial"/>
                <w:b/>
                <w:bCs/>
                <w:i w:val="false"/>
                <w:iCs w:val="false"/>
                <w:color w:val="0F6CBD"/>
                <w:sz w:val="19"/>
                <w:szCs w:val="19"/>
              </w:rPr>
              <w:t xml:space="preserve">Naturaleza del producto: </w:t>
            </w:r>
            <w:r>
              <w:rPr>
                <w:rFonts w:ascii="Arial" w:cs="Arial" w:eastAsia="Arial" w:hAnsi="Arial"/>
                <w:b w:val="false"/>
                <w:bCs w:val="false"/>
                <w:i w:val="false"/>
                <w:iCs w:val="false"/>
                <w:color w:val="333333"/>
                <w:sz w:val="19"/>
                <w:szCs w:val="19"/>
              </w:rPr>
              <w:t xml:space="preserve">Base de datos de consulta manual del arancel integrado UE</w:t>
            </w:r>
          </w:p>
          <w:p>
            <w:pPr>
              <w:spacing w:before="50" w:after="50"/>
            </w:pPr>
            <w:r>
              <w:rPr>
                <w:rFonts w:ascii="Arial" w:cs="Arial" w:eastAsia="Arial" w:hAnsi="Arial"/>
                <w:b/>
                <w:bCs/>
                <w:i w:val="false"/>
                <w:iCs w:val="false"/>
                <w:color w:val="0F6CBD"/>
                <w:sz w:val="19"/>
                <w:szCs w:val="19"/>
              </w:rPr>
              <w:t xml:space="preserve">Modelo comercial: </w:t>
            </w:r>
            <w:r>
              <w:rPr>
                <w:rFonts w:ascii="Arial" w:cs="Arial" w:eastAsia="Arial" w:hAnsi="Arial"/>
                <w:b w:val="false"/>
                <w:bCs w:val="false"/>
                <w:i w:val="false"/>
                <w:iCs w:val="false"/>
                <w:color w:val="333333"/>
                <w:sz w:val="19"/>
                <w:szCs w:val="19"/>
              </w:rPr>
              <w:t xml:space="preserve">Licencia de escritorio / suscripción anual  ·  ~€300–600/año</w:t>
            </w:r>
          </w:p>
        </w:tc>
      </w:tr>
    </w:tbl>
    <w:p>
      <w:pPr>
        <w:spacing w:before="0" w:after="0"/>
      </w:pPr>
      <w:r>
        <w:rPr>
          <w:rFonts w:ascii="Arial" w:cs="Arial" w:eastAsia="Arial" w:hAnsi="Arial"/>
          <w:b w:val="false"/>
          <w:bCs w:val="false"/>
          <w:i w:val="false"/>
          <w:iCs w:val="false"/>
          <w:color w:val="333333"/>
          <w:sz w:val="18"/>
          <w:szCs w:val="18"/>
        </w:rPr>
        <w:t xml:space="preserve"> </w:t>
      </w:r>
    </w:p>
    <w:p>
      <w:pPr>
        <w:spacing w:before="80" w:after="80"/>
        <w:jc w:val="both"/>
      </w:pPr>
      <w:r>
        <w:rPr>
          <w:rFonts w:ascii="Arial" w:cs="Arial" w:eastAsia="Arial" w:hAnsi="Arial"/>
          <w:b w:val="false"/>
          <w:bCs w:val="false"/>
          <w:i w:val="false"/>
          <w:iCs w:val="false"/>
          <w:color w:val="333333"/>
          <w:sz w:val="21"/>
          <w:szCs w:val="21"/>
        </w:rPr>
        <w:t xml:space="preserve">dbTaric es la herramienta de referencia actual entre los agentes de aduanas españoles para consultar el arancel integrado UE. Es la herramienta que usa actualmente el mercado objetivo de TaricAI. Su limitación fundamental es estructural: es una base de datos de consulta manual, no un agente inteligente.</w:t>
      </w:r>
    </w:p>
    <w:p>
      <w:pPr>
        <w:spacing w:before="80" w:after="80"/>
        <w:jc w:val="both"/>
      </w:pPr>
      <w:r>
        <w:rPr>
          <w:rFonts w:ascii="Arial" w:cs="Arial" w:eastAsia="Arial" w:hAnsi="Arial"/>
          <w:b w:val="false"/>
          <w:bCs w:val="false"/>
          <w:i w:val="false"/>
          <w:iCs w:val="false"/>
          <w:color w:val="333333"/>
          <w:sz w:val="21"/>
          <w:szCs w:val="21"/>
        </w:rPr>
        <w:t xml:space="preserve">El agente de aduanas debe navegar la base de datos, interpretar las notas explicativas, cruzar información con MAPA y calcular los tributos manualmente. TaricAI no compite con dbTaric — automatiza el proceso de trabajo completo que dbTaric requiere hacer manualmente. Son productos complementarios, no sustitutos directos. Esta distinción es clave para ENISA: TaricAI no desplaza una herramienta existente, añade una capa de automatización sobre el flujo de trabajo actual.</w:t>
      </w:r>
    </w:p>
    <w:p>
      <w:pPr>
        <w:spacing w:before="0" w:after="0"/>
      </w:pPr>
      <w:r>
        <w:rPr>
          <w:rFonts w:ascii="Arial" w:cs="Arial" w:eastAsia="Arial" w:hAnsi="Arial"/>
          <w:b w:val="false"/>
          <w:bCs w:val="false"/>
          <w:i w:val="false"/>
          <w:iCs w:val="false"/>
          <w:color w:val="333333"/>
          <w:sz w:val="18"/>
          <w:szCs w:val="18"/>
        </w:rPr>
        <w:t xml:space="preserve"> </w:t>
      </w:r>
    </w:p>
    <w:p>
      <w:pPr>
        <w:spacing w:before="280" w:after="110"/>
      </w:pPr>
      <w:r>
        <w:rPr>
          <w:rFonts w:ascii="Arial" w:cs="Arial" w:eastAsia="Arial" w:hAnsi="Arial"/>
          <w:b/>
          <w:bCs/>
          <w:i w:val="false"/>
          <w:iCs w:val="false"/>
          <w:color w:val="0F6CBD"/>
          <w:sz w:val="24"/>
          <w:szCs w:val="24"/>
        </w:rPr>
        <w:t xml:space="preserve">3.4  Avalara — El gigante global fuera del alcance de la PYME española (EEUU)</w:t>
      </w:r>
    </w:p>
    <w:tbl>
      <w:tblPr>
        <w:tblW w:type="dxa" w:w="8766"/>
        <w:tblBorders>
          <w:top w:val="single" w:color="auto" w:sz="4"/>
          <w:left w:val="single" w:color="auto" w:sz="4"/>
          <w:bottom w:val="single" w:color="auto" w:sz="4"/>
          <w:right w:val="single" w:color="auto" w:sz="4"/>
          <w:insideH w:val="single" w:color="auto" w:sz="4"/>
          <w:insideV w:val="single" w:color="auto" w:sz="4"/>
        </w:tblBorders>
      </w:tblPr>
      <w:tblGrid>
        <w:gridCol w:w="8766"/>
      </w:tblGrid>
      <w:tr>
        <w:tc>
          <w:tcPr>
            <w:tcW w:type="dxa" w:w="8766"/>
            <w:tcBorders>
              <w:top w:val="single" w:color="CCCCCC" w:sz="1"/>
              <w:left w:val="single" w:color="CCCCCC" w:sz="1"/>
              <w:bottom w:val="single" w:color="CCCCCC" w:sz="1"/>
              <w:right w:val="single" w:color="CCCCCC" w:sz="1"/>
            </w:tcBorders>
            <w:shd w:fill="EBF0F8" w:val="clear"/>
            <w:tcMar>
              <w:top w:type="dxa" w:w="140"/>
              <w:left w:type="dxa" w:w="220"/>
              <w:bottom w:type="dxa" w:w="140"/>
              <w:right w:type="dxa" w:w="220"/>
            </w:tcMar>
          </w:tcPr>
          <w:p>
            <w:pPr>
              <w:spacing w:before="0" w:after="90"/>
            </w:pPr>
            <w:r>
              <w:rPr>
                <w:rFonts w:ascii="Arial" w:cs="Arial" w:eastAsia="Arial" w:hAnsi="Arial"/>
                <w:b/>
                <w:bCs/>
                <w:i w:val="false"/>
                <w:iCs w:val="false"/>
                <w:color w:val="1B3A6B"/>
                <w:sz w:val="19"/>
                <w:szCs w:val="19"/>
              </w:rPr>
              <w:t xml:space="preserve">📊  Datos verificados — Fuente: avalara.com · vendr.com · checkthat.ai (marzo 2026)</w:t>
            </w:r>
          </w:p>
          <w:p>
            <w:pPr>
              <w:spacing w:before="50" w:after="50"/>
            </w:pPr>
            <w:r>
              <w:rPr>
                <w:rFonts w:ascii="Arial" w:cs="Arial" w:eastAsia="Arial" w:hAnsi="Arial"/>
                <w:b/>
                <w:bCs/>
                <w:i w:val="false"/>
                <w:iCs w:val="false"/>
                <w:color w:val="0F6CBD"/>
                <w:sz w:val="19"/>
                <w:szCs w:val="19"/>
              </w:rPr>
              <w:t xml:space="preserve">Sede: </w:t>
            </w:r>
            <w:r>
              <w:rPr>
                <w:rFonts w:ascii="Arial" w:cs="Arial" w:eastAsia="Arial" w:hAnsi="Arial"/>
                <w:b w:val="false"/>
                <w:bCs w:val="false"/>
                <w:i w:val="false"/>
                <w:iCs w:val="false"/>
                <w:color w:val="333333"/>
                <w:sz w:val="19"/>
                <w:szCs w:val="19"/>
              </w:rPr>
              <w:t xml:space="preserve">Durham, NC (EEUU)  ·  Propiedad de Vista Equity Partners (adquisición 2022)</w:t>
            </w:r>
          </w:p>
          <w:p>
            <w:pPr>
              <w:spacing w:before="50" w:after="50"/>
            </w:pPr>
            <w:r>
              <w:rPr>
                <w:rFonts w:ascii="Arial" w:cs="Arial" w:eastAsia="Arial" w:hAnsi="Arial"/>
                <w:b/>
                <w:bCs/>
                <w:i w:val="false"/>
                <w:iCs w:val="false"/>
                <w:color w:val="0F6CBD"/>
                <w:sz w:val="19"/>
                <w:szCs w:val="19"/>
              </w:rPr>
              <w:t xml:space="preserve">Cobertura: </w:t>
            </w:r>
            <w:r>
              <w:rPr>
                <w:rFonts w:ascii="Arial" w:cs="Arial" w:eastAsia="Arial" w:hAnsi="Arial"/>
                <w:b w:val="false"/>
                <w:bCs w:val="false"/>
                <w:i w:val="false"/>
                <w:iCs w:val="false"/>
                <w:color w:val="333333"/>
                <w:sz w:val="19"/>
                <w:szCs w:val="19"/>
              </w:rPr>
              <w:t xml:space="preserve">180+ países  ·  Mayor player global de tax compliance</w:t>
            </w:r>
          </w:p>
          <w:p>
            <w:pPr>
              <w:spacing w:before="50" w:after="50"/>
            </w:pPr>
            <w:r>
              <w:rPr>
                <w:rFonts w:ascii="Arial" w:cs="Arial" w:eastAsia="Arial" w:hAnsi="Arial"/>
                <w:b/>
                <w:bCs/>
                <w:i w:val="false"/>
                <w:iCs w:val="false"/>
                <w:color w:val="0F6CBD"/>
                <w:sz w:val="19"/>
                <w:szCs w:val="19"/>
              </w:rPr>
              <w:t xml:space="preserve">Precio real verificado: </w:t>
            </w:r>
            <w:r>
              <w:rPr>
                <w:rFonts w:ascii="Arial" w:cs="Arial" w:eastAsia="Arial" w:hAnsi="Arial"/>
                <w:b w:val="false"/>
                <w:bCs w:val="false"/>
                <w:i w:val="false"/>
                <w:iCs w:val="false"/>
                <w:color w:val="333333"/>
                <w:sz w:val="19"/>
                <w:szCs w:val="19"/>
              </w:rPr>
              <w:t xml:space="preserve">$7.400–$70.000+/año en suscripción  ·  Implementación: $5.000–$50.000 adicionales</w:t>
            </w:r>
          </w:p>
          <w:p>
            <w:pPr>
              <w:spacing w:before="50" w:after="50"/>
            </w:pPr>
            <w:r>
              <w:rPr>
                <w:rFonts w:ascii="Arial" w:cs="Arial" w:eastAsia="Arial" w:hAnsi="Arial"/>
                <w:b/>
                <w:bCs/>
                <w:i w:val="false"/>
                <w:iCs w:val="false"/>
                <w:color w:val="0F6CBD"/>
                <w:sz w:val="19"/>
                <w:szCs w:val="19"/>
              </w:rPr>
              <w:t xml:space="preserve">Coste medio mid-market: </w:t>
            </w:r>
            <w:r>
              <w:rPr>
                <w:rFonts w:ascii="Arial" w:cs="Arial" w:eastAsia="Arial" w:hAnsi="Arial"/>
                <w:b w:val="false"/>
                <w:bCs w:val="false"/>
                <w:i w:val="false"/>
                <w:iCs w:val="false"/>
                <w:color w:val="333333"/>
                <w:sz w:val="19"/>
                <w:szCs w:val="19"/>
              </w:rPr>
              <w:t xml:space="preserve">$18.754/año según datos de Vendr (solo suscripción base)</w:t>
            </w:r>
          </w:p>
        </w:tc>
      </w:tr>
    </w:tbl>
    <w:p>
      <w:pPr>
        <w:spacing w:before="0" w:after="0"/>
      </w:pPr>
      <w:r>
        <w:rPr>
          <w:rFonts w:ascii="Arial" w:cs="Arial" w:eastAsia="Arial" w:hAnsi="Arial"/>
          <w:b w:val="false"/>
          <w:bCs w:val="false"/>
          <w:i w:val="false"/>
          <w:iCs w:val="false"/>
          <w:color w:val="333333"/>
          <w:sz w:val="18"/>
          <w:szCs w:val="18"/>
        </w:rPr>
        <w:t xml:space="preserve"> </w:t>
      </w:r>
    </w:p>
    <w:p>
      <w:pPr>
        <w:spacing w:before="80" w:after="80"/>
        <w:jc w:val="both"/>
      </w:pPr>
      <w:r>
        <w:rPr>
          <w:rFonts w:ascii="Arial" w:cs="Arial" w:eastAsia="Arial" w:hAnsi="Arial"/>
          <w:b w:val="false"/>
          <w:bCs w:val="false"/>
          <w:i w:val="false"/>
          <w:iCs w:val="false"/>
          <w:color w:val="333333"/>
          <w:sz w:val="21"/>
          <w:szCs w:val="21"/>
        </w:rPr>
        <w:t xml:space="preserve">Avalara es el mayor player global de automatización de tax compliance. Sin embargo, no es competencia directa para TaricAI en el mercado español objetivo por razones estructurales y de precio: la mayoría de agencias de aduanas españolas con 5-15 empleados no puede asumir un coste de $18.754/año de media, ni la complejidad de implementación requerida. Además, Avalara no integra las fuentes oficiales españolas MAPA, TRACES ni SOIVRE, y está diseñada para clasificación HS de catálogos masivos de e-commerce, no para la operativa de despacho en agencias medianas.</w:t>
      </w:r>
    </w:p>
    <w:p>
      <w:pPr>
        <w:spacing w:before="0" w:after="0"/>
      </w:pPr>
      <w:r>
        <w:rPr>
          <w:rFonts w:ascii="Arial" w:cs="Arial" w:eastAsia="Arial" w:hAnsi="Arial"/>
          <w:b w:val="false"/>
          <w:bCs w:val="false"/>
          <w:i w:val="false"/>
          <w:iCs w:val="false"/>
          <w:color w:val="333333"/>
          <w:sz w:val="18"/>
          <w:szCs w:val="18"/>
        </w:rPr>
        <w:t xml:space="preserve"> </w:t>
      </w:r>
    </w:p>
    <w:p>
      <w:pPr>
        <w:spacing w:before="280" w:after="110"/>
      </w:pPr>
      <w:r>
        <w:rPr>
          <w:rFonts w:ascii="Arial" w:cs="Arial" w:eastAsia="Arial" w:hAnsi="Arial"/>
          <w:b/>
          <w:bCs/>
          <w:i w:val="false"/>
          <w:iCs w:val="false"/>
          <w:color w:val="0F6CBD"/>
          <w:sz w:val="24"/>
          <w:szCs w:val="24"/>
        </w:rPr>
        <w:t xml:space="preserve">3.5  Descartes Systems Group — Enterprise logistics, no agencias medianas (Canadá)</w:t>
      </w:r>
    </w:p>
    <w:tbl>
      <w:tblPr>
        <w:tblW w:type="dxa" w:w="8766"/>
        <w:tblBorders>
          <w:top w:val="single" w:color="auto" w:sz="4"/>
          <w:left w:val="single" w:color="auto" w:sz="4"/>
          <w:bottom w:val="single" w:color="auto" w:sz="4"/>
          <w:right w:val="single" w:color="auto" w:sz="4"/>
          <w:insideH w:val="single" w:color="auto" w:sz="4"/>
          <w:insideV w:val="single" w:color="auto" w:sz="4"/>
        </w:tblBorders>
      </w:tblPr>
      <w:tblGrid>
        <w:gridCol w:w="8766"/>
      </w:tblGrid>
      <w:tr>
        <w:tc>
          <w:tcPr>
            <w:tcW w:type="dxa" w:w="8766"/>
            <w:tcBorders>
              <w:top w:val="single" w:color="CCCCCC" w:sz="1"/>
              <w:left w:val="single" w:color="CCCCCC" w:sz="1"/>
              <w:bottom w:val="single" w:color="CCCCCC" w:sz="1"/>
              <w:right w:val="single" w:color="CCCCCC" w:sz="1"/>
            </w:tcBorders>
            <w:shd w:fill="EBF0F8" w:val="clear"/>
            <w:tcMar>
              <w:top w:type="dxa" w:w="140"/>
              <w:left w:type="dxa" w:w="220"/>
              <w:bottom w:type="dxa" w:w="140"/>
              <w:right w:type="dxa" w:w="220"/>
            </w:tcMar>
          </w:tcPr>
          <w:p>
            <w:pPr>
              <w:spacing w:before="0" w:after="90"/>
            </w:pPr>
            <w:r>
              <w:rPr>
                <w:rFonts w:ascii="Arial" w:cs="Arial" w:eastAsia="Arial" w:hAnsi="Arial"/>
                <w:b/>
                <w:bCs/>
                <w:i w:val="false"/>
                <w:iCs w:val="false"/>
                <w:color w:val="1B3A6B"/>
                <w:sz w:val="19"/>
                <w:szCs w:val="19"/>
              </w:rPr>
              <w:t xml:space="preserve">📊  Datos verificados — Fuente: descartes.com · nasdaq.com (marzo 2026)</w:t>
            </w:r>
          </w:p>
          <w:p>
            <w:pPr>
              <w:spacing w:before="50" w:after="50"/>
            </w:pPr>
            <w:r>
              <w:rPr>
                <w:rFonts w:ascii="Arial" w:cs="Arial" w:eastAsia="Arial" w:hAnsi="Arial"/>
                <w:b/>
                <w:bCs/>
                <w:i w:val="false"/>
                <w:iCs w:val="false"/>
                <w:color w:val="0F6CBD"/>
                <w:sz w:val="19"/>
                <w:szCs w:val="19"/>
              </w:rPr>
              <w:t xml:space="preserve">Sede: </w:t>
            </w:r>
            <w:r>
              <w:rPr>
                <w:rFonts w:ascii="Arial" w:cs="Arial" w:eastAsia="Arial" w:hAnsi="Arial"/>
                <w:b w:val="false"/>
                <w:bCs w:val="false"/>
                <w:i w:val="false"/>
                <w:iCs w:val="false"/>
                <w:color w:val="333333"/>
                <w:sz w:val="19"/>
                <w:szCs w:val="19"/>
              </w:rPr>
              <w:t xml:space="preserve">Waterloo, Ontario (Canadá)  ·  Cotizada en NASDAQ (DSGX)</w:t>
            </w:r>
          </w:p>
          <w:p>
            <w:pPr>
              <w:spacing w:before="50" w:after="50"/>
            </w:pPr>
            <w:r>
              <w:rPr>
                <w:rFonts w:ascii="Arial" w:cs="Arial" w:eastAsia="Arial" w:hAnsi="Arial"/>
                <w:b/>
                <w:bCs/>
                <w:i w:val="false"/>
                <w:iCs w:val="false"/>
                <w:color w:val="0F6CBD"/>
                <w:sz w:val="19"/>
                <w:szCs w:val="19"/>
              </w:rPr>
              <w:t xml:space="preserve">Facturación anual: </w:t>
            </w:r>
            <w:r>
              <w:rPr>
                <w:rFonts w:ascii="Arial" w:cs="Arial" w:eastAsia="Arial" w:hAnsi="Arial"/>
                <w:b w:val="false"/>
                <w:bCs w:val="false"/>
                <w:i w:val="false"/>
                <w:iCs w:val="false"/>
                <w:color w:val="333333"/>
                <w:sz w:val="19"/>
                <w:szCs w:val="19"/>
              </w:rPr>
              <w:t xml:space="preserve">$+500M  ·  Enfoque: grandes corporaciones multinacionales</w:t>
            </w:r>
          </w:p>
          <w:p>
            <w:pPr>
              <w:spacing w:before="50" w:after="50"/>
            </w:pPr>
            <w:r>
              <w:rPr>
                <w:rFonts w:ascii="Arial" w:cs="Arial" w:eastAsia="Arial" w:hAnsi="Arial"/>
                <w:b/>
                <w:bCs/>
                <w:i w:val="false"/>
                <w:iCs w:val="false"/>
                <w:color w:val="0F6CBD"/>
                <w:sz w:val="19"/>
                <w:szCs w:val="19"/>
              </w:rPr>
              <w:t xml:space="preserve">Precio orientativo: </w:t>
            </w:r>
            <w:r>
              <w:rPr>
                <w:rFonts w:ascii="Arial" w:cs="Arial" w:eastAsia="Arial" w:hAnsi="Arial"/>
                <w:b w:val="false"/>
                <w:bCs w:val="false"/>
                <w:i w:val="false"/>
                <w:iCs w:val="false"/>
                <w:color w:val="333333"/>
                <w:sz w:val="19"/>
                <w:szCs w:val="19"/>
              </w:rPr>
              <w:t xml:space="preserve">$20.000+/año  ·  Requiere implementación enterprise con consultoría</w:t>
            </w:r>
          </w:p>
          <w:p>
            <w:pPr>
              <w:spacing w:before="50" w:after="50"/>
            </w:pPr>
            <w:r>
              <w:rPr>
                <w:rFonts w:ascii="Arial" w:cs="Arial" w:eastAsia="Arial" w:hAnsi="Arial"/>
                <w:b/>
                <w:bCs/>
                <w:i w:val="false"/>
                <w:iCs w:val="false"/>
                <w:color w:val="0F6CBD"/>
                <w:sz w:val="19"/>
                <w:szCs w:val="19"/>
              </w:rPr>
              <w:t xml:space="preserve">Relevancia para TaricAI: </w:t>
            </w:r>
            <w:r>
              <w:rPr>
                <w:rFonts w:ascii="Arial" w:cs="Arial" w:eastAsia="Arial" w:hAnsi="Arial"/>
                <w:b w:val="false"/>
                <w:bCs w:val="false"/>
                <w:i w:val="false"/>
                <w:iCs w:val="false"/>
                <w:color w:val="333333"/>
                <w:sz w:val="19"/>
                <w:szCs w:val="19"/>
              </w:rPr>
              <w:t xml:space="preserve">Nula en el segmento SMB español — distinto mercado objetivo</w:t>
            </w:r>
          </w:p>
        </w:tc>
      </w:tr>
    </w:tbl>
    <w:p>
      <w:pPr>
        <w:spacing w:before="0" w:after="0"/>
      </w:pPr>
      <w:r>
        <w:rPr>
          <w:rFonts w:ascii="Arial" w:cs="Arial" w:eastAsia="Arial" w:hAnsi="Arial"/>
          <w:b w:val="false"/>
          <w:bCs w:val="false"/>
          <w:i w:val="false"/>
          <w:iCs w:val="false"/>
          <w:color w:val="333333"/>
          <w:sz w:val="18"/>
          <w:szCs w:val="18"/>
        </w:rPr>
        <w:t xml:space="preserve"> </w:t>
      </w:r>
    </w:p>
    <w:p>
      <w:pPr>
        <w:spacing w:before="80" w:after="80"/>
        <w:jc w:val="both"/>
      </w:pPr>
      <w:r>
        <w:rPr>
          <w:rFonts w:ascii="Arial" w:cs="Arial" w:eastAsia="Arial" w:hAnsi="Arial"/>
          <w:b w:val="false"/>
          <w:bCs w:val="false"/>
          <w:i w:val="false"/>
          <w:iCs w:val="false"/>
          <w:color w:val="333333"/>
          <w:sz w:val="21"/>
          <w:szCs w:val="21"/>
        </w:rPr>
        <w:t xml:space="preserve">Descartes es un conglomerado de software de logística y trade compliance cotizado en NASDAQ con ingresos superiores a $500M anuales. Ofrece soluciones de customs compliance para grandes corporaciones multinacionales: Walmart, Nestlé, DHL, etc. Su precio, complejidad de implementación y modelo de negocio lo excluyen estructuralmente del mercado de agencias de aduanas medianas y pymes españolas. No representa competencia directa ni potencial en el segmento objetivo de TaricAI.</w:t>
      </w:r>
    </w:p>
    <w:p>
      <w:pPr>
        <w:spacing w:before="0" w:after="0"/>
      </w:pPr>
      <w:r>
        <w:rPr>
          <w:rFonts w:ascii="Arial" w:cs="Arial" w:eastAsia="Arial" w:hAnsi="Arial"/>
          <w:b w:val="false"/>
          <w:bCs w:val="false"/>
          <w:i w:val="false"/>
          <w:iCs w:val="false"/>
          <w:color w:val="333333"/>
          <w:sz w:val="18"/>
          <w:szCs w:val="18"/>
        </w:rPr>
        <w:t xml:space="preserve"> </w:t>
      </w:r>
    </w:p>
    <w:p>
      <w:pPr>
        <w:spacing w:before="280" w:after="110"/>
      </w:pPr>
      <w:r>
        <w:rPr>
          <w:rFonts w:ascii="Arial" w:cs="Arial" w:eastAsia="Arial" w:hAnsi="Arial"/>
          <w:b/>
          <w:bCs/>
          <w:i w:val="false"/>
          <w:iCs w:val="false"/>
          <w:color w:val="0F6CBD"/>
          <w:sz w:val="24"/>
          <w:szCs w:val="24"/>
        </w:rPr>
        <w:t xml:space="preserve">3.6  Camtom — Competidor Latam relevante para la expansión en M10 (México)</w:t>
      </w:r>
    </w:p>
    <w:tbl>
      <w:tblPr>
        <w:tblW w:type="dxa" w:w="8766"/>
        <w:tblBorders>
          <w:top w:val="single" w:color="auto" w:sz="4"/>
          <w:left w:val="single" w:color="auto" w:sz="4"/>
          <w:bottom w:val="single" w:color="auto" w:sz="4"/>
          <w:right w:val="single" w:color="auto" w:sz="4"/>
          <w:insideH w:val="single" w:color="auto" w:sz="4"/>
          <w:insideV w:val="single" w:color="auto" w:sz="4"/>
        </w:tblBorders>
      </w:tblPr>
      <w:tblGrid>
        <w:gridCol w:w="8766"/>
      </w:tblGrid>
      <w:tr>
        <w:tc>
          <w:tcPr>
            <w:tcW w:type="dxa" w:w="8766"/>
            <w:tcBorders>
              <w:top w:val="single" w:color="CCCCCC" w:sz="1"/>
              <w:left w:val="single" w:color="CCCCCC" w:sz="1"/>
              <w:bottom w:val="single" w:color="CCCCCC" w:sz="1"/>
              <w:right w:val="single" w:color="CCCCCC" w:sz="1"/>
            </w:tcBorders>
            <w:shd w:fill="EBF0F8" w:val="clear"/>
            <w:tcMar>
              <w:top w:type="dxa" w:w="140"/>
              <w:left w:type="dxa" w:w="220"/>
              <w:bottom w:type="dxa" w:w="140"/>
              <w:right w:type="dxa" w:w="220"/>
            </w:tcMar>
          </w:tcPr>
          <w:p>
            <w:pPr>
              <w:spacing w:before="0" w:after="90"/>
            </w:pPr>
            <w:r>
              <w:rPr>
                <w:rFonts w:ascii="Arial" w:cs="Arial" w:eastAsia="Arial" w:hAnsi="Arial"/>
                <w:b/>
                <w:bCs/>
                <w:i w:val="false"/>
                <w:iCs w:val="false"/>
                <w:color w:val="1B3A6B"/>
                <w:sz w:val="19"/>
                <w:szCs w:val="19"/>
              </w:rPr>
              <w:t xml:space="preserve">📊  Datos verificados — Fuente: camtomx.com · descubre.vc (marzo 2026)</w:t>
            </w:r>
          </w:p>
          <w:p>
            <w:pPr>
              <w:spacing w:before="50" w:after="50"/>
            </w:pPr>
            <w:r>
              <w:rPr>
                <w:rFonts w:ascii="Arial" w:cs="Arial" w:eastAsia="Arial" w:hAnsi="Arial"/>
                <w:b/>
                <w:bCs/>
                <w:i w:val="false"/>
                <w:iCs w:val="false"/>
                <w:color w:val="0F6CBD"/>
                <w:sz w:val="19"/>
                <w:szCs w:val="19"/>
              </w:rPr>
              <w:t xml:space="preserve">Empresa: </w:t>
            </w:r>
            <w:r>
              <w:rPr>
                <w:rFonts w:ascii="Arial" w:cs="Arial" w:eastAsia="Arial" w:hAnsi="Arial"/>
                <w:b w:val="false"/>
                <w:bCs w:val="false"/>
                <w:i w:val="false"/>
                <w:iCs w:val="false"/>
                <w:color w:val="333333"/>
                <w:sz w:val="19"/>
                <w:szCs w:val="19"/>
              </w:rPr>
              <w:t xml:space="preserve">Camtom Technologies SAPI de CV  ·  Ciudad de México</w:t>
            </w:r>
          </w:p>
          <w:p>
            <w:pPr>
              <w:spacing w:before="50" w:after="50"/>
            </w:pPr>
            <w:r>
              <w:rPr>
                <w:rFonts w:ascii="Arial" w:cs="Arial" w:eastAsia="Arial" w:hAnsi="Arial"/>
                <w:b/>
                <w:bCs/>
                <w:i w:val="false"/>
                <w:iCs w:val="false"/>
                <w:color w:val="0F6CBD"/>
                <w:sz w:val="19"/>
                <w:szCs w:val="19"/>
              </w:rPr>
              <w:t xml:space="preserve">Posicionamiento: </w:t>
            </w:r>
            <w:r>
              <w:rPr>
                <w:rFonts w:ascii="Arial" w:cs="Arial" w:eastAsia="Arial" w:hAnsi="Arial"/>
                <w:b w:val="false"/>
                <w:bCs w:val="false"/>
                <w:i w:val="false"/>
                <w:iCs w:val="false"/>
                <w:color w:val="333333"/>
                <w:sz w:val="19"/>
                <w:szCs w:val="19"/>
              </w:rPr>
              <w:t xml:space="preserve">Primera agencia aduanal digital de México — destaca en Shark Tank México</w:t>
            </w:r>
          </w:p>
          <w:p>
            <w:pPr>
              <w:spacing w:before="50" w:after="50"/>
            </w:pPr>
            <w:r>
              <w:rPr>
                <w:rFonts w:ascii="Arial" w:cs="Arial" w:eastAsia="Arial" w:hAnsi="Arial"/>
                <w:b/>
                <w:bCs/>
                <w:i w:val="false"/>
                <w:iCs w:val="false"/>
                <w:color w:val="0F6CBD"/>
                <w:sz w:val="19"/>
                <w:szCs w:val="19"/>
              </w:rPr>
              <w:t xml:space="preserve">Producto: </w:t>
            </w:r>
            <w:r>
              <w:rPr>
                <w:rFonts w:ascii="Arial" w:cs="Arial" w:eastAsia="Arial" w:hAnsi="Arial"/>
                <w:b w:val="false"/>
                <w:bCs w:val="false"/>
                <w:i w:val="false"/>
                <w:iCs w:val="false"/>
                <w:color w:val="333333"/>
                <w:sz w:val="19"/>
                <w:szCs w:val="19"/>
              </w:rPr>
              <w:t xml:space="preserve">Plataforma IA para clasificación arancelaria, cotización y despacho aduanal</w:t>
            </w:r>
          </w:p>
          <w:p>
            <w:pPr>
              <w:spacing w:before="50" w:after="50"/>
            </w:pPr>
            <w:r>
              <w:rPr>
                <w:rFonts w:ascii="Arial" w:cs="Arial" w:eastAsia="Arial" w:hAnsi="Arial"/>
                <w:b/>
                <w:bCs/>
                <w:i w:val="false"/>
                <w:iCs w:val="false"/>
                <w:color w:val="0F6CBD"/>
                <w:sz w:val="19"/>
                <w:szCs w:val="19"/>
              </w:rPr>
              <w:t xml:space="preserve">Sistema arancelario: </w:t>
            </w:r>
            <w:r>
              <w:rPr>
                <w:rFonts w:ascii="Arial" w:cs="Arial" w:eastAsia="Arial" w:hAnsi="Arial"/>
                <w:b w:val="false"/>
                <w:bCs w:val="false"/>
                <w:i w:val="false"/>
                <w:iCs w:val="false"/>
                <w:color w:val="333333"/>
                <w:sz w:val="19"/>
                <w:szCs w:val="19"/>
              </w:rPr>
              <w:t xml:space="preserve">TIGIE/LIGIE (México) y sistemas Latam — no opera con TARIC UE</w:t>
            </w:r>
          </w:p>
          <w:p>
            <w:pPr>
              <w:spacing w:before="50" w:after="50"/>
            </w:pPr>
            <w:r>
              <w:rPr>
                <w:rFonts w:ascii="Arial" w:cs="Arial" w:eastAsia="Arial" w:hAnsi="Arial"/>
                <w:b/>
                <w:bCs/>
                <w:i w:val="false"/>
                <w:iCs w:val="false"/>
                <w:color w:val="0F6CBD"/>
                <w:sz w:val="19"/>
                <w:szCs w:val="19"/>
              </w:rPr>
              <w:t xml:space="preserve">Presencia en España/Europa: </w:t>
            </w:r>
            <w:r>
              <w:rPr>
                <w:rFonts w:ascii="Arial" w:cs="Arial" w:eastAsia="Arial" w:hAnsi="Arial"/>
                <w:b w:val="false"/>
                <w:bCs w:val="false"/>
                <w:i w:val="false"/>
                <w:iCs w:val="false"/>
                <w:color w:val="333333"/>
                <w:sz w:val="19"/>
                <w:szCs w:val="19"/>
              </w:rPr>
              <w:t xml:space="preserve">Ninguna — opera exclusivamente en México y Latam</w:t>
            </w:r>
          </w:p>
        </w:tc>
      </w:tr>
    </w:tbl>
    <w:p>
      <w:pPr>
        <w:spacing w:before="0" w:after="0"/>
      </w:pPr>
      <w:r>
        <w:rPr>
          <w:rFonts w:ascii="Arial" w:cs="Arial" w:eastAsia="Arial" w:hAnsi="Arial"/>
          <w:b w:val="false"/>
          <w:bCs w:val="false"/>
          <w:i w:val="false"/>
          <w:iCs w:val="false"/>
          <w:color w:val="333333"/>
          <w:sz w:val="18"/>
          <w:szCs w:val="18"/>
        </w:rPr>
        <w:t xml:space="preserve"> </w:t>
      </w:r>
    </w:p>
    <w:p>
      <w:pPr>
        <w:spacing w:before="80" w:after="80"/>
        <w:jc w:val="both"/>
      </w:pPr>
      <w:r>
        <w:rPr>
          <w:rFonts w:ascii="Arial" w:cs="Arial" w:eastAsia="Arial" w:hAnsi="Arial"/>
          <w:b w:val="false"/>
          <w:bCs w:val="false"/>
          <w:i w:val="false"/>
          <w:iCs w:val="false"/>
          <w:color w:val="333333"/>
          <w:sz w:val="21"/>
          <w:szCs w:val="21"/>
        </w:rPr>
        <w:t xml:space="preserve">Camtom es el competidor más relevante para la fase de expansión Latam de TaricAI (proyectada en M10). Es una startup mexicana con IA especializada en el sistema aduanero mexicano (TIGIE/LIGIE, pedimentos ante el SAT, VUCEM) que ha ganado visibilidad pública en México.</w:t>
      </w:r>
    </w:p>
    <w:p>
      <w:pPr>
        <w:spacing w:before="80" w:after="80"/>
        <w:jc w:val="both"/>
      </w:pPr>
      <w:r>
        <w:rPr>
          <w:rFonts w:ascii="Arial" w:cs="Arial" w:eastAsia="Arial" w:hAnsi="Arial"/>
          <w:b w:val="false"/>
          <w:bCs w:val="false"/>
          <w:i w:val="false"/>
          <w:iCs w:val="false"/>
          <w:color w:val="333333"/>
          <w:sz w:val="21"/>
          <w:szCs w:val="21"/>
        </w:rPr>
        <w:t xml:space="preserve">No representa competencia directa en España porque opera exclusivamente bajo el sistema arancelario mexicano, incompatible con TARIC UE. Sin embargo, al expandirse TaricAI a Latam, Camtom será el principal competidor local en México. La ventaja de TaricAI en ese mercado sería su experiencia con la regulación de comercio bilateral UE-Latam (acuerdos preferenciales ROSA, certificados de origen EUR.1), que Camtom no cubre al estar centrado en el sistema interno mexicano.</w:t>
      </w:r>
    </w:p>
    <w:p>
      <w:pPr>
        <w:spacing w:before="0" w:after="0"/>
      </w:pPr>
      <w:r>
        <w:rPr>
          <w:rFonts w:ascii="Arial" w:cs="Arial" w:eastAsia="Arial" w:hAnsi="Arial"/>
          <w:b w:val="false"/>
          <w:bCs w:val="false"/>
          <w:i w:val="false"/>
          <w:iCs w:val="false"/>
          <w:color w:val="333333"/>
          <w:sz w:val="18"/>
          <w:szCs w:val="18"/>
        </w:rPr>
        <w:t xml:space="preserve"> </w:t>
      </w:r>
    </w:p>
    <w:p>
      <w:pPr>
        <w:pBdr>
          <w:bottom w:val="single" w:color="1B3A6B" w:sz="4" w:space="1"/>
        </w:pBdr>
        <w:spacing w:before="180" w:after="180"/>
      </w:pPr>
      <w:r>
        <w:rPr>
          <w:rFonts w:ascii="Arial" w:cs="Arial" w:eastAsia="Arial" w:hAnsi="Arial"/>
          <w:b w:val="false"/>
          <w:bCs w:val="false"/>
          <w:i w:val="false"/>
          <w:iCs w:val="false"/>
          <w:color w:val="333333"/>
          <w:sz w:val="21"/>
          <w:szCs w:val="21"/>
        </w:rPr>
        <w:t xml:space="preserve"/>
      </w:r>
    </w:p>
    <w:p>
      <w:pPr>
        <w:spacing w:before="360" w:after="140"/>
      </w:pPr>
      <w:r>
        <w:rPr>
          <w:rFonts w:ascii="Arial" w:cs="Arial" w:eastAsia="Arial" w:hAnsi="Arial"/>
          <w:b/>
          <w:bCs/>
          <w:i w:val="false"/>
          <w:iCs w:val="false"/>
          <w:color w:val="1B3A6B"/>
          <w:sz w:val="30"/>
          <w:szCs w:val="30"/>
        </w:rPr>
        <w:t xml:space="preserve">4. La ventaja diferencial de TaricAI: cinco pilares verificados y defendibles</w:t>
      </w:r>
    </w:p>
    <w:p>
      <w:pPr>
        <w:spacing w:before="80" w:after="80"/>
        <w:jc w:val="both"/>
      </w:pPr>
      <w:r>
        <w:rPr>
          <w:rFonts w:ascii="Arial" w:cs="Arial" w:eastAsia="Arial" w:hAnsi="Arial"/>
          <w:b w:val="false"/>
          <w:bCs w:val="false"/>
          <w:i w:val="false"/>
          <w:iCs w:val="false"/>
          <w:color w:val="333333"/>
          <w:sz w:val="21"/>
          <w:szCs w:val="21"/>
        </w:rPr>
        <w:t xml:space="preserve">Tras el análisis de los seis competidores activos, la combinación que TaricAI ofrece no existe en el mercado español en 2026. La tabla resume los cinco pilares diferenciales con su justificación específica frente a competidores nombrados:</w:t>
      </w:r>
    </w:p>
    <w:p>
      <w:pPr>
        <w:spacing w:before="0" w:after="0"/>
      </w:pPr>
      <w:r>
        <w:rPr>
          <w:rFonts w:ascii="Arial" w:cs="Arial" w:eastAsia="Arial" w:hAnsi="Arial"/>
          <w:b w:val="false"/>
          <w:bCs w:val="false"/>
          <w:i w:val="false"/>
          <w:iCs w:val="false"/>
          <w:color w:val="333333"/>
          <w:sz w:val="18"/>
          <w:szCs w:val="18"/>
        </w:rPr>
        <w:t xml:space="preserve"> </w:t>
      </w:r>
    </w:p>
    <w:tbl>
      <w:tblPr>
        <w:tblW w:type="dxa" w:w="8766"/>
        <w:tblBorders>
          <w:top w:val="single" w:color="auto" w:sz="4"/>
          <w:left w:val="single" w:color="auto" w:sz="4"/>
          <w:bottom w:val="single" w:color="auto" w:sz="4"/>
          <w:right w:val="single" w:color="auto" w:sz="4"/>
          <w:insideH w:val="single" w:color="auto" w:sz="4"/>
          <w:insideV w:val="single" w:color="auto" w:sz="4"/>
        </w:tblBorders>
      </w:tblPr>
      <w:tblGrid>
        <w:gridCol w:w="2700"/>
        <w:gridCol w:w="6066"/>
      </w:tblGrid>
      <w:tr>
        <w:tc>
          <w:tcPr>
            <w:tcW w:type="dxa" w:w="2700"/>
            <w:tcBorders>
              <w:top w:val="single" w:color="CCCCCC" w:sz="1"/>
              <w:left w:val="single" w:color="CCCCCC" w:sz="1"/>
              <w:bottom w:val="single" w:color="CCCCCC" w:sz="1"/>
              <w:right w:val="single" w:color="CCCCCC" w:sz="1"/>
            </w:tcBorders>
            <w:shd w:fill="1B3A6B" w:val="clear"/>
            <w:tcMar>
              <w:top w:type="dxa" w:w="110"/>
              <w:left w:type="dxa" w:w="160"/>
              <w:bottom w:type="dxa" w:w="110"/>
              <w:right w:type="dxa" w:w="140"/>
            </w:tcMar>
          </w:tcPr>
          <w:p>
            <w:r>
              <w:rPr>
                <w:rFonts w:ascii="Arial" w:cs="Arial" w:eastAsia="Arial" w:hAnsi="Arial"/>
                <w:b/>
                <w:bCs/>
                <w:i w:val="false"/>
                <w:iCs w:val="false"/>
                <w:color w:val="FFFFFF"/>
                <w:sz w:val="20"/>
                <w:szCs w:val="20"/>
              </w:rPr>
              <w:t xml:space="preserve">Pilar diferencial</w:t>
            </w:r>
          </w:p>
        </w:tc>
        <w:tc>
          <w:tcPr>
            <w:tcW w:type="dxa" w:w="6066"/>
            <w:tcBorders>
              <w:top w:val="single" w:color="CCCCCC" w:sz="1"/>
              <w:left w:val="single" w:color="CCCCCC" w:sz="1"/>
              <w:bottom w:val="single" w:color="CCCCCC" w:sz="1"/>
              <w:right w:val="single" w:color="CCCCCC" w:sz="1"/>
            </w:tcBorders>
            <w:shd w:fill="1B3A6B" w:val="clear"/>
            <w:tcMar>
              <w:top w:type="dxa" w:w="110"/>
              <w:left w:type="dxa" w:w="160"/>
              <w:bottom w:type="dxa" w:w="110"/>
              <w:right w:type="dxa" w:w="140"/>
            </w:tcMar>
          </w:tcPr>
          <w:p>
            <w:r>
              <w:rPr>
                <w:rFonts w:ascii="Arial" w:cs="Arial" w:eastAsia="Arial" w:hAnsi="Arial"/>
                <w:b/>
                <w:bCs/>
                <w:i w:val="false"/>
                <w:iCs w:val="false"/>
                <w:color w:val="FFFFFF"/>
                <w:sz w:val="20"/>
                <w:szCs w:val="20"/>
              </w:rPr>
              <w:t xml:space="preserve">Por qué ningún competidor lo cubre para España</w:t>
            </w:r>
          </w:p>
        </w:tc>
      </w:tr>
      <w:tr>
        <w:tc>
          <w:tcPr>
            <w:tcW w:type="dxa" w:w="2700"/>
            <w:tcBorders>
              <w:top w:val="single" w:color="CCCCCC" w:sz="1"/>
              <w:left w:val="single" w:color="CCCCCC" w:sz="1"/>
              <w:bottom w:val="single" w:color="CCCCCC" w:sz="1"/>
              <w:right w:val="single" w:color="CCCCCC" w:sz="1"/>
            </w:tcBorders>
            <w:shd w:fill="EBF0F8" w:val="clear"/>
            <w:tcMar>
              <w:top w:type="dxa" w:w="110"/>
              <w:left w:type="dxa" w:w="160"/>
              <w:bottom w:type="dxa" w:w="110"/>
              <w:right w:type="dxa" w:w="140"/>
            </w:tcMar>
          </w:tcPr>
          <w:p>
            <w:r>
              <w:rPr>
                <w:rFonts w:ascii="Arial" w:cs="Arial" w:eastAsia="Arial" w:hAnsi="Arial"/>
                <w:b/>
                <w:bCs/>
                <w:i w:val="false"/>
                <w:iCs w:val="false"/>
                <w:color w:val="1B3A6B"/>
                <w:sz w:val="19"/>
                <w:szCs w:val="19"/>
              </w:rPr>
              <w:t xml:space="preserve">🔍  IA + TARIC UE para España</w:t>
            </w:r>
          </w:p>
        </w:tc>
        <w:tc>
          <w:tcPr>
            <w:tcW w:type="dxa" w:w="6066"/>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40"/>
            </w:tcMar>
          </w:tcPr>
          <w:p>
            <w:r>
              <w:rPr>
                <w:rFonts w:ascii="Arial" w:cs="Arial" w:eastAsia="Arial" w:hAnsi="Arial"/>
                <w:b w:val="false"/>
                <w:bCs w:val="false"/>
                <w:i w:val="false"/>
                <w:iCs w:val="false"/>
                <w:color w:val="333333"/>
                <w:sz w:val="19"/>
                <w:szCs w:val="19"/>
              </w:rPr>
              <w:t xml:space="preserve">dbTaric tiene las fuentes oficiales españolas pero sin IA. Digicust y MIC-CUST tienen IA pero sin especificidad española ni integración con AEAT. TaricAI es el único que combina ambos.</w:t>
            </w:r>
          </w:p>
        </w:tc>
      </w:tr>
      <w:tr>
        <w:tc>
          <w:tcPr>
            <w:tcW w:type="dxa" w:w="2700"/>
            <w:tcBorders>
              <w:top w:val="single" w:color="CCCCCC" w:sz="1"/>
              <w:left w:val="single" w:color="CCCCCC" w:sz="1"/>
              <w:bottom w:val="single" w:color="CCCCCC" w:sz="1"/>
              <w:right w:val="single" w:color="CCCCCC" w:sz="1"/>
            </w:tcBorders>
            <w:shd w:fill="EBF0F8" w:val="clear"/>
            <w:tcMar>
              <w:top w:type="dxa" w:w="110"/>
              <w:left w:type="dxa" w:w="160"/>
              <w:bottom w:type="dxa" w:w="110"/>
              <w:right w:type="dxa" w:w="140"/>
            </w:tcMar>
          </w:tcPr>
          <w:p>
            <w:r>
              <w:rPr>
                <w:rFonts w:ascii="Arial" w:cs="Arial" w:eastAsia="Arial" w:hAnsi="Arial"/>
                <w:b/>
                <w:bCs/>
                <w:i w:val="false"/>
                <w:iCs w:val="false"/>
                <w:color w:val="1B3A6B"/>
                <w:sz w:val="19"/>
                <w:szCs w:val="19"/>
              </w:rPr>
              <w:t xml:space="preserve">🌿  Módulo MAPA + TRACES + SOIVRE</w:t>
            </w:r>
          </w:p>
        </w:tc>
        <w:tc>
          <w:tcPr>
            <w:tcW w:type="dxa" w:w="6066"/>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40"/>
            </w:tcMar>
          </w:tcPr>
          <w:p>
            <w:r>
              <w:rPr>
                <w:rFonts w:ascii="Arial" w:cs="Arial" w:eastAsia="Arial" w:hAnsi="Arial"/>
                <w:b w:val="false"/>
                <w:bCs w:val="false"/>
                <w:i w:val="false"/>
                <w:iCs w:val="false"/>
                <w:color w:val="333333"/>
                <w:sz w:val="19"/>
                <w:szCs w:val="19"/>
              </w:rPr>
              <w:t xml:space="preserve">Ningún competidor analizado integra los requisitos fitosanitarios del MAPA, TRACES y SOIVRE para la entrada de mercancías a España. Brecha real del mercado confirmada por operadores activos del sector.</w:t>
            </w:r>
          </w:p>
        </w:tc>
      </w:tr>
      <w:tr>
        <w:tc>
          <w:tcPr>
            <w:tcW w:type="dxa" w:w="2700"/>
            <w:tcBorders>
              <w:top w:val="single" w:color="CCCCCC" w:sz="1"/>
              <w:left w:val="single" w:color="CCCCCC" w:sz="1"/>
              <w:bottom w:val="single" w:color="CCCCCC" w:sz="1"/>
              <w:right w:val="single" w:color="CCCCCC" w:sz="1"/>
            </w:tcBorders>
            <w:shd w:fill="EBF0F8" w:val="clear"/>
            <w:tcMar>
              <w:top w:type="dxa" w:w="110"/>
              <w:left w:type="dxa" w:w="160"/>
              <w:bottom w:type="dxa" w:w="110"/>
              <w:right w:type="dxa" w:w="140"/>
            </w:tcMar>
          </w:tcPr>
          <w:p>
            <w:r>
              <w:rPr>
                <w:rFonts w:ascii="Arial" w:cs="Arial" w:eastAsia="Arial" w:hAnsi="Arial"/>
                <w:b/>
                <w:bCs/>
                <w:i w:val="false"/>
                <w:iCs w:val="false"/>
                <w:color w:val="1B3A6B"/>
                <w:sz w:val="19"/>
                <w:szCs w:val="19"/>
              </w:rPr>
              <w:t xml:space="preserve">📊  Landed Cost España (AEAT)</w:t>
            </w:r>
          </w:p>
        </w:tc>
        <w:tc>
          <w:tcPr>
            <w:tcW w:type="dxa" w:w="6066"/>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40"/>
            </w:tcMar>
          </w:tcPr>
          <w:p>
            <w:r>
              <w:rPr>
                <w:rFonts w:ascii="Arial" w:cs="Arial" w:eastAsia="Arial" w:hAnsi="Arial"/>
                <w:b w:val="false"/>
                <w:bCs w:val="false"/>
                <w:i w:val="false"/>
                <w:iCs w:val="false"/>
                <w:color w:val="333333"/>
                <w:sz w:val="19"/>
                <w:szCs w:val="19"/>
              </w:rPr>
              <w:t xml:space="preserve">Avalara y Descartes calculan tributos a nivel genérico global. Ninguno incluye tasas portuarias españolas, IVA import AEAT ni la casuística fiscal española completa en un solo cálculo automatizado.</w:t>
            </w:r>
          </w:p>
        </w:tc>
      </w:tr>
      <w:tr>
        <w:tc>
          <w:tcPr>
            <w:tcW w:type="dxa" w:w="2700"/>
            <w:tcBorders>
              <w:top w:val="single" w:color="CCCCCC" w:sz="1"/>
              <w:left w:val="single" w:color="CCCCCC" w:sz="1"/>
              <w:bottom w:val="single" w:color="CCCCCC" w:sz="1"/>
              <w:right w:val="single" w:color="CCCCCC" w:sz="1"/>
            </w:tcBorders>
            <w:shd w:fill="EBF0F8" w:val="clear"/>
            <w:tcMar>
              <w:top w:type="dxa" w:w="110"/>
              <w:left w:type="dxa" w:w="160"/>
              <w:bottom w:type="dxa" w:w="110"/>
              <w:right w:type="dxa" w:w="140"/>
            </w:tcMar>
          </w:tcPr>
          <w:p>
            <w:r>
              <w:rPr>
                <w:rFonts w:ascii="Arial" w:cs="Arial" w:eastAsia="Arial" w:hAnsi="Arial"/>
                <w:b/>
                <w:bCs/>
                <w:i w:val="false"/>
                <w:iCs w:val="false"/>
                <w:color w:val="1B3A6B"/>
                <w:sz w:val="19"/>
                <w:szCs w:val="19"/>
              </w:rPr>
              <w:t xml:space="preserve">💶  Precio PYME (€249–€599/mes)</w:t>
            </w:r>
          </w:p>
        </w:tc>
        <w:tc>
          <w:tcPr>
            <w:tcW w:type="dxa" w:w="6066"/>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40"/>
            </w:tcMar>
          </w:tcPr>
          <w:p>
            <w:r>
              <w:rPr>
                <w:rFonts w:ascii="Arial" w:cs="Arial" w:eastAsia="Arial" w:hAnsi="Arial"/>
                <w:b w:val="false"/>
                <w:bCs w:val="false"/>
                <w:i w:val="false"/>
                <w:iCs w:val="false"/>
                <w:color w:val="333333"/>
                <w:sz w:val="19"/>
                <w:szCs w:val="19"/>
              </w:rPr>
              <w:t xml:space="preserve">Avalara ($7.400–$70.000+/año) y Descartes ($20.000+/año) están diseñados para corporaciones multinacionales. TaricAI cubre el segmento de agencias de aduanas medianas y pymes importadoras que representan el grueso del mercado español por número de entidades.</w:t>
            </w:r>
          </w:p>
        </w:tc>
      </w:tr>
      <w:tr>
        <w:tc>
          <w:tcPr>
            <w:tcW w:type="dxa" w:w="2700"/>
            <w:tcBorders>
              <w:top w:val="single" w:color="CCCCCC" w:sz="1"/>
              <w:left w:val="single" w:color="CCCCCC" w:sz="1"/>
              <w:bottom w:val="single" w:color="CCCCCC" w:sz="1"/>
              <w:right w:val="single" w:color="CCCCCC" w:sz="1"/>
            </w:tcBorders>
            <w:shd w:fill="EBF0F8" w:val="clear"/>
            <w:tcMar>
              <w:top w:type="dxa" w:w="110"/>
              <w:left w:type="dxa" w:w="160"/>
              <w:bottom w:type="dxa" w:w="110"/>
              <w:right w:type="dxa" w:w="140"/>
            </w:tcMar>
          </w:tcPr>
          <w:p>
            <w:r>
              <w:rPr>
                <w:rFonts w:ascii="Arial" w:cs="Arial" w:eastAsia="Arial" w:hAnsi="Arial"/>
                <w:b/>
                <w:bCs/>
                <w:i w:val="false"/>
                <w:iCs w:val="false"/>
                <w:color w:val="1B3A6B"/>
                <w:sz w:val="19"/>
                <w:szCs w:val="19"/>
              </w:rPr>
              <w:t xml:space="preserve">🌍  Cobertura Latam futura (M10+)</w:t>
            </w:r>
          </w:p>
        </w:tc>
        <w:tc>
          <w:tcPr>
            <w:tcW w:type="dxa" w:w="6066"/>
            <w:tcBorders>
              <w:top w:val="single" w:color="CCCCCC" w:sz="1"/>
              <w:left w:val="single" w:color="CCCCCC" w:sz="1"/>
              <w:bottom w:val="single" w:color="CCCCCC" w:sz="1"/>
              <w:right w:val="single" w:color="CCCCCC" w:sz="1"/>
            </w:tcBorders>
            <w:shd w:fill="FFFFFF" w:val="clear"/>
            <w:tcMar>
              <w:top w:type="dxa" w:w="110"/>
              <w:left w:type="dxa" w:w="160"/>
              <w:bottom w:type="dxa" w:w="110"/>
              <w:right w:type="dxa" w:w="140"/>
            </w:tcMar>
          </w:tcPr>
          <w:p>
            <w:r>
              <w:rPr>
                <w:rFonts w:ascii="Arial" w:cs="Arial" w:eastAsia="Arial" w:hAnsi="Arial"/>
                <w:b w:val="false"/>
                <w:bCs w:val="false"/>
                <w:i w:val="false"/>
                <w:iCs w:val="false"/>
                <w:color w:val="333333"/>
                <w:sz w:val="19"/>
                <w:szCs w:val="19"/>
              </w:rPr>
              <w:t xml:space="preserve">Camtom opera en México con sistema TIGIE/LIGIE, no TARIC. No tiene presencia en España ni Europa. TaricAI puede expandir su motor TARIC-UE a los sistemas arancelarios de Latam aprovechando el mismo stack técnico.</w:t>
            </w:r>
          </w:p>
        </w:tc>
      </w:tr>
    </w:tbl>
    <w:p>
      <w:pPr>
        <w:spacing w:before="0" w:after="0"/>
      </w:pPr>
      <w:r>
        <w:rPr>
          <w:rFonts w:ascii="Arial" w:cs="Arial" w:eastAsia="Arial" w:hAnsi="Arial"/>
          <w:b w:val="false"/>
          <w:bCs w:val="false"/>
          <w:i w:val="false"/>
          <w:iCs w:val="false"/>
          <w:color w:val="333333"/>
          <w:sz w:val="18"/>
          <w:szCs w:val="18"/>
        </w:rPr>
        <w:t xml:space="preserve"> </w:t>
      </w:r>
    </w:p>
    <w:p>
      <w:pPr>
        <w:spacing w:before="360" w:after="140"/>
      </w:pPr>
      <w:r>
        <w:rPr>
          <w:rFonts w:ascii="Arial" w:cs="Arial" w:eastAsia="Arial" w:hAnsi="Arial"/>
          <w:b/>
          <w:bCs/>
          <w:i w:val="false"/>
          <w:iCs w:val="false"/>
          <w:color w:val="1B3A6B"/>
          <w:sz w:val="30"/>
          <w:szCs w:val="30"/>
        </w:rPr>
        <w:t xml:space="preserve">5. Riesgo competitivo real y plan de defensa</w:t>
      </w:r>
    </w:p>
    <w:p>
      <w:pPr>
        <w:spacing w:before="80" w:after="80"/>
        <w:jc w:val="both"/>
      </w:pPr>
      <w:r>
        <w:rPr>
          <w:rFonts w:ascii="Arial" w:cs="Arial" w:eastAsia="Arial" w:hAnsi="Arial"/>
          <w:b w:val="false"/>
          <w:bCs w:val="false"/>
          <w:i w:val="false"/>
          <w:iCs w:val="false"/>
          <w:color w:val="333333"/>
          <w:sz w:val="21"/>
          <w:szCs w:val="21"/>
        </w:rPr>
        <w:t xml:space="preserve">La presentación ante ENISA requiere reconocer los riesgos competitivos con honestidad y proponer mitigaciones concretas. Se identifican seis riesgos ordenados por impacto potencial:</w:t>
      </w:r>
    </w:p>
    <w:p>
      <w:pPr>
        <w:spacing w:before="0" w:after="0"/>
      </w:pPr>
      <w:r>
        <w:rPr>
          <w:rFonts w:ascii="Arial" w:cs="Arial" w:eastAsia="Arial" w:hAnsi="Arial"/>
          <w:b w:val="false"/>
          <w:bCs w:val="false"/>
          <w:i w:val="false"/>
          <w:iCs w:val="false"/>
          <w:color w:val="333333"/>
          <w:sz w:val="18"/>
          <w:szCs w:val="18"/>
        </w:rPr>
        <w:t xml:space="preserve"> </w:t>
      </w:r>
    </w:p>
    <w:tbl>
      <w:tblPr>
        <w:tblW w:type="dxa" w:w="8766"/>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4866"/>
      </w:tblGrid>
      <w:tr>
        <w:tc>
          <w:tcPr>
            <w:tcBorders>
              <w:top w:val="single" w:color="CCCCCC" w:sz="1"/>
              <w:left w:val="single" w:color="CCCCCC" w:sz="1"/>
              <w:bottom w:val="single" w:color="CCCCCC" w:sz="1"/>
              <w:right w:val="single" w:color="CCCCCC" w:sz="1"/>
            </w:tcBorders>
            <w:shd w:fill="152D55" w:val="clear"/>
            <w:tcMar>
              <w:top w:type="dxa" w:w="100"/>
              <w:left w:type="dxa" w:w="130"/>
              <w:bottom w:type="dxa" w:w="100"/>
              <w:right w:type="dxa" w:w="100"/>
            </w:tcMar>
          </w:tcPr>
          <w:p>
            <w:r>
              <w:rPr>
                <w:rFonts w:ascii="Arial" w:cs="Arial" w:eastAsia="Arial" w:hAnsi="Arial"/>
                <w:b/>
                <w:bCs/>
                <w:i w:val="false"/>
                <w:iCs w:val="false"/>
                <w:color w:val="FFFFFF"/>
                <w:sz w:val="19"/>
                <w:szCs w:val="19"/>
              </w:rPr>
              <w:t xml:space="preserve">Riesgo</w:t>
            </w:r>
          </w:p>
        </w:tc>
        <w:tc>
          <w:tcPr>
            <w:tcBorders>
              <w:top w:val="single" w:color="CCCCCC" w:sz="1"/>
              <w:left w:val="single" w:color="CCCCCC" w:sz="1"/>
              <w:bottom w:val="single" w:color="CCCCCC" w:sz="1"/>
              <w:right w:val="single" w:color="CCCCCC" w:sz="1"/>
            </w:tcBorders>
            <w:shd w:fill="152D55" w:val="clear"/>
            <w:tcMar>
              <w:top w:type="dxa" w:w="100"/>
              <w:left w:type="dxa" w:w="130"/>
              <w:bottom w:type="dxa" w:w="100"/>
              <w:right w:type="dxa" w:w="100"/>
            </w:tcMar>
          </w:tcPr>
          <w:p>
            <w:r>
              <w:rPr>
                <w:rFonts w:ascii="Arial" w:cs="Arial" w:eastAsia="Arial" w:hAnsi="Arial"/>
                <w:b/>
                <w:bCs/>
                <w:i w:val="false"/>
                <w:iCs w:val="false"/>
                <w:color w:val="FFFFFF"/>
                <w:sz w:val="19"/>
                <w:szCs w:val="19"/>
              </w:rPr>
              <w:t xml:space="preserve">Probabilidad</w:t>
            </w:r>
          </w:p>
        </w:tc>
        <w:tc>
          <w:tcPr>
            <w:tcBorders>
              <w:top w:val="single" w:color="CCCCCC" w:sz="1"/>
              <w:left w:val="single" w:color="CCCCCC" w:sz="1"/>
              <w:bottom w:val="single" w:color="CCCCCC" w:sz="1"/>
              <w:right w:val="single" w:color="CCCCCC" w:sz="1"/>
            </w:tcBorders>
            <w:shd w:fill="152D55" w:val="clear"/>
            <w:tcMar>
              <w:top w:type="dxa" w:w="100"/>
              <w:left w:type="dxa" w:w="130"/>
              <w:bottom w:type="dxa" w:w="100"/>
              <w:right w:type="dxa" w:w="100"/>
            </w:tcMar>
          </w:tcPr>
          <w:p>
            <w:r>
              <w:rPr>
                <w:rFonts w:ascii="Arial" w:cs="Arial" w:eastAsia="Arial" w:hAnsi="Arial"/>
                <w:b/>
                <w:bCs/>
                <w:i w:val="false"/>
                <w:iCs w:val="false"/>
                <w:color w:val="FFFFFF"/>
                <w:sz w:val="19"/>
                <w:szCs w:val="19"/>
              </w:rPr>
              <w:t xml:space="preserve">Plan de mitigación</w:t>
            </w:r>
          </w:p>
        </w:tc>
      </w:tr>
      <w:tr>
        <w:tc>
          <w:tcPr>
            <w:tcBorders>
              <w:top w:val="single" w:color="CCCCCC" w:sz="1"/>
              <w:left w:val="single" w:color="CCCCCC" w:sz="1"/>
              <w:bottom w:val="single" w:color="CCCCCC" w:sz="1"/>
              <w:right w:val="single" w:color="CCCCCC" w:sz="1"/>
            </w:tcBorders>
            <w:tcMar>
              <w:top w:type="dxa" w:w="100"/>
              <w:left w:type="dxa" w:w="130"/>
              <w:bottom w:type="dxa" w:w="100"/>
              <w:right w:type="dxa" w:w="100"/>
            </w:tcMar>
          </w:tcPr>
          <w:p>
            <w:r>
              <w:rPr>
                <w:rFonts w:ascii="Arial" w:cs="Arial" w:eastAsia="Arial" w:hAnsi="Arial"/>
                <w:b w:val="false"/>
                <w:bCs w:val="false"/>
                <w:i w:val="false"/>
                <w:iCs w:val="false"/>
                <w:color w:val="333333"/>
                <w:sz w:val="19"/>
                <w:szCs w:val="19"/>
              </w:rPr>
              <w:t xml:space="preserve">Digicust entra en España</w:t>
            </w:r>
          </w:p>
        </w:tc>
        <w:tc>
          <w:tcPr>
            <w:tcBorders>
              <w:top w:val="single" w:color="CCCCCC" w:sz="1"/>
              <w:left w:val="single" w:color="CCCCCC" w:sz="1"/>
              <w:bottom w:val="single" w:color="CCCCCC" w:sz="1"/>
              <w:right w:val="single" w:color="CCCCCC" w:sz="1"/>
            </w:tcBorders>
            <w:shd w:fill="FFF8E1" w:val="clear"/>
            <w:tcMar>
              <w:top w:type="dxa" w:w="100"/>
              <w:left w:type="dxa" w:w="100"/>
              <w:bottom w:type="dxa" w:w="100"/>
              <w:right w:type="dxa" w:w="100"/>
            </w:tcMar>
          </w:tcPr>
          <w:p>
            <w:pPr>
              <w:jc w:val="center"/>
            </w:pPr>
            <w:r>
              <w:rPr>
                <w:rFonts w:ascii="Arial" w:cs="Arial" w:eastAsia="Arial" w:hAnsi="Arial"/>
                <w:b w:val="false"/>
                <w:bCs w:val="false"/>
                <w:i w:val="false"/>
                <w:iCs w:val="false"/>
                <w:color w:val="333333"/>
                <w:sz w:val="17"/>
                <w:szCs w:val="17"/>
              </w:rPr>
              <w:t xml:space="preserve">⚠️ Media · 12–24 meses</w:t>
            </w:r>
          </w:p>
        </w:tc>
        <w:tc>
          <w:tcPr>
            <w:tcBorders>
              <w:top w:val="single" w:color="CCCCCC" w:sz="1"/>
              <w:left w:val="single" w:color="CCCCCC" w:sz="1"/>
              <w:bottom w:val="single" w:color="CCCCCC" w:sz="1"/>
              <w:right w:val="single" w:color="CCCCCC" w:sz="1"/>
            </w:tcBorders>
            <w:tcMar>
              <w:top w:type="dxa" w:w="100"/>
              <w:left w:type="dxa" w:w="130"/>
              <w:bottom w:type="dxa" w:w="100"/>
              <w:right w:type="dxa" w:w="100"/>
            </w:tcMar>
          </w:tcPr>
          <w:p>
            <w:r>
              <w:rPr>
                <w:rFonts w:ascii="Arial" w:cs="Arial" w:eastAsia="Arial" w:hAnsi="Arial"/>
                <w:b w:val="false"/>
                <w:bCs w:val="false"/>
                <w:i w:val="false"/>
                <w:iCs w:val="false"/>
                <w:color w:val="333333"/>
                <w:sz w:val="18"/>
                <w:szCs w:val="18"/>
              </w:rPr>
              <w:t xml:space="preserve">Velocidad de go-to-market. Llegar primero a las 1.200 agencias + construir el módulo MAPA/TRACES como moat técnico. Digicust no lo tiene y tardaría meses en desarrollarlo para el mercado español específico.</w:t>
            </w:r>
          </w:p>
        </w:tc>
      </w:tr>
      <w:tr>
        <w:tc>
          <w:tcPr>
            <w:tcBorders>
              <w:top w:val="single" w:color="CCCCCC" w:sz="1"/>
              <w:left w:val="single" w:color="CCCCCC" w:sz="1"/>
              <w:bottom w:val="single" w:color="CCCCCC" w:sz="1"/>
              <w:right w:val="single" w:color="CCCCCC" w:sz="1"/>
            </w:tcBorders>
            <w:tcMar>
              <w:top w:type="dxa" w:w="100"/>
              <w:left w:type="dxa" w:w="130"/>
              <w:bottom w:type="dxa" w:w="100"/>
              <w:right w:type="dxa" w:w="100"/>
            </w:tcMar>
          </w:tcPr>
          <w:p>
            <w:r>
              <w:rPr>
                <w:rFonts w:ascii="Arial" w:cs="Arial" w:eastAsia="Arial" w:hAnsi="Arial"/>
                <w:b w:val="false"/>
                <w:bCs w:val="false"/>
                <w:i w:val="false"/>
                <w:iCs w:val="false"/>
                <w:color w:val="333333"/>
                <w:sz w:val="19"/>
                <w:szCs w:val="19"/>
              </w:rPr>
              <w:t xml:space="preserve">Precisión IA &lt; 90% en v1.0</w:t>
            </w:r>
          </w:p>
        </w:tc>
        <w:tc>
          <w:tcPr>
            <w:tcBorders>
              <w:top w:val="single" w:color="CCCCCC" w:sz="1"/>
              <w:left w:val="single" w:color="CCCCCC" w:sz="1"/>
              <w:bottom w:val="single" w:color="CCCCCC" w:sz="1"/>
              <w:right w:val="single" w:color="CCCCCC" w:sz="1"/>
            </w:tcBorders>
            <w:shd w:fill="FDECEA" w:val="clear"/>
            <w:tcMar>
              <w:top w:type="dxa" w:w="100"/>
              <w:left w:type="dxa" w:w="100"/>
              <w:bottom w:type="dxa" w:w="100"/>
              <w:right w:type="dxa" w:w="100"/>
            </w:tcMar>
          </w:tcPr>
          <w:p>
            <w:pPr>
              <w:jc w:val="center"/>
            </w:pPr>
            <w:r>
              <w:rPr>
                <w:rFonts w:ascii="Arial" w:cs="Arial" w:eastAsia="Arial" w:hAnsi="Arial"/>
                <w:b w:val="false"/>
                <w:bCs w:val="false"/>
                <w:i w:val="false"/>
                <w:iCs w:val="false"/>
                <w:color w:val="333333"/>
                <w:sz w:val="17"/>
                <w:szCs w:val="17"/>
              </w:rPr>
              <w:t xml:space="preserve">🔴 Alta (v1.0)</w:t>
            </w:r>
          </w:p>
        </w:tc>
        <w:tc>
          <w:tcPr>
            <w:tcBorders>
              <w:top w:val="single" w:color="CCCCCC" w:sz="1"/>
              <w:left w:val="single" w:color="CCCCCC" w:sz="1"/>
              <w:bottom w:val="single" w:color="CCCCCC" w:sz="1"/>
              <w:right w:val="single" w:color="CCCCCC" w:sz="1"/>
            </w:tcBorders>
            <w:tcMar>
              <w:top w:type="dxa" w:w="100"/>
              <w:left w:type="dxa" w:w="130"/>
              <w:bottom w:type="dxa" w:w="100"/>
              <w:right w:type="dxa" w:w="100"/>
            </w:tcMar>
          </w:tcPr>
          <w:p>
            <w:r>
              <w:rPr>
                <w:rFonts w:ascii="Arial" w:cs="Arial" w:eastAsia="Arial" w:hAnsi="Arial"/>
                <w:b w:val="false"/>
                <w:bCs w:val="false"/>
                <w:i w:val="false"/>
                <w:iCs w:val="false"/>
                <w:color w:val="333333"/>
                <w:sz w:val="18"/>
                <w:szCs w:val="18"/>
              </w:rPr>
              <w:t xml:space="preserve">Validación humana obligatoria en casos borderline + sistema de feedback continuo + disclaimers legales claros en T&amp;Cs. El % de precisión se irá mejorando con el dataset de operaciones reales.</w:t>
            </w:r>
          </w:p>
        </w:tc>
      </w:tr>
      <w:tr>
        <w:tc>
          <w:tcPr>
            <w:tcBorders>
              <w:top w:val="single" w:color="CCCCCC" w:sz="1"/>
              <w:left w:val="single" w:color="CCCCCC" w:sz="1"/>
              <w:bottom w:val="single" w:color="CCCCCC" w:sz="1"/>
              <w:right w:val="single" w:color="CCCCCC" w:sz="1"/>
            </w:tcBorders>
            <w:tcMar>
              <w:top w:type="dxa" w:w="100"/>
              <w:left w:type="dxa" w:w="130"/>
              <w:bottom w:type="dxa" w:w="100"/>
              <w:right w:type="dxa" w:w="100"/>
            </w:tcMar>
          </w:tcPr>
          <w:p>
            <w:r>
              <w:rPr>
                <w:rFonts w:ascii="Arial" w:cs="Arial" w:eastAsia="Arial" w:hAnsi="Arial"/>
                <w:b w:val="false"/>
                <w:bCs w:val="false"/>
                <w:i w:val="false"/>
                <w:iCs w:val="false"/>
                <w:color w:val="333333"/>
                <w:sz w:val="19"/>
                <w:szCs w:val="19"/>
              </w:rPr>
              <w:t xml:space="preserve">Cambio normativa TARIC</w:t>
            </w:r>
          </w:p>
        </w:tc>
        <w:tc>
          <w:tcPr>
            <w:tcBorders>
              <w:top w:val="single" w:color="CCCCCC" w:sz="1"/>
              <w:left w:val="single" w:color="CCCCCC" w:sz="1"/>
              <w:bottom w:val="single" w:color="CCCCCC" w:sz="1"/>
              <w:right w:val="single" w:color="CCCCCC" w:sz="1"/>
            </w:tcBorders>
            <w:shd w:fill="FDECEA" w:val="clear"/>
            <w:tcMar>
              <w:top w:type="dxa" w:w="100"/>
              <w:left w:type="dxa" w:w="100"/>
              <w:bottom w:type="dxa" w:w="100"/>
              <w:right w:type="dxa" w:w="100"/>
            </w:tcMar>
          </w:tcPr>
          <w:p>
            <w:pPr>
              <w:jc w:val="center"/>
            </w:pPr>
            <w:r>
              <w:rPr>
                <w:rFonts w:ascii="Arial" w:cs="Arial" w:eastAsia="Arial" w:hAnsi="Arial"/>
                <w:b w:val="false"/>
                <w:bCs w:val="false"/>
                <w:i w:val="false"/>
                <w:iCs w:val="false"/>
                <w:color w:val="333333"/>
                <w:sz w:val="17"/>
                <w:szCs w:val="17"/>
              </w:rPr>
              <w:t xml:space="preserve">🔴 Muy alta (anual)</w:t>
            </w:r>
          </w:p>
        </w:tc>
        <w:tc>
          <w:tcPr>
            <w:tcBorders>
              <w:top w:val="single" w:color="CCCCCC" w:sz="1"/>
              <w:left w:val="single" w:color="CCCCCC" w:sz="1"/>
              <w:bottom w:val="single" w:color="CCCCCC" w:sz="1"/>
              <w:right w:val="single" w:color="CCCCCC" w:sz="1"/>
            </w:tcBorders>
            <w:tcMar>
              <w:top w:type="dxa" w:w="100"/>
              <w:left w:type="dxa" w:w="130"/>
              <w:bottom w:type="dxa" w:w="100"/>
              <w:right w:type="dxa" w:w="100"/>
            </w:tcMar>
          </w:tcPr>
          <w:p>
            <w:r>
              <w:rPr>
                <w:rFonts w:ascii="Arial" w:cs="Arial" w:eastAsia="Arial" w:hAnsi="Arial"/>
                <w:b w:val="false"/>
                <w:bCs w:val="false"/>
                <w:i w:val="false"/>
                <w:iCs w:val="false"/>
                <w:color w:val="333333"/>
                <w:sz w:val="18"/>
                <w:szCs w:val="18"/>
              </w:rPr>
              <w:t xml:space="preserve">Pipeline de actualización automática conectado a feeds oficiales AEAT/TARIC UE. Referencia: dbTaric actualiza diariamente (v426.1 publicada el 06/03/2026). TaricAI replicará esta arquitectura.</w:t>
            </w:r>
          </w:p>
        </w:tc>
      </w:tr>
      <w:tr>
        <w:tc>
          <w:tcPr>
            <w:tcBorders>
              <w:top w:val="single" w:color="CCCCCC" w:sz="1"/>
              <w:left w:val="single" w:color="CCCCCC" w:sz="1"/>
              <w:bottom w:val="single" w:color="CCCCCC" w:sz="1"/>
              <w:right w:val="single" w:color="CCCCCC" w:sz="1"/>
            </w:tcBorders>
            <w:tcMar>
              <w:top w:type="dxa" w:w="100"/>
              <w:left w:type="dxa" w:w="130"/>
              <w:bottom w:type="dxa" w:w="100"/>
              <w:right w:type="dxa" w:w="100"/>
            </w:tcMar>
          </w:tcPr>
          <w:p>
            <w:r>
              <w:rPr>
                <w:rFonts w:ascii="Arial" w:cs="Arial" w:eastAsia="Arial" w:hAnsi="Arial"/>
                <w:b w:val="false"/>
                <w:bCs w:val="false"/>
                <w:i w:val="false"/>
                <w:iCs w:val="false"/>
                <w:color w:val="333333"/>
                <w:sz w:val="19"/>
                <w:szCs w:val="19"/>
              </w:rPr>
              <w:t xml:space="preserve">Responsabilidad legal por clasificación errónea</w:t>
            </w:r>
          </w:p>
        </w:tc>
        <w:tc>
          <w:tcPr>
            <w:tcBorders>
              <w:top w:val="single" w:color="CCCCCC" w:sz="1"/>
              <w:left w:val="single" w:color="CCCCCC" w:sz="1"/>
              <w:bottom w:val="single" w:color="CCCCCC" w:sz="1"/>
              <w:right w:val="single" w:color="CCCCCC" w:sz="1"/>
            </w:tcBorders>
            <w:shd w:fill="FDECEA" w:val="clear"/>
            <w:tcMar>
              <w:top w:type="dxa" w:w="100"/>
              <w:left w:type="dxa" w:w="100"/>
              <w:bottom w:type="dxa" w:w="100"/>
              <w:right w:type="dxa" w:w="100"/>
            </w:tcMar>
          </w:tcPr>
          <w:p>
            <w:pPr>
              <w:jc w:val="center"/>
            </w:pPr>
            <w:r>
              <w:rPr>
                <w:rFonts w:ascii="Arial" w:cs="Arial" w:eastAsia="Arial" w:hAnsi="Arial"/>
                <w:b w:val="false"/>
                <w:bCs w:val="false"/>
                <w:i w:val="false"/>
                <w:iCs w:val="false"/>
                <w:color w:val="333333"/>
                <w:sz w:val="17"/>
                <w:szCs w:val="17"/>
              </w:rPr>
              <w:t xml:space="preserve">🔴 Impacto muy alto</w:t>
            </w:r>
          </w:p>
        </w:tc>
        <w:tc>
          <w:tcPr>
            <w:tcBorders>
              <w:top w:val="single" w:color="CCCCCC" w:sz="1"/>
              <w:left w:val="single" w:color="CCCCCC" w:sz="1"/>
              <w:bottom w:val="single" w:color="CCCCCC" w:sz="1"/>
              <w:right w:val="single" w:color="CCCCCC" w:sz="1"/>
            </w:tcBorders>
            <w:tcMar>
              <w:top w:type="dxa" w:w="100"/>
              <w:left w:type="dxa" w:w="130"/>
              <w:bottom w:type="dxa" w:w="100"/>
              <w:right w:type="dxa" w:w="100"/>
            </w:tcMar>
          </w:tcPr>
          <w:p>
            <w:r>
              <w:rPr>
                <w:rFonts w:ascii="Arial" w:cs="Arial" w:eastAsia="Arial" w:hAnsi="Arial"/>
                <w:b w:val="false"/>
                <w:bCs w:val="false"/>
                <w:i w:val="false"/>
                <w:iCs w:val="false"/>
                <w:color w:val="333333"/>
                <w:sz w:val="18"/>
                <w:szCs w:val="18"/>
              </w:rPr>
              <w:t xml:space="preserve">T&amp;Cs claros: TaricAI es herramienta de apoyo profesional, no sustituye al agente aduanero autorizado. El agente mantiene la responsabilidad legal. Modelo idéntico al de dbTaric y todos los competidores del sector.</w:t>
            </w:r>
          </w:p>
        </w:tc>
      </w:tr>
      <w:tr>
        <w:tc>
          <w:tcPr>
            <w:tcBorders>
              <w:top w:val="single" w:color="CCCCCC" w:sz="1"/>
              <w:left w:val="single" w:color="CCCCCC" w:sz="1"/>
              <w:bottom w:val="single" w:color="CCCCCC" w:sz="1"/>
              <w:right w:val="single" w:color="CCCCCC" w:sz="1"/>
            </w:tcBorders>
            <w:tcMar>
              <w:top w:type="dxa" w:w="100"/>
              <w:left w:type="dxa" w:w="130"/>
              <w:bottom w:type="dxa" w:w="100"/>
              <w:right w:type="dxa" w:w="100"/>
            </w:tcMar>
          </w:tcPr>
          <w:p>
            <w:r>
              <w:rPr>
                <w:rFonts w:ascii="Arial" w:cs="Arial" w:eastAsia="Arial" w:hAnsi="Arial"/>
                <w:b w:val="false"/>
                <w:bCs w:val="false"/>
                <w:i w:val="false"/>
                <w:iCs w:val="false"/>
                <w:color w:val="333333"/>
                <w:sz w:val="19"/>
                <w:szCs w:val="19"/>
              </w:rPr>
              <w:t xml:space="preserve">Dependencia de APIs IA externas (Claude/OpenAI)</w:t>
            </w:r>
          </w:p>
        </w:tc>
        <w:tc>
          <w:tcPr>
            <w:tcBorders>
              <w:top w:val="single" w:color="CCCCCC" w:sz="1"/>
              <w:left w:val="single" w:color="CCCCCC" w:sz="1"/>
              <w:bottom w:val="single" w:color="CCCCCC" w:sz="1"/>
              <w:right w:val="single" w:color="CCCCCC" w:sz="1"/>
            </w:tcBorders>
            <w:shd w:fill="FFF8E1" w:val="clear"/>
            <w:tcMar>
              <w:top w:type="dxa" w:w="100"/>
              <w:left w:type="dxa" w:w="100"/>
              <w:bottom w:type="dxa" w:w="100"/>
              <w:right w:type="dxa" w:w="100"/>
            </w:tcMar>
          </w:tcPr>
          <w:p>
            <w:pPr>
              <w:jc w:val="center"/>
            </w:pPr>
            <w:r>
              <w:rPr>
                <w:rFonts w:ascii="Arial" w:cs="Arial" w:eastAsia="Arial" w:hAnsi="Arial"/>
                <w:b w:val="false"/>
                <w:bCs w:val="false"/>
                <w:i w:val="false"/>
                <w:iCs w:val="false"/>
                <w:color w:val="333333"/>
                <w:sz w:val="17"/>
                <w:szCs w:val="17"/>
              </w:rPr>
              <w:t xml:space="preserve">⚠️ Media</w:t>
            </w:r>
          </w:p>
        </w:tc>
        <w:tc>
          <w:tcPr>
            <w:tcBorders>
              <w:top w:val="single" w:color="CCCCCC" w:sz="1"/>
              <w:left w:val="single" w:color="CCCCCC" w:sz="1"/>
              <w:bottom w:val="single" w:color="CCCCCC" w:sz="1"/>
              <w:right w:val="single" w:color="CCCCCC" w:sz="1"/>
            </w:tcBorders>
            <w:tcMar>
              <w:top w:type="dxa" w:w="100"/>
              <w:left w:type="dxa" w:w="130"/>
              <w:bottom w:type="dxa" w:w="100"/>
              <w:right w:type="dxa" w:w="100"/>
            </w:tcMar>
          </w:tcPr>
          <w:p>
            <w:r>
              <w:rPr>
                <w:rFonts w:ascii="Arial" w:cs="Arial" w:eastAsia="Arial" w:hAnsi="Arial"/>
                <w:b w:val="false"/>
                <w:bCs w:val="false"/>
                <w:i w:val="false"/>
                <w:iCs w:val="false"/>
                <w:color w:val="333333"/>
                <w:sz w:val="18"/>
                <w:szCs w:val="18"/>
              </w:rPr>
              <w:t xml:space="preserve">Arquitectura multi-modelo con fallback: si una API falla, el sistema conmuta automáticamente. Roadmap de modelo propio fine-tuned en Año 2.</w:t>
            </w:r>
          </w:p>
        </w:tc>
      </w:tr>
      <w:tr>
        <w:tc>
          <w:tcPr>
            <w:tcBorders>
              <w:top w:val="single" w:color="CCCCCC" w:sz="1"/>
              <w:left w:val="single" w:color="CCCCCC" w:sz="1"/>
              <w:bottom w:val="single" w:color="CCCCCC" w:sz="1"/>
              <w:right w:val="single" w:color="CCCCCC" w:sz="1"/>
            </w:tcBorders>
            <w:tcMar>
              <w:top w:type="dxa" w:w="100"/>
              <w:left w:type="dxa" w:w="130"/>
              <w:bottom w:type="dxa" w:w="100"/>
              <w:right w:type="dxa" w:w="100"/>
            </w:tcMar>
          </w:tcPr>
          <w:p>
            <w:r>
              <w:rPr>
                <w:rFonts w:ascii="Arial" w:cs="Arial" w:eastAsia="Arial" w:hAnsi="Arial"/>
                <w:b w:val="false"/>
                <w:bCs w:val="false"/>
                <w:i w:val="false"/>
                <w:iCs w:val="false"/>
                <w:color w:val="333333"/>
                <w:sz w:val="19"/>
                <w:szCs w:val="19"/>
              </w:rPr>
              <w:t xml:space="preserve">MIC-CUST o Descartes entra en segmento PYME</w:t>
            </w:r>
          </w:p>
        </w:tc>
        <w:tc>
          <w:tcPr>
            <w:tcBorders>
              <w:top w:val="single" w:color="CCCCCC" w:sz="1"/>
              <w:left w:val="single" w:color="CCCCCC" w:sz="1"/>
              <w:bottom w:val="single" w:color="CCCCCC" w:sz="1"/>
              <w:right w:val="single" w:color="CCCCCC" w:sz="1"/>
            </w:tcBorders>
            <w:shd w:fill="E8F5EE" w:val="clear"/>
            <w:tcMar>
              <w:top w:type="dxa" w:w="100"/>
              <w:left w:type="dxa" w:w="100"/>
              <w:bottom w:type="dxa" w:w="100"/>
              <w:right w:type="dxa" w:w="100"/>
            </w:tcMar>
          </w:tcPr>
          <w:p>
            <w:pPr>
              <w:jc w:val="center"/>
            </w:pPr>
            <w:r>
              <w:rPr>
                <w:rFonts w:ascii="Arial" w:cs="Arial" w:eastAsia="Arial" w:hAnsi="Arial"/>
                <w:b w:val="false"/>
                <w:bCs w:val="false"/>
                <w:i w:val="false"/>
                <w:iCs w:val="false"/>
                <w:color w:val="333333"/>
                <w:sz w:val="17"/>
                <w:szCs w:val="17"/>
              </w:rPr>
              <w:t xml:space="preserve">🟢 Baja · Estructural</w:t>
            </w:r>
          </w:p>
        </w:tc>
        <w:tc>
          <w:tcPr>
            <w:tcBorders>
              <w:top w:val="single" w:color="CCCCCC" w:sz="1"/>
              <w:left w:val="single" w:color="CCCCCC" w:sz="1"/>
              <w:bottom w:val="single" w:color="CCCCCC" w:sz="1"/>
              <w:right w:val="single" w:color="CCCCCC" w:sz="1"/>
            </w:tcBorders>
            <w:tcMar>
              <w:top w:type="dxa" w:w="100"/>
              <w:left w:type="dxa" w:w="130"/>
              <w:bottom w:type="dxa" w:w="100"/>
              <w:right w:type="dxa" w:w="100"/>
            </w:tcMar>
          </w:tcPr>
          <w:p>
            <w:r>
              <w:rPr>
                <w:rFonts w:ascii="Arial" w:cs="Arial" w:eastAsia="Arial" w:hAnsi="Arial"/>
                <w:b w:val="false"/>
                <w:bCs w:val="false"/>
                <w:i w:val="false"/>
                <w:iCs w:val="false"/>
                <w:color w:val="333333"/>
                <w:sz w:val="18"/>
                <w:szCs w:val="18"/>
              </w:rPr>
              <w:t xml:space="preserve">Su modelo de negocio está diseñado para enterprise. Bajar al segmento PYME implicaría canibalizar su base actual y rediseñar su pricing y onboarding. Barrera de modelo de negocio, no solo técnica.</w:t>
            </w:r>
          </w:p>
        </w:tc>
      </w:tr>
    </w:tbl>
    <w:p>
      <w:pPr>
        <w:spacing w:before="0" w:after="0"/>
      </w:pPr>
      <w:r>
        <w:rPr>
          <w:rFonts w:ascii="Arial" w:cs="Arial" w:eastAsia="Arial" w:hAnsi="Arial"/>
          <w:b w:val="false"/>
          <w:bCs w:val="false"/>
          <w:i w:val="false"/>
          <w:iCs w:val="false"/>
          <w:color w:val="333333"/>
          <w:sz w:val="18"/>
          <w:szCs w:val="18"/>
        </w:rPr>
        <w:t xml:space="preserve"> </w:t>
      </w:r>
    </w:p>
    <w:p>
      <w:pPr>
        <w:pBdr>
          <w:bottom w:val="single" w:color="1B3A6B" w:sz="4" w:space="1"/>
        </w:pBdr>
        <w:spacing w:before="180" w:after="180"/>
      </w:pPr>
      <w:r>
        <w:rPr>
          <w:rFonts w:ascii="Arial" w:cs="Arial" w:eastAsia="Arial" w:hAnsi="Arial"/>
          <w:b w:val="false"/>
          <w:bCs w:val="false"/>
          <w:i w:val="false"/>
          <w:iCs w:val="false"/>
          <w:color w:val="333333"/>
          <w:sz w:val="21"/>
          <w:szCs w:val="21"/>
        </w:rPr>
        <w:t xml:space="preserve"/>
      </w:r>
    </w:p>
    <w:p>
      <w:pPr>
        <w:spacing w:before="360" w:after="140"/>
      </w:pPr>
      <w:r>
        <w:rPr>
          <w:rFonts w:ascii="Arial" w:cs="Arial" w:eastAsia="Arial" w:hAnsi="Arial"/>
          <w:b/>
          <w:bCs/>
          <w:i w:val="false"/>
          <w:iCs w:val="false"/>
          <w:color w:val="1B3A6B"/>
          <w:sz w:val="30"/>
          <w:szCs w:val="30"/>
        </w:rPr>
        <w:t xml:space="preserve">6. Posicionamiento estratégico: conclusión</w:t>
      </w:r>
    </w:p>
    <w:tbl>
      <w:tblPr>
        <w:tblW w:type="dxa" w:w="8766"/>
        <w:tblBorders>
          <w:top w:val="single" w:color="auto" w:sz="4"/>
          <w:left w:val="single" w:color="auto" w:sz="4"/>
          <w:bottom w:val="single" w:color="auto" w:sz="4"/>
          <w:right w:val="single" w:color="auto" w:sz="4"/>
          <w:insideH w:val="single" w:color="auto" w:sz="4"/>
          <w:insideV w:val="single" w:color="auto" w:sz="4"/>
        </w:tblBorders>
      </w:tblPr>
      <w:tblGrid>
        <w:gridCol w:w="8766"/>
      </w:tblGrid>
      <w:tr>
        <w:tc>
          <w:tcPr>
            <w:tcBorders>
              <w:top w:val="single" w:color="CCCCCC" w:sz="1"/>
              <w:left w:val="single" w:color="CCCCCC" w:sz="1"/>
              <w:bottom w:val="single" w:color="CCCCCC" w:sz="1"/>
              <w:right w:val="single" w:color="CCCCCC" w:sz="1"/>
            </w:tcBorders>
            <w:shd w:fill="EBF0F8" w:val="clear"/>
            <w:tcMar>
              <w:top w:type="dxa" w:w="200"/>
              <w:left w:type="dxa" w:w="280"/>
              <w:bottom w:type="dxa" w:w="200"/>
              <w:right w:type="dxa" w:w="280"/>
            </w:tcMar>
          </w:tcPr>
          <w:p>
            <w:pPr>
              <w:spacing w:before="0" w:after="100"/>
            </w:pPr>
            <w:r>
              <w:rPr>
                <w:rFonts w:ascii="Arial" w:cs="Arial" w:eastAsia="Arial" w:hAnsi="Arial"/>
                <w:b w:val="false"/>
                <w:bCs w:val="false"/>
                <w:i w:val="false"/>
                <w:iCs w:val="false"/>
                <w:color w:val="333333"/>
                <w:sz w:val="21"/>
                <w:szCs w:val="21"/>
              </w:rPr>
              <w:t xml:space="preserve">TaricAI ocupa un espacio no cubierto en el mercado español de software aduanero, con cinco pilares diferenciales verificados y ningún competidor directo en el segmento PYME-agencias de aduanas que combine IA + fuentes oficiales españolas + módulo fitosanitario + precio accesible.</w:t>
            </w:r>
          </w:p>
          <w:p>
            <w:pPr>
              <w:spacing w:before="60" w:after="100"/>
            </w:pPr>
            <w:r>
              <w:rPr>
                <w:rFonts w:ascii="Arial" w:cs="Arial" w:eastAsia="Arial" w:hAnsi="Arial"/>
                <w:b w:val="false"/>
                <w:bCs w:val="false"/>
                <w:i w:val="false"/>
                <w:iCs w:val="false"/>
                <w:color w:val="333333"/>
                <w:sz w:val="21"/>
                <w:szCs w:val="21"/>
              </w:rPr>
              <w:t xml:space="preserve">El riesgo competitivo más relevante es la entrada de Digicust en España en un horizonte de 12-24 meses, mitigable con velocidad de go-to-market y construcción del módulo MAPA/TRACES como barrera técnica diferencial. El riesgo operativo más inmediato es la precisión IA en v1.0, gestionado con validación humana y disclaimers legales adecuados.</w:t>
            </w:r>
          </w:p>
          <w:p>
            <w:pPr>
              <w:spacing w:before="60" w:after="0"/>
            </w:pPr>
            <w:r>
              <w:rPr>
                <w:rFonts w:ascii="Arial" w:cs="Arial" w:eastAsia="Arial" w:hAnsi="Arial"/>
                <w:b/>
                <w:bCs/>
                <w:i w:val="false"/>
                <w:iCs w:val="false"/>
                <w:color w:val="1B3A6B"/>
                <w:sz w:val="21"/>
                <w:szCs w:val="21"/>
              </w:rPr>
              <w:t xml:space="preserve">La oportunidad de mercado es real, documentada y no está siendo atendida por ningún competidor activo en España. El momento de lanzamiento es el correcto.</w:t>
            </w:r>
          </w:p>
        </w:tc>
      </w:tr>
    </w:tbl>
    <w:p>
      <w:pPr>
        <w:spacing w:before="0" w:after="0"/>
      </w:pPr>
      <w:r>
        <w:rPr>
          <w:rFonts w:ascii="Arial" w:cs="Arial" w:eastAsia="Arial" w:hAnsi="Arial"/>
          <w:b w:val="false"/>
          <w:bCs w:val="false"/>
          <w:i w:val="false"/>
          <w:iCs w:val="false"/>
          <w:color w:val="333333"/>
          <w:sz w:val="18"/>
          <w:szCs w:val="18"/>
        </w:rPr>
        <w:t xml:space="preserve"> </w:t>
      </w:r>
    </w:p>
    <w:sectPr>
      <w:footerReference w:type="default" r:id="rId6"/>
      <w:pgSz w:w="11906" w:h="16838" w:orient="portrait"/>
      <w:pgMar w:top="1200" w:right="1200" w:bottom="1400" w:left="15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8766"/>
      <w:tblBorders>
        <w:top w:val="single" w:color="1B3A6B" w:sz="4" w:space="1"/>
        <w:left w:val="none" w:color="FFFFFF" w:sz="0"/>
        <w:bottom w:val="none" w:color="FFFFFF" w:sz="0"/>
        <w:right w:val="none" w:color="FFFFFF" w:sz="0"/>
        <w:insideH w:val="single" w:color="auto" w:sz="4"/>
        <w:insideV w:val="single" w:color="auto" w:sz="4"/>
      </w:tblBorders>
    </w:tblPr>
    <w:tblGrid>
      <w:gridCol w:w="5500"/>
      <w:gridCol w:w="3266"/>
    </w:tblGrid>
    <w:tr>
      <w:tc>
        <w:tcPr>
          <w:tcBorders>
            <w:top w:val="none" w:color="FFFFFF" w:sz="0"/>
            <w:left w:val="none" w:color="FFFFFF" w:sz="0"/>
            <w:bottom w:val="none" w:color="FFFFFF" w:sz="0"/>
            <w:right w:val="none" w:color="FFFFFF" w:sz="0"/>
          </w:tcBorders>
          <w:tcMar>
            <w:top w:type="dxa" w:w="80"/>
            <w:left w:type="dxa" w:w="0"/>
            <w:bottom w:type="dxa" w:w="0"/>
            <w:right w:type="dxa" w:w="0"/>
          </w:tcMar>
        </w:tcPr>
        <w:p>
          <w:r>
            <w:rPr>
              <w:rFonts w:ascii="Arial" w:cs="Arial" w:eastAsia="Arial" w:hAnsi="Arial"/>
              <w:b w:val="false"/>
              <w:bCs w:val="false"/>
              <w:i/>
              <w:iCs/>
              <w:color w:val="666666"/>
              <w:sz w:val="16"/>
              <w:szCs w:val="16"/>
            </w:rPr>
            <w:t xml:space="preserve">TaricAI · hola@taricai.es · taricai.es · Documento Confidencial — Versión 2.1 · Marzo 2026</w:t>
          </w:r>
        </w:p>
      </w:tc>
      <w:tc>
        <w:tcPr>
          <w:tcBorders>
            <w:top w:val="none" w:color="FFFFFF" w:sz="0"/>
            <w:left w:val="none" w:color="FFFFFF" w:sz="0"/>
            <w:bottom w:val="none" w:color="FFFFFF" w:sz="0"/>
            <w:right w:val="none" w:color="FFFFFF" w:sz="0"/>
          </w:tcBorders>
          <w:tcMar>
            <w:top w:type="dxa" w:w="80"/>
            <w:left w:type="dxa" w:w="0"/>
            <w:bottom w:type="dxa" w:w="0"/>
            <w:right w:type="dxa" w:w="0"/>
          </w:tcMar>
        </w:tcPr>
        <w:p>
          <w:pPr>
            <w:jc w:val="right"/>
          </w:pPr>
          <w:r>
            <w:rPr>
              <w:rFonts w:ascii="Arial" w:cs="Arial" w:eastAsia="Arial" w:hAnsi="Arial"/>
              <w:b w:val="false"/>
              <w:bCs w:val="false"/>
              <w:i w:val="false"/>
              <w:iCs w:val="false"/>
              <w:color w:val="666666"/>
              <w:sz w:val="16"/>
              <w:szCs w:val="16"/>
            </w:rPr>
            <w:t xml:space="preserve">Pág. </w:t>
          </w:r>
          <w:r>
            <w:rPr>
              <w:color w:val="1B3A6B"/>
              <w:sz w:val="16"/>
              <w:szCs w:val="16"/>
            </w:rPr>
            <w:t xml:space="preserve">PAGE</w:t>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2026-03-11T16:36:00.690Z</dcterms:created>
  <dcterms:modified xsi:type="dcterms:W3CDTF">2026-03-11T16:36:00.691Z</dcterms:modified>
</cp:coreProperties>
</file>

<file path=docProps/custom.xml><?xml version="1.0" encoding="utf-8"?>
<Properties xmlns="http://schemas.openxmlformats.org/officeDocument/2006/custom-properties" xmlns:vt="http://schemas.openxmlformats.org/officeDocument/2006/docPropsVTypes"/>
</file>