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F2D" w:val="clear"/>
            <w:tcMar>
              <w:top w:type="dxa" w:w="300"/>
              <w:left w:type="dxa" w:w="480"/>
              <w:bottom w:type="dxa" w:w="300"/>
              <w:right w:type="dxa" w:w="480"/>
            </w:tcMar>
          </w:tcPr>
          <w:p>
            <w:pPr>
              <w:spacing w:before="0" w:after="20"/>
              <w:jc w:val="center"/>
            </w:pPr>
            <w:r>
              <w:rPr>
                <w:rFonts w:ascii="Arial" w:cs="Arial" w:eastAsia="Arial" w:hAnsi="Arial"/>
                <w:b/>
                <w:bCs/>
                <w:color w:val="94A3B8"/>
                <w:sz w:val="18"/>
                <w:szCs w:val="18"/>
              </w:rPr>
              <w:t xml:space="preserve">PLAN DE NEGOCIO</w:t>
            </w:r>
          </w:p>
          <w:p>
            <w:pPr>
              <w:spacing w:before="0" w:after="40"/>
              <w:jc w:val="center"/>
            </w:pPr>
            <w:r>
              <w:rPr>
                <w:rFonts w:ascii="Arial" w:cs="Arial" w:eastAsia="Arial" w:hAnsi="Arial"/>
                <w:b/>
                <w:bCs/>
                <w:color w:val="C8922A"/>
                <w:sz w:val="80"/>
                <w:szCs w:val="80"/>
              </w:rPr>
              <w:t xml:space="preserve">TaricAI</w:t>
            </w:r>
          </w:p>
          <w:p>
            <w:pPr>
              <w:spacing w:before="0" w:after="100"/>
              <w:jc w:val="center"/>
            </w:pPr>
            <w:r>
              <w:rPr>
                <w:rFonts w:ascii="Arial" w:cs="Arial" w:eastAsia="Arial" w:hAnsi="Arial"/>
                <w:i/>
                <w:iCs/>
                <w:color w:val="19A7A0"/>
                <w:sz w:val="22"/>
                <w:szCs w:val="22"/>
              </w:rPr>
              <w:t xml:space="preserve">Inteligencia Artificial para el Comercio Exterior de España</w:t>
            </w:r>
          </w:p>
          <w:p>
            <w:pPr>
              <w:pBdr>
                <w:bottom w:val="single" w:color="2D4A5A" w:sz="4" w:space="2"/>
              </w:pBdr>
              <w:spacing w:before="100" w:after="100"/>
            </w:pPr>
            <w:r>
              <w:t xml:space="preserve"/>
            </w:r>
          </w:p>
          <w:p>
            <w:pPr>
              <w:spacing w:before="80" w:after="40"/>
              <w:jc w:val="center"/>
            </w:pPr>
            <w:r>
              <w:rPr>
                <w:rFonts w:ascii="Arial" w:cs="Arial" w:eastAsia="Arial" w:hAnsi="Arial"/>
                <w:color w:val="CBD5E1"/>
                <w:sz w:val="19"/>
                <w:szCs w:val="19"/>
              </w:rPr>
              <w:t xml:space="preserve">Automatización de la clasificación arancelaria TARIC para agencias de aduanas y pymes importadoras en España mediante agentes de inteligencia artificial.</w:t>
            </w:r>
          </w:p>
          <w:p>
            <w:pPr>
              <w:spacing w:before="80" w:after="0"/>
              <w:jc w:val="center"/>
            </w:pPr>
            <w:r>
              <w:rPr>
                <w:rFonts w:ascii="Arial" w:cs="Arial" w:eastAsia="Arial" w:hAnsi="Arial"/>
                <w:color w:val="94A3B8"/>
                <w:sz w:val="18"/>
                <w:szCs w:val="18"/>
              </w:rPr>
              <w:t xml:space="preserve">Kevin Daniel Suárez Largo  ·  CEO &amp; Founder</w:t>
            </w:r>
            <w:r>
              <w:rPr>
                <w:rFonts w:ascii="Arial" w:cs="Arial" w:eastAsia="Arial" w:hAnsi="Arial"/>
                <w:color w:val="334155"/>
                <w:sz w:val="18"/>
                <w:szCs w:val="18"/>
              </w:rPr>
              <w:t xml:space="preserve">   |   </w:t>
            </w:r>
            <w:r>
              <w:rPr>
                <w:rFonts w:ascii="Arial" w:cs="Arial" w:eastAsia="Arial" w:hAnsi="Arial"/>
                <w:color w:val="94A3B8"/>
                <w:sz w:val="18"/>
                <w:szCs w:val="18"/>
              </w:rPr>
              <w:t xml:space="preserve">hola@taricai.es  ·  taricai.es</w:t>
            </w:r>
          </w:p>
          <w:p>
            <w:pPr>
              <w:spacing w:before="40" w:after="0"/>
              <w:jc w:val="center"/>
            </w:pPr>
            <w:r>
              <w:rPr>
                <w:rFonts w:ascii="Arial" w:cs="Arial" w:eastAsia="Arial" w:hAnsi="Arial"/>
                <w:i/>
                <w:iCs/>
                <w:color w:val="475569"/>
                <w:sz w:val="17"/>
                <w:szCs w:val="17"/>
              </w:rPr>
              <w:t xml:space="preserve">Madrid, España  —  2026</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6" w:space="3"/>
              <w:left w:val="single" w:color="B45309" w:sz="6" w:space="3"/>
              <w:bottom w:val="single" w:color="B45309" w:sz="6" w:space="3"/>
              <w:right w:val="single" w:color="B45309" w:sz="6" w:space="3"/>
            </w:tcBorders>
            <w:shd w:fill="FFFBEB" w:val="clear"/>
            <w:tcMar>
              <w:top w:type="dxa" w:w="120"/>
              <w:left w:type="dxa" w:w="300"/>
              <w:bottom w:type="dxa" w:w="120"/>
              <w:right w:type="dxa" w:w="300"/>
            </w:tcMar>
          </w:tcPr>
          <w:p>
            <w:pPr>
              <w:spacing w:before="0" w:after="20"/>
              <w:jc w:val="center"/>
            </w:pPr>
            <w:r>
              <w:rPr>
                <w:rFonts w:ascii="Arial" w:cs="Arial" w:eastAsia="Arial" w:hAnsi="Arial"/>
                <w:b/>
                <w:bCs/>
                <w:color w:val="B45309"/>
                <w:sz w:val="18"/>
                <w:szCs w:val="18"/>
              </w:rPr>
              <w:t xml:space="preserve">DOCUMENTO DE DISTRIBUCIÓN CONTROLADA</w:t>
            </w:r>
          </w:p>
          <w:p>
            <w:pPr>
              <w:spacing w:before="0" w:after="0"/>
              <w:jc w:val="center"/>
            </w:pPr>
            <w:r>
              <w:rPr>
                <w:rFonts w:ascii="Arial" w:cs="Arial" w:eastAsia="Arial" w:hAnsi="Arial"/>
                <w:i/>
                <w:iCs/>
                <w:color w:val="4A5568"/>
                <w:sz w:val="19"/>
                <w:szCs w:val="19"/>
              </w:rPr>
              <w:t xml:space="preserve">Este documento contiene información general del proyecto TaricAI para fines de presentación y evaluación. Los datos financieros detallados, la arquitectura técnica y los algoritmos propietarios se mantienen en documentación interna de acceso restringido.</w:t>
            </w:r>
          </w:p>
        </w:tc>
      </w:tr>
    </w:tbl>
    <w:p>
      <w:pPr>
        <w:spacing w:before="200" w:after="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  </w:t>
      </w:r>
      <w:r>
        <w:rPr>
          <w:rFonts w:ascii="Arial" w:cs="Arial" w:eastAsia="Arial" w:hAnsi="Arial"/>
          <w:b/>
          <w:bCs/>
          <w:color w:val="0B2447"/>
          <w:sz w:val="30"/>
          <w:szCs w:val="30"/>
        </w:rPr>
        <w:t xml:space="preserve">ÍNDICE DE CONTENIDOS</w:t>
      </w:r>
    </w:p>
    <w:p>
      <w:pPr>
        <w:spacing w:before="100" w:after="0"/>
      </w:pPr>
      <w:r>
        <w:t xml:space="preserve"/>
      </w:r>
    </w:p>
    <w:p>
      <w:pPr>
        <w:spacing w:before="40" w:after="40"/>
        <w:ind w:left="200"/>
      </w:pPr>
      <w:r>
        <w:rPr>
          <w:rFonts w:ascii="Arial" w:cs="Arial" w:eastAsia="Arial" w:hAnsi="Arial"/>
          <w:b/>
          <w:bCs/>
          <w:color w:val="19A7A0"/>
          <w:sz w:val="20"/>
          <w:szCs w:val="20"/>
        </w:rPr>
        <w:t xml:space="preserve">01  </w:t>
      </w:r>
      <w:r>
        <w:rPr>
          <w:rFonts w:ascii="Arial" w:cs="Arial" w:eastAsia="Arial" w:hAnsi="Arial"/>
          <w:color w:val="4A5568"/>
          <w:sz w:val="20"/>
          <w:szCs w:val="20"/>
        </w:rPr>
        <w:t xml:space="preserve">Resumen Ejecutivo</w:t>
      </w:r>
    </w:p>
    <w:p>
      <w:pPr>
        <w:spacing w:before="40" w:after="40"/>
        <w:ind w:left="200"/>
      </w:pPr>
      <w:r>
        <w:rPr>
          <w:rFonts w:ascii="Arial" w:cs="Arial" w:eastAsia="Arial" w:hAnsi="Arial"/>
          <w:b/>
          <w:bCs/>
          <w:color w:val="19A7A0"/>
          <w:sz w:val="20"/>
          <w:szCs w:val="20"/>
        </w:rPr>
        <w:t xml:space="preserve">02  </w:t>
      </w:r>
      <w:r>
        <w:rPr>
          <w:rFonts w:ascii="Arial" w:cs="Arial" w:eastAsia="Arial" w:hAnsi="Arial"/>
          <w:color w:val="4A5568"/>
          <w:sz w:val="20"/>
          <w:szCs w:val="20"/>
        </w:rPr>
        <w:t xml:space="preserve">El Problema — Diagnóstico del mercado</w:t>
      </w:r>
    </w:p>
    <w:p>
      <w:pPr>
        <w:spacing w:before="40" w:after="40"/>
        <w:ind w:left="200"/>
      </w:pPr>
      <w:r>
        <w:rPr>
          <w:rFonts w:ascii="Arial" w:cs="Arial" w:eastAsia="Arial" w:hAnsi="Arial"/>
          <w:b/>
          <w:bCs/>
          <w:color w:val="19A7A0"/>
          <w:sz w:val="20"/>
          <w:szCs w:val="20"/>
        </w:rPr>
        <w:t xml:space="preserve">03  </w:t>
      </w:r>
      <w:r>
        <w:rPr>
          <w:rFonts w:ascii="Arial" w:cs="Arial" w:eastAsia="Arial" w:hAnsi="Arial"/>
          <w:color w:val="4A5568"/>
          <w:sz w:val="20"/>
          <w:szCs w:val="20"/>
        </w:rPr>
        <w:t xml:space="preserve">La Solución — Propuesta de valor</w:t>
      </w:r>
    </w:p>
    <w:p>
      <w:pPr>
        <w:spacing w:before="40" w:after="40"/>
        <w:ind w:left="200"/>
      </w:pPr>
      <w:r>
        <w:rPr>
          <w:rFonts w:ascii="Arial" w:cs="Arial" w:eastAsia="Arial" w:hAnsi="Arial"/>
          <w:b/>
          <w:bCs/>
          <w:color w:val="19A7A0"/>
          <w:sz w:val="20"/>
          <w:szCs w:val="20"/>
        </w:rPr>
        <w:t xml:space="preserve">04  </w:t>
      </w:r>
      <w:r>
        <w:rPr>
          <w:rFonts w:ascii="Arial" w:cs="Arial" w:eastAsia="Arial" w:hAnsi="Arial"/>
          <w:color w:val="4A5568"/>
          <w:sz w:val="20"/>
          <w:szCs w:val="20"/>
        </w:rPr>
        <w:t xml:space="preserve">Mercado objetivo y oportunidad</w:t>
      </w:r>
    </w:p>
    <w:p>
      <w:pPr>
        <w:spacing w:before="40" w:after="40"/>
        <w:ind w:left="200"/>
      </w:pPr>
      <w:r>
        <w:rPr>
          <w:rFonts w:ascii="Arial" w:cs="Arial" w:eastAsia="Arial" w:hAnsi="Arial"/>
          <w:b/>
          <w:bCs/>
          <w:color w:val="19A7A0"/>
          <w:sz w:val="20"/>
          <w:szCs w:val="20"/>
        </w:rPr>
        <w:t xml:space="preserve">05  </w:t>
      </w:r>
      <w:r>
        <w:rPr>
          <w:rFonts w:ascii="Arial" w:cs="Arial" w:eastAsia="Arial" w:hAnsi="Arial"/>
          <w:color w:val="4A5568"/>
          <w:sz w:val="20"/>
          <w:szCs w:val="20"/>
        </w:rPr>
        <w:t xml:space="preserve">Modelo de negocio</w:t>
      </w:r>
    </w:p>
    <w:p>
      <w:pPr>
        <w:spacing w:before="40" w:after="40"/>
        <w:ind w:left="200"/>
      </w:pPr>
      <w:r>
        <w:rPr>
          <w:rFonts w:ascii="Arial" w:cs="Arial" w:eastAsia="Arial" w:hAnsi="Arial"/>
          <w:b/>
          <w:bCs/>
          <w:color w:val="19A7A0"/>
          <w:sz w:val="20"/>
          <w:szCs w:val="20"/>
        </w:rPr>
        <w:t xml:space="preserve">06  </w:t>
      </w:r>
      <w:r>
        <w:rPr>
          <w:rFonts w:ascii="Arial" w:cs="Arial" w:eastAsia="Arial" w:hAnsi="Arial"/>
          <w:color w:val="4A5568"/>
          <w:sz w:val="20"/>
          <w:szCs w:val="20"/>
        </w:rPr>
        <w:t xml:space="preserve">Análisis competitivo</w:t>
      </w:r>
    </w:p>
    <w:p>
      <w:pPr>
        <w:spacing w:before="40" w:after="40"/>
        <w:ind w:left="200"/>
      </w:pPr>
      <w:r>
        <w:rPr>
          <w:rFonts w:ascii="Arial" w:cs="Arial" w:eastAsia="Arial" w:hAnsi="Arial"/>
          <w:b/>
          <w:bCs/>
          <w:color w:val="19A7A0"/>
          <w:sz w:val="20"/>
          <w:szCs w:val="20"/>
        </w:rPr>
        <w:t xml:space="preserve">07  </w:t>
      </w:r>
      <w:r>
        <w:rPr>
          <w:rFonts w:ascii="Arial" w:cs="Arial" w:eastAsia="Arial" w:hAnsi="Arial"/>
          <w:color w:val="4A5568"/>
          <w:sz w:val="20"/>
          <w:szCs w:val="20"/>
        </w:rPr>
        <w:t xml:space="preserve">Estrategia de entrada al mercado</w:t>
      </w:r>
    </w:p>
    <w:p>
      <w:pPr>
        <w:spacing w:before="40" w:after="40"/>
        <w:ind w:left="200"/>
      </w:pPr>
      <w:r>
        <w:rPr>
          <w:rFonts w:ascii="Arial" w:cs="Arial" w:eastAsia="Arial" w:hAnsi="Arial"/>
          <w:b/>
          <w:bCs/>
          <w:color w:val="19A7A0"/>
          <w:sz w:val="20"/>
          <w:szCs w:val="20"/>
        </w:rPr>
        <w:t xml:space="preserve">08  </w:t>
      </w:r>
      <w:r>
        <w:rPr>
          <w:rFonts w:ascii="Arial" w:cs="Arial" w:eastAsia="Arial" w:hAnsi="Arial"/>
          <w:color w:val="4A5568"/>
          <w:sz w:val="20"/>
          <w:szCs w:val="20"/>
        </w:rPr>
        <w:t xml:space="preserve">El equipo fundador</w:t>
      </w:r>
    </w:p>
    <w:p>
      <w:pPr>
        <w:spacing w:before="40" w:after="40"/>
        <w:ind w:left="200"/>
      </w:pPr>
      <w:r>
        <w:rPr>
          <w:rFonts w:ascii="Arial" w:cs="Arial" w:eastAsia="Arial" w:hAnsi="Arial"/>
          <w:b/>
          <w:bCs/>
          <w:color w:val="19A7A0"/>
          <w:sz w:val="20"/>
          <w:szCs w:val="20"/>
        </w:rPr>
        <w:t xml:space="preserve">09  </w:t>
      </w:r>
      <w:r>
        <w:rPr>
          <w:rFonts w:ascii="Arial" w:cs="Arial" w:eastAsia="Arial" w:hAnsi="Arial"/>
          <w:color w:val="4A5568"/>
          <w:sz w:val="20"/>
          <w:szCs w:val="20"/>
        </w:rPr>
        <w:t xml:space="preserve">Hoja de ruta</w:t>
      </w:r>
    </w:p>
    <w:p>
      <w:pPr>
        <w:spacing w:before="40" w:after="40"/>
        <w:ind w:left="200"/>
      </w:pPr>
      <w:r>
        <w:rPr>
          <w:rFonts w:ascii="Arial" w:cs="Arial" w:eastAsia="Arial" w:hAnsi="Arial"/>
          <w:b/>
          <w:bCs/>
          <w:color w:val="19A7A0"/>
          <w:sz w:val="20"/>
          <w:szCs w:val="20"/>
        </w:rPr>
        <w:t xml:space="preserve">10  </w:t>
      </w:r>
      <w:r>
        <w:rPr>
          <w:rFonts w:ascii="Arial" w:cs="Arial" w:eastAsia="Arial" w:hAnsi="Arial"/>
          <w:color w:val="4A5568"/>
          <w:sz w:val="20"/>
          <w:szCs w:val="20"/>
        </w:rPr>
        <w:t xml:space="preserve">Marco de riesgos</w:t>
      </w:r>
    </w:p>
    <w:p>
      <w:pPr>
        <w:spacing w:before="40" w:after="40"/>
        <w:ind w:left="200"/>
      </w:pPr>
      <w:r>
        <w:rPr>
          <w:rFonts w:ascii="Arial" w:cs="Arial" w:eastAsia="Arial" w:hAnsi="Arial"/>
          <w:b/>
          <w:bCs/>
          <w:color w:val="19A7A0"/>
          <w:sz w:val="20"/>
          <w:szCs w:val="20"/>
        </w:rPr>
        <w:t xml:space="preserve">11  </w:t>
      </w:r>
      <w:r>
        <w:rPr>
          <w:rFonts w:ascii="Arial" w:cs="Arial" w:eastAsia="Arial" w:hAnsi="Arial"/>
          <w:color w:val="4A5568"/>
          <w:sz w:val="20"/>
          <w:szCs w:val="20"/>
        </w:rPr>
        <w:t xml:space="preserve">Marco legal y regulatorio</w:t>
      </w:r>
    </w:p>
    <w:p>
      <w:pPr>
        <w:spacing w:before="100" w:after="0"/>
      </w:pPr>
      <w:r>
        <w:t xml:space="preserve"/>
      </w:r>
    </w:p>
    <w:p>
      <w:pPr>
        <w:pBdr>
          <w:bottom w:val="single" w:color="E2E8F0" w:sz="4" w:space="2"/>
        </w:pBdr>
        <w:spacing w:before="100" w:after="10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01  </w:t>
      </w:r>
      <w:r>
        <w:rPr>
          <w:rFonts w:ascii="Arial" w:cs="Arial" w:eastAsia="Arial" w:hAnsi="Arial"/>
          <w:b/>
          <w:bCs/>
          <w:color w:val="0B2447"/>
          <w:sz w:val="30"/>
          <w:szCs w:val="30"/>
        </w:rPr>
        <w:t xml:space="preserve">RESUMEN EJECUTIVO</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F2D" w:val="clear"/>
            <w:tcMar>
              <w:top w:type="dxa" w:w="300"/>
              <w:left w:type="dxa" w:w="480"/>
              <w:bottom w:type="dxa" w:w="300"/>
              <w:right w:type="dxa" w:w="480"/>
            </w:tcMar>
          </w:tcPr>
          <w:p>
            <w:pPr>
              <w:spacing w:before="0" w:after="60"/>
            </w:pPr>
            <w:r>
              <w:rPr>
                <w:rFonts w:ascii="Arial" w:cs="Arial" w:eastAsia="Arial" w:hAnsi="Arial"/>
                <w:b/>
                <w:bCs/>
                <w:color w:val="C8922A"/>
                <w:sz w:val="18"/>
                <w:szCs w:val="18"/>
              </w:rPr>
              <w:t xml:space="preserve">TaricAI en una línea:</w:t>
            </w:r>
          </w:p>
          <w:p>
            <w:pPr>
              <w:spacing w:before="0" w:after="0"/>
            </w:pPr>
            <w:r>
              <w:rPr>
                <w:rFonts w:ascii="Arial" w:cs="Arial" w:eastAsia="Arial" w:hAnsi="Arial"/>
                <w:b/>
                <w:bCs/>
                <w:color w:val="FFFFFF"/>
                <w:sz w:val="23"/>
                <w:szCs w:val="23"/>
              </w:rPr>
              <w:t xml:space="preserve">El primer agente de inteligencia artificial especializado en clasificación arancelaria TARIC diseñado para el mercado aduanero español, capaz de transformar un proceso de 3 a 5 horas en una respuesta de menos de 30 segundos.</w:t>
            </w:r>
          </w:p>
        </w:tc>
      </w:tr>
    </w:tbl>
    <w:p>
      <w:pPr>
        <w:spacing w:before="120" w:after="0"/>
      </w:pPr>
      <w:r>
        <w:t xml:space="preserve"/>
      </w:r>
    </w:p>
    <w:p>
      <w:pPr>
        <w:spacing w:before="60" w:after="100" w:line="276" w:lineRule="auto"/>
        <w:jc w:val="both"/>
      </w:pPr>
      <w:r>
        <w:rPr>
          <w:rFonts w:ascii="Arial" w:cs="Arial" w:eastAsia="Arial" w:hAnsi="Arial"/>
          <w:b w:val="false"/>
          <w:bCs w:val="false"/>
          <w:i w:val="false"/>
          <w:iCs w:val="false"/>
          <w:color w:val="4A5568"/>
          <w:sz w:val="22"/>
          <w:szCs w:val="22"/>
        </w:rPr>
        <w:t xml:space="preserve">TaricAI es una startup tecnológica B2B SaaS en fase de constitución, fundada en Madrid en 2026. Desarrolla un agente conversacional de inteligencia artificial que automatiza las tareas más críticas y repetitivas del proceso de importación: la clasificación arancelaria, el cálculo de tributos aduaneros, la verificación de requisitos fitosanitarios y el cálculo de coste real de importación (Landed Cost).</w:t>
      </w:r>
    </w:p>
    <w:p>
      <w:pPr>
        <w:spacing w:before="60" w:after="100" w:line="276" w:lineRule="auto"/>
        <w:jc w:val="both"/>
      </w:pPr>
      <w:r>
        <w:rPr>
          <w:rFonts w:ascii="Arial" w:cs="Arial" w:eastAsia="Arial" w:hAnsi="Arial"/>
          <w:b w:val="false"/>
          <w:bCs w:val="false"/>
          <w:i w:val="false"/>
          <w:iCs w:val="false"/>
          <w:color w:val="4A5568"/>
          <w:sz w:val="22"/>
          <w:szCs w:val="22"/>
        </w:rPr>
        <w:t xml:space="preserve">El proyecto nace de la identificación directa del problema por parte de su fundador, Kevin Daniel Suárez Largo, durante su formación en Comercio Exterior y su Máster en Comercio Internacional en EUDE Business School Madrid, con el respaldo técnico de su co-fundador Anderson Escorcia Hernández (Ingeniero en Sistemas) y la validación sectorial de Pelayo Serrano García, Representante Aduanero Autorizado con más de 38 años de experiencia.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B4DA0" w:val="clear"/>
            <w:tcMar>
              <w:top w:type="dxa" w:w="160"/>
              <w:left w:type="dxa" w:w="180"/>
              <w:bottom w:type="dxa" w:w="160"/>
              <w:right w:type="dxa" w:w="180"/>
            </w:tcMar>
          </w:tcPr>
          <w:p>
            <w:pPr>
              <w:spacing w:before="0" w:after="30"/>
              <w:jc w:val="center"/>
            </w:pPr>
            <w:r>
              <w:rPr>
                <w:rFonts w:ascii="Arial" w:cs="Arial" w:eastAsia="Arial" w:hAnsi="Arial"/>
                <w:b/>
                <w:bCs/>
                <w:color w:val="FFFFFF"/>
                <w:sz w:val="30"/>
                <w:szCs w:val="30"/>
              </w:rPr>
              <w:t xml:space="preserve">B2B SaaS</w:t>
            </w:r>
          </w:p>
          <w:p>
            <w:pPr>
              <w:spacing w:before="0" w:after="0"/>
              <w:jc w:val="center"/>
            </w:pPr>
            <w:r>
              <w:rPr>
                <w:rFonts w:ascii="Arial" w:cs="Arial" w:eastAsia="Arial" w:hAnsi="Arial"/>
                <w:color w:val="D1D5DB"/>
                <w:sz w:val="16"/>
                <w:szCs w:val="16"/>
              </w:rPr>
              <w:t xml:space="preserve">Modelo de negocio</w:t>
            </w:r>
          </w:p>
        </w:tc>
        <w:tc>
          <w:tcPr>
            <w:tcBorders>
              <w:top w:val="none" w:color="FFFFFF" w:sz="0"/>
              <w:left w:val="none" w:color="FFFFFF" w:sz="0"/>
              <w:bottom w:val="none" w:color="FFFFFF" w:sz="0"/>
              <w:right w:val="none" w:color="FFFFFF" w:sz="0"/>
            </w:tcBorders>
            <w:shd w:fill="19A7A0" w:val="clear"/>
            <w:tcMar>
              <w:top w:type="dxa" w:w="160"/>
              <w:left w:type="dxa" w:w="180"/>
              <w:bottom w:type="dxa" w:w="160"/>
              <w:right w:type="dxa" w:w="180"/>
            </w:tcMar>
          </w:tcPr>
          <w:p>
            <w:pPr>
              <w:spacing w:before="0" w:after="30"/>
              <w:jc w:val="center"/>
            </w:pPr>
            <w:r>
              <w:rPr>
                <w:rFonts w:ascii="Arial" w:cs="Arial" w:eastAsia="Arial" w:hAnsi="Arial"/>
                <w:b/>
                <w:bCs/>
                <w:color w:val="FFFFFF"/>
                <w:sz w:val="30"/>
                <w:szCs w:val="30"/>
              </w:rPr>
              <w:t xml:space="preserve">España</w:t>
            </w:r>
          </w:p>
          <w:p>
            <w:pPr>
              <w:spacing w:before="0" w:after="0"/>
              <w:jc w:val="center"/>
            </w:pPr>
            <w:r>
              <w:rPr>
                <w:rFonts w:ascii="Arial" w:cs="Arial" w:eastAsia="Arial" w:hAnsi="Arial"/>
                <w:color w:val="D1D5DB"/>
                <w:sz w:val="16"/>
                <w:szCs w:val="16"/>
              </w:rPr>
              <w:t xml:space="preserve">Mercado inicial</w:t>
            </w:r>
          </w:p>
        </w:tc>
        <w:tc>
          <w:tcPr>
            <w:tcBorders>
              <w:top w:val="none" w:color="FFFFFF" w:sz="0"/>
              <w:left w:val="none" w:color="FFFFFF" w:sz="0"/>
              <w:bottom w:val="none" w:color="FFFFFF" w:sz="0"/>
              <w:right w:val="none" w:color="FFFFFF" w:sz="0"/>
            </w:tcBorders>
            <w:shd w:fill="1A7A4A" w:val="clear"/>
            <w:tcMar>
              <w:top w:type="dxa" w:w="160"/>
              <w:left w:type="dxa" w:w="180"/>
              <w:bottom w:type="dxa" w:w="160"/>
              <w:right w:type="dxa" w:w="180"/>
            </w:tcMar>
          </w:tcPr>
          <w:p>
            <w:pPr>
              <w:spacing w:before="0" w:after="30"/>
              <w:jc w:val="center"/>
            </w:pPr>
            <w:r>
              <w:rPr>
                <w:rFonts w:ascii="Arial" w:cs="Arial" w:eastAsia="Arial" w:hAnsi="Arial"/>
                <w:b/>
                <w:bCs/>
                <w:color w:val="FFFFFF"/>
                <w:sz w:val="30"/>
                <w:szCs w:val="30"/>
              </w:rPr>
              <w:t xml:space="preserve">Agencias + PYMEs</w:t>
            </w:r>
          </w:p>
          <w:p>
            <w:pPr>
              <w:spacing w:before="0" w:after="0"/>
              <w:jc w:val="center"/>
            </w:pPr>
            <w:r>
              <w:rPr>
                <w:rFonts w:ascii="Arial" w:cs="Arial" w:eastAsia="Arial" w:hAnsi="Arial"/>
                <w:color w:val="D1D5DB"/>
                <w:sz w:val="16"/>
                <w:szCs w:val="16"/>
              </w:rPr>
              <w:t xml:space="preserve">Clientes objetivo</w:t>
            </w:r>
          </w:p>
        </w:tc>
        <w:tc>
          <w:tcPr>
            <w:tcBorders>
              <w:top w:val="none" w:color="FFFFFF" w:sz="0"/>
              <w:left w:val="none" w:color="FFFFFF" w:sz="0"/>
              <w:bottom w:val="none" w:color="FFFFFF" w:sz="0"/>
              <w:right w:val="none" w:color="FFFFFF" w:sz="0"/>
            </w:tcBorders>
            <w:shd w:fill="2C4A6E" w:val="clear"/>
            <w:tcMar>
              <w:top w:type="dxa" w:w="160"/>
              <w:left w:type="dxa" w:w="180"/>
              <w:bottom w:type="dxa" w:w="160"/>
              <w:right w:type="dxa" w:w="180"/>
            </w:tcMar>
          </w:tcPr>
          <w:p>
            <w:pPr>
              <w:spacing w:before="0" w:after="30"/>
              <w:jc w:val="center"/>
            </w:pPr>
            <w:r>
              <w:rPr>
                <w:rFonts w:ascii="Arial" w:cs="Arial" w:eastAsia="Arial" w:hAnsi="Arial"/>
                <w:b/>
                <w:bCs/>
                <w:color w:val="FFFFFF"/>
                <w:sz w:val="30"/>
                <w:szCs w:val="30"/>
              </w:rPr>
              <w:t xml:space="preserve">Latam</w:t>
            </w:r>
          </w:p>
          <w:p>
            <w:pPr>
              <w:spacing w:before="0" w:after="0"/>
              <w:jc w:val="center"/>
            </w:pPr>
            <w:r>
              <w:rPr>
                <w:rFonts w:ascii="Arial" w:cs="Arial" w:eastAsia="Arial" w:hAnsi="Arial"/>
                <w:color w:val="D1D5DB"/>
                <w:sz w:val="16"/>
                <w:szCs w:val="16"/>
              </w:rPr>
              <w:t xml:space="preserve">Expansión fase 2</w:t>
            </w:r>
          </w:p>
        </w:tc>
      </w:tr>
    </w:tbl>
    <w:p>
      <w:pPr>
        <w:spacing w:before="120" w:after="0"/>
      </w:pPr>
      <w:r>
        <w:t xml:space="preserve"/>
      </w:r>
    </w:p>
    <w:p>
      <w:pPr>
        <w:spacing w:before="220" w:after="80"/>
      </w:pPr>
      <w:r>
        <w:rPr>
          <w:rFonts w:ascii="Arial" w:cs="Arial" w:eastAsia="Arial" w:hAnsi="Arial"/>
          <w:b/>
          <w:bCs/>
          <w:color w:val="0B2447"/>
          <w:sz w:val="26"/>
          <w:szCs w:val="26"/>
        </w:rPr>
        <w:t xml:space="preserve">Propuesta de valor resumida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4F6F9" w:val="clear"/>
            <w:tcMar>
              <w:top w:type="dxa" w:w="160"/>
              <w:left w:type="dxa" w:w="260"/>
              <w:bottom w:type="dxa" w:w="160"/>
              <w:right w:type="dxa" w:w="160"/>
            </w:tcMar>
          </w:tcPr>
          <w:p>
            <w:pPr>
              <w:spacing w:before="160" w:after="50"/>
            </w:pPr>
            <w:r>
              <w:rPr>
                <w:rFonts w:ascii="Arial" w:cs="Arial" w:eastAsia="Arial" w:hAnsi="Arial"/>
                <w:b/>
                <w:bCs/>
                <w:color w:val="19A7A0"/>
                <w:sz w:val="22"/>
                <w:szCs w:val="22"/>
              </w:rPr>
              <w:t xml:space="preserve">Para el cliente</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Reducción del tiempo de clasificación de 3 a 5 horas a menos de 30 segundos</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Eliminación del riesgo de error humano en partidas de 10 dígitos TARIC</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Acceso unificado a 6 fuentes oficiales desde una sola interfaz</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Cálculo de Landed Cost con tasas portuarias reales de España</w:t>
            </w:r>
          </w:p>
        </w:tc>
        <w:tc>
          <w:tcPr>
            <w:tcBorders>
              <w:top w:val="none" w:color="FFFFFF" w:sz="0"/>
              <w:left w:val="none" w:color="FFFFFF" w:sz="0"/>
              <w:bottom w:val="none" w:color="FFFFFF" w:sz="0"/>
              <w:right w:val="none" w:color="FFFFFF" w:sz="0"/>
            </w:tcBorders>
            <w:shd w:fill="FFFFFF" w:val="clear"/>
            <w:tcMar>
              <w:top w:type="dxa" w:w="160"/>
              <w:left w:type="dxa" w:w="260"/>
              <w:bottom w:type="dxa" w:w="160"/>
              <w:right w:type="dxa" w:w="160"/>
            </w:tcMar>
          </w:tcPr>
          <w:p>
            <w:pPr>
              <w:spacing w:before="160" w:after="50"/>
            </w:pPr>
            <w:r>
              <w:rPr>
                <w:rFonts w:ascii="Arial" w:cs="Arial" w:eastAsia="Arial" w:hAnsi="Arial"/>
                <w:b/>
                <w:bCs/>
                <w:color w:val="19A7A0"/>
                <w:sz w:val="22"/>
                <w:szCs w:val="22"/>
              </w:rPr>
              <w:t xml:space="preserve">Para el mercado</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La primera herramienta IA diseñada específicamente para la aduana española</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Módulo fitosanitario completo — MAPA, TRACES, SOIVRE — sin equivalente en el mercado</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Precio accesible para la PYME española, sin contratos de empresa grande</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Soporte en español con conocimiento del marco regulatorio español y de la UE</w:t>
            </w:r>
          </w:p>
        </w:tc>
      </w:tr>
    </w:tbl>
    <w:p>
      <w:pPr>
        <w:spacing w:before="100" w:after="0"/>
      </w:pPr>
      <w:r>
        <w:t xml:space="preserve"/>
      </w:r>
    </w:p>
    <w:p>
      <w:pPr>
        <w:pBdr>
          <w:bottom w:val="single" w:color="E2E8F0" w:sz="4" w:space="2"/>
        </w:pBdr>
        <w:spacing w:before="100" w:after="10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02  </w:t>
      </w:r>
      <w:r>
        <w:rPr>
          <w:rFonts w:ascii="Arial" w:cs="Arial" w:eastAsia="Arial" w:hAnsi="Arial"/>
          <w:b/>
          <w:bCs/>
          <w:color w:val="0B2447"/>
          <w:sz w:val="30"/>
          <w:szCs w:val="30"/>
        </w:rPr>
        <w:t xml:space="preserve">EL PROBLEMA — DIAGNÓSTICO DEL MERCADO</w:t>
      </w:r>
    </w:p>
    <w:p>
      <w:pPr>
        <w:spacing w:before="100" w:after="0"/>
      </w:pPr>
      <w:r>
        <w:t xml:space="preserve"/>
      </w:r>
    </w:p>
    <w:p>
      <w:pPr>
        <w:spacing w:before="60" w:after="100" w:line="276" w:lineRule="auto"/>
        <w:jc w:val="both"/>
      </w:pPr>
      <w:r>
        <w:rPr>
          <w:rFonts w:ascii="Arial" w:cs="Arial" w:eastAsia="Arial" w:hAnsi="Arial"/>
          <w:b w:val="false"/>
          <w:bCs w:val="false"/>
          <w:i w:val="false"/>
          <w:iCs w:val="false"/>
          <w:color w:val="4A5568"/>
          <w:sz w:val="22"/>
          <w:szCs w:val="22"/>
        </w:rPr>
        <w:t xml:space="preserve">El proceso de clasificación arancelaria en España es hoy un trabajo manual, fragmentado y propenso a errores. Cualquier operador de comercio exterior que quiera importar correctamente una mercancía debe navegar un sistema complejo que ninguna herramienta del mercado integra de forma completa.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A7A0" w:sz="10" w:space="3"/>
              <w:left w:val="single" w:color="19A7A0" w:sz="24" w:space="3"/>
              <w:bottom w:val="single" w:color="19A7A0" w:sz="6" w:space="3"/>
              <w:right w:val="none" w:color="FFFFFF" w:sz="0"/>
            </w:tcBorders>
            <w:shd w:fill="F4F6F9" w:val="clear"/>
            <w:tcMar>
              <w:top w:type="dxa" w:w="200"/>
              <w:left w:type="dxa" w:w="360"/>
              <w:bottom w:type="dxa" w:w="200"/>
              <w:right w:type="dxa" w:w="320"/>
            </w:tcMar>
          </w:tcPr>
          <w:p>
            <w:pPr>
              <w:spacing w:before="0" w:after="60"/>
            </w:pPr>
            <w:r>
              <w:rPr>
                <w:rFonts w:ascii="Arial" w:cs="Arial" w:eastAsia="Arial" w:hAnsi="Arial"/>
                <w:b/>
                <w:bCs/>
                <w:color w:val="0B2447"/>
                <w:sz w:val="20"/>
                <w:szCs w:val="20"/>
              </w:rPr>
              <w:t xml:space="preserve">El flujo de trabajo actual de un agente de aduanas:</w:t>
            </w:r>
          </w:p>
          <w:p>
            <w:pPr>
              <w:spacing w:before="20" w:after="20"/>
              <w:ind w:left="320" w:hanging="240"/>
            </w:pPr>
            <w:r>
              <w:rPr>
                <w:rFonts w:ascii="Arial" w:cs="Arial" w:eastAsia="Arial" w:hAnsi="Arial"/>
                <w:b/>
                <w:bCs/>
                <w:color w:val="19A7A0"/>
                <w:sz w:val="18"/>
                <w:szCs w:val="18"/>
              </w:rPr>
              <w:t xml:space="preserve">1.  </w:t>
            </w:r>
            <w:r>
              <w:rPr>
                <w:rFonts w:ascii="Arial" w:cs="Arial" w:eastAsia="Arial" w:hAnsi="Arial"/>
                <w:color w:val="4A5568"/>
                <w:sz w:val="20"/>
                <w:szCs w:val="20"/>
              </w:rPr>
              <w:t xml:space="preserve">Consultar el buscador TARIC UE para identificar la partida arancelaria de 10 dígitos</w:t>
            </w:r>
          </w:p>
          <w:p>
            <w:pPr>
              <w:spacing w:before="20" w:after="20"/>
              <w:ind w:left="320" w:hanging="240"/>
            </w:pPr>
            <w:r>
              <w:rPr>
                <w:rFonts w:ascii="Arial" w:cs="Arial" w:eastAsia="Arial" w:hAnsi="Arial"/>
                <w:b/>
                <w:bCs/>
                <w:color w:val="19A7A0"/>
                <w:sz w:val="18"/>
                <w:szCs w:val="18"/>
              </w:rPr>
              <w:t xml:space="preserve">2.  </w:t>
            </w:r>
            <w:r>
              <w:rPr>
                <w:rFonts w:ascii="Arial" w:cs="Arial" w:eastAsia="Arial" w:hAnsi="Arial"/>
                <w:color w:val="4A5568"/>
                <w:sz w:val="20"/>
                <w:szCs w:val="20"/>
              </w:rPr>
              <w:t xml:space="preserve">Verificar en CLASS (AEAT) las medidas arancelarias aplicables a esa partida</w:t>
            </w:r>
          </w:p>
          <w:p>
            <w:pPr>
              <w:spacing w:before="20" w:after="20"/>
              <w:ind w:left="320" w:hanging="240"/>
            </w:pPr>
            <w:r>
              <w:rPr>
                <w:rFonts w:ascii="Arial" w:cs="Arial" w:eastAsia="Arial" w:hAnsi="Arial"/>
                <w:b/>
                <w:bCs/>
                <w:color w:val="19A7A0"/>
                <w:sz w:val="18"/>
                <w:szCs w:val="18"/>
              </w:rPr>
              <w:t xml:space="preserve">3.  </w:t>
            </w:r>
            <w:r>
              <w:rPr>
                <w:rFonts w:ascii="Arial" w:cs="Arial" w:eastAsia="Arial" w:hAnsi="Arial"/>
                <w:color w:val="4A5568"/>
                <w:sz w:val="20"/>
                <w:szCs w:val="20"/>
              </w:rPr>
              <w:t xml:space="preserve">Consultar MAPA si la mercancía tiene requisitos fitosanitarios</w:t>
            </w:r>
          </w:p>
          <w:p>
            <w:pPr>
              <w:spacing w:before="20" w:after="20"/>
              <w:ind w:left="320" w:hanging="240"/>
            </w:pPr>
            <w:r>
              <w:rPr>
                <w:rFonts w:ascii="Arial" w:cs="Arial" w:eastAsia="Arial" w:hAnsi="Arial"/>
                <w:b/>
                <w:bCs/>
                <w:color w:val="19A7A0"/>
                <w:sz w:val="18"/>
                <w:szCs w:val="18"/>
              </w:rPr>
              <w:t xml:space="preserve">4.  </w:t>
            </w:r>
            <w:r>
              <w:rPr>
                <w:rFonts w:ascii="Arial" w:cs="Arial" w:eastAsia="Arial" w:hAnsi="Arial"/>
                <w:color w:val="4A5568"/>
                <w:sz w:val="20"/>
                <w:szCs w:val="20"/>
              </w:rPr>
              <w:t xml:space="preserve">Verificar en TRACES si se requiere notificación previa de entrada</w:t>
            </w:r>
          </w:p>
          <w:p>
            <w:pPr>
              <w:spacing w:before="20" w:after="20"/>
              <w:ind w:left="320" w:hanging="240"/>
            </w:pPr>
            <w:r>
              <w:rPr>
                <w:rFonts w:ascii="Arial" w:cs="Arial" w:eastAsia="Arial" w:hAnsi="Arial"/>
                <w:b/>
                <w:bCs/>
                <w:color w:val="19A7A0"/>
                <w:sz w:val="18"/>
                <w:szCs w:val="18"/>
              </w:rPr>
              <w:t xml:space="preserve">5.  </w:t>
            </w:r>
            <w:r>
              <w:rPr>
                <w:rFonts w:ascii="Arial" w:cs="Arial" w:eastAsia="Arial" w:hAnsi="Arial"/>
                <w:color w:val="4A5568"/>
                <w:sz w:val="20"/>
                <w:szCs w:val="20"/>
              </w:rPr>
              <w:t xml:space="preserve">Revisar SOIVRE para productos de origen animal o vegetal</w:t>
            </w:r>
          </w:p>
          <w:p>
            <w:pPr>
              <w:spacing w:before="20" w:after="20"/>
              <w:ind w:left="320" w:hanging="240"/>
            </w:pPr>
            <w:r>
              <w:rPr>
                <w:rFonts w:ascii="Arial" w:cs="Arial" w:eastAsia="Arial" w:hAnsi="Arial"/>
                <w:b/>
                <w:bCs/>
                <w:color w:val="19A7A0"/>
                <w:sz w:val="18"/>
                <w:szCs w:val="18"/>
              </w:rPr>
              <w:t xml:space="preserve">6.  </w:t>
            </w:r>
            <w:r>
              <w:rPr>
                <w:rFonts w:ascii="Arial" w:cs="Arial" w:eastAsia="Arial" w:hAnsi="Arial"/>
                <w:color w:val="4A5568"/>
                <w:sz w:val="20"/>
                <w:szCs w:val="20"/>
              </w:rPr>
              <w:t xml:space="preserve">Calcular los derechos arancelarios, IVA, impuestos especiales y derechos antidumping manualmente</w:t>
            </w:r>
          </w:p>
          <w:p>
            <w:pPr>
              <w:spacing w:before="20" w:after="20"/>
              <w:ind w:left="320" w:hanging="240"/>
            </w:pPr>
            <w:r>
              <w:rPr>
                <w:rFonts w:ascii="Arial" w:cs="Arial" w:eastAsia="Arial" w:hAnsi="Arial"/>
                <w:b/>
                <w:bCs/>
                <w:color w:val="19A7A0"/>
                <w:sz w:val="18"/>
                <w:szCs w:val="18"/>
              </w:rPr>
              <w:t xml:space="preserve">7.  </w:t>
            </w:r>
            <w:r>
              <w:rPr>
                <w:rFonts w:ascii="Arial" w:cs="Arial" w:eastAsia="Arial" w:hAnsi="Arial"/>
                <w:color w:val="4A5568"/>
                <w:sz w:val="20"/>
                <w:szCs w:val="20"/>
              </w:rPr>
              <w:t xml:space="preserve">Revisar en EUR-Lex si existen reglamentos específicos recientes</w:t>
            </w:r>
          </w:p>
          <w:p>
            <w:pPr>
              <w:spacing w:before="20" w:after="20"/>
              <w:ind w:left="320" w:hanging="240"/>
            </w:pPr>
            <w:r>
              <w:rPr>
                <w:rFonts w:ascii="Arial" w:cs="Arial" w:eastAsia="Arial" w:hAnsi="Arial"/>
                <w:b/>
                <w:bCs/>
                <w:color w:val="19A7A0"/>
                <w:sz w:val="18"/>
                <w:szCs w:val="18"/>
              </w:rPr>
              <w:t xml:space="preserve">8.  </w:t>
            </w:r>
            <w:r>
              <w:rPr>
                <w:rFonts w:ascii="Arial" w:cs="Arial" w:eastAsia="Arial" w:hAnsi="Arial"/>
                <w:color w:val="4A5568"/>
                <w:sz w:val="20"/>
                <w:szCs w:val="20"/>
              </w:rPr>
              <w:t xml:space="preserve">Calcular el Landed Cost final sumando flete, seguro, tasas portuarias y tributos</w:t>
            </w:r>
          </w:p>
          <w:p>
            <w:pPr>
              <w:spacing w:before="40" w:after="0"/>
            </w:pPr>
            <w:r>
              <w:t xml:space="preserve"/>
            </w:r>
          </w:p>
          <w:p>
            <w:pPr>
              <w:spacing w:before="0" w:after="0"/>
            </w:pPr>
            <w:r>
              <w:rPr>
                <w:rFonts w:ascii="Arial" w:cs="Arial" w:eastAsia="Arial" w:hAnsi="Arial"/>
                <w:b/>
                <w:bCs/>
                <w:color w:val="0B2447"/>
                <w:sz w:val="19"/>
                <w:szCs w:val="19"/>
              </w:rPr>
              <w:t xml:space="preserve">Tiempo total estimado: 3 a 5 horas por operación. Para un agente que gestiona 10 operaciones diarias, esto representa entre 30 y 50 horas de trabajo manual cada semana.</w:t>
            </w:r>
          </w:p>
        </w:tc>
      </w:tr>
    </w:tbl>
    <w:p>
      <w:pPr>
        <w:spacing w:before="120" w:after="0"/>
      </w:pPr>
      <w:r>
        <w:t xml:space="preserve"/>
      </w:r>
    </w:p>
    <w:p>
      <w:pPr>
        <w:spacing w:before="220" w:after="80"/>
      </w:pPr>
      <w:r>
        <w:rPr>
          <w:rFonts w:ascii="Arial" w:cs="Arial" w:eastAsia="Arial" w:hAnsi="Arial"/>
          <w:b/>
          <w:bCs/>
          <w:color w:val="0B2447"/>
          <w:sz w:val="26"/>
          <w:szCs w:val="26"/>
        </w:rPr>
        <w:t xml:space="preserve">Dimensión del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B91C1C" w:val="clear"/>
            <w:tcMar>
              <w:top w:type="dxa" w:w="160"/>
              <w:left w:type="dxa" w:w="180"/>
              <w:bottom w:type="dxa" w:w="160"/>
              <w:right w:type="dxa" w:w="180"/>
            </w:tcMar>
          </w:tcPr>
          <w:p>
            <w:pPr>
              <w:spacing w:before="0" w:after="30"/>
              <w:jc w:val="center"/>
            </w:pPr>
            <w:r>
              <w:rPr>
                <w:rFonts w:ascii="Arial" w:cs="Arial" w:eastAsia="Arial" w:hAnsi="Arial"/>
                <w:b/>
                <w:bCs/>
                <w:color w:val="FFFFFF"/>
                <w:sz w:val="30"/>
                <w:szCs w:val="30"/>
              </w:rPr>
              <w:t xml:space="preserve">94.000</w:t>
            </w:r>
          </w:p>
          <w:p>
            <w:pPr>
              <w:spacing w:before="0" w:after="0"/>
              <w:jc w:val="center"/>
            </w:pPr>
            <w:r>
              <w:rPr>
                <w:rFonts w:ascii="Arial" w:cs="Arial" w:eastAsia="Arial" w:hAnsi="Arial"/>
                <w:color w:val="D1D5DB"/>
                <w:sz w:val="16"/>
                <w:szCs w:val="16"/>
              </w:rPr>
              <w:t xml:space="preserve">actas de infracción AEAT (2023)</w:t>
            </w:r>
          </w:p>
        </w:tc>
        <w:tc>
          <w:tcPr>
            <w:tcBorders>
              <w:top w:val="none" w:color="FFFFFF" w:sz="0"/>
              <w:left w:val="none" w:color="FFFFFF" w:sz="0"/>
              <w:bottom w:val="none" w:color="FFFFFF" w:sz="0"/>
              <w:right w:val="none" w:color="FFFFFF" w:sz="0"/>
            </w:tcBorders>
            <w:shd w:fill="1B4DA0" w:val="clear"/>
            <w:tcMar>
              <w:top w:type="dxa" w:w="160"/>
              <w:left w:type="dxa" w:w="180"/>
              <w:bottom w:type="dxa" w:w="160"/>
              <w:right w:type="dxa" w:w="180"/>
            </w:tcMar>
          </w:tcPr>
          <w:p>
            <w:pPr>
              <w:spacing w:before="0" w:after="30"/>
              <w:jc w:val="center"/>
            </w:pPr>
            <w:r>
              <w:rPr>
                <w:rFonts w:ascii="Arial" w:cs="Arial" w:eastAsia="Arial" w:hAnsi="Arial"/>
                <w:b/>
                <w:bCs/>
                <w:color w:val="FFFFFF"/>
                <w:sz w:val="30"/>
                <w:szCs w:val="30"/>
              </w:rPr>
              <w:t xml:space="preserve">3 – 5h</w:t>
            </w:r>
          </w:p>
          <w:p>
            <w:pPr>
              <w:spacing w:before="0" w:after="0"/>
              <w:jc w:val="center"/>
            </w:pPr>
            <w:r>
              <w:rPr>
                <w:rFonts w:ascii="Arial" w:cs="Arial" w:eastAsia="Arial" w:hAnsi="Arial"/>
                <w:color w:val="D1D5DB"/>
                <w:sz w:val="16"/>
                <w:szCs w:val="16"/>
              </w:rPr>
              <w:t xml:space="preserve">tiempo por operación manual</w:t>
            </w:r>
          </w:p>
        </w:tc>
        <w:tc>
          <w:tcPr>
            <w:tcBorders>
              <w:top w:val="none" w:color="FFFFFF" w:sz="0"/>
              <w:left w:val="none" w:color="FFFFFF" w:sz="0"/>
              <w:bottom w:val="none" w:color="FFFFFF" w:sz="0"/>
              <w:right w:val="none" w:color="FFFFFF" w:sz="0"/>
            </w:tcBorders>
            <w:shd w:fill="2C4A6E" w:val="clear"/>
            <w:tcMar>
              <w:top w:type="dxa" w:w="160"/>
              <w:left w:type="dxa" w:w="180"/>
              <w:bottom w:type="dxa" w:w="160"/>
              <w:right w:type="dxa" w:w="180"/>
            </w:tcMar>
          </w:tcPr>
          <w:p>
            <w:pPr>
              <w:spacing w:before="0" w:after="30"/>
              <w:jc w:val="center"/>
            </w:pPr>
            <w:r>
              <w:rPr>
                <w:rFonts w:ascii="Arial" w:cs="Arial" w:eastAsia="Arial" w:hAnsi="Arial"/>
                <w:b/>
                <w:bCs/>
                <w:color w:val="FFFFFF"/>
                <w:sz w:val="30"/>
                <w:szCs w:val="30"/>
              </w:rPr>
              <w:t xml:space="preserve">6+</w:t>
            </w:r>
          </w:p>
          <w:p>
            <w:pPr>
              <w:spacing w:before="0" w:after="0"/>
              <w:jc w:val="center"/>
            </w:pPr>
            <w:r>
              <w:rPr>
                <w:rFonts w:ascii="Arial" w:cs="Arial" w:eastAsia="Arial" w:hAnsi="Arial"/>
                <w:color w:val="D1D5DB"/>
                <w:sz w:val="16"/>
                <w:szCs w:val="16"/>
              </w:rPr>
              <w:t xml:space="preserve">fuentes oficiales integradas</w:t>
            </w:r>
          </w:p>
        </w:tc>
        <w:tc>
          <w:tcPr>
            <w:tcBorders>
              <w:top w:val="none" w:color="FFFFFF" w:sz="0"/>
              <w:left w:val="none" w:color="FFFFFF" w:sz="0"/>
              <w:bottom w:val="none" w:color="FFFFFF" w:sz="0"/>
              <w:right w:val="none" w:color="FFFFFF" w:sz="0"/>
            </w:tcBorders>
            <w:shd w:fill="B45309" w:val="clear"/>
            <w:tcMar>
              <w:top w:type="dxa" w:w="160"/>
              <w:left w:type="dxa" w:w="180"/>
              <w:bottom w:type="dxa" w:w="160"/>
              <w:right w:type="dxa" w:w="180"/>
            </w:tcMar>
          </w:tcPr>
          <w:p>
            <w:pPr>
              <w:spacing w:before="0" w:after="30"/>
              <w:jc w:val="center"/>
            </w:pPr>
            <w:r>
              <w:rPr>
                <w:rFonts w:ascii="Arial" w:cs="Arial" w:eastAsia="Arial" w:hAnsi="Arial"/>
                <w:b/>
                <w:bCs/>
                <w:color w:val="FFFFFF"/>
                <w:sz w:val="30"/>
                <w:szCs w:val="30"/>
              </w:rPr>
              <w:t xml:space="preserve">€30.000+</w:t>
            </w:r>
          </w:p>
          <w:p>
            <w:pPr>
              <w:spacing w:before="0" w:after="0"/>
              <w:jc w:val="center"/>
            </w:pPr>
            <w:r>
              <w:rPr>
                <w:rFonts w:ascii="Arial" w:cs="Arial" w:eastAsia="Arial" w:hAnsi="Arial"/>
                <w:color w:val="D1D5DB"/>
                <w:sz w:val="16"/>
                <w:szCs w:val="16"/>
              </w:rPr>
              <w:t xml:space="preserve">sanción media por clasificación errónea</w:t>
            </w:r>
          </w:p>
        </w:tc>
      </w:tr>
    </w:tbl>
    <w:p>
      <w:pPr>
        <w:spacing w:before="60" w:after="0"/>
      </w:pPr>
      <w:r>
        <w:t xml:space="preserve"/>
      </w:r>
    </w:p>
    <w:p>
      <w:pPr>
        <w:spacing w:before="60" w:after="100" w:line="276" w:lineRule="auto"/>
        <w:jc w:val="both"/>
      </w:pPr>
      <w:r>
        <w:rPr>
          <w:rFonts w:ascii="Arial" w:cs="Arial" w:eastAsia="Arial" w:hAnsi="Arial"/>
          <w:b w:val="false"/>
          <w:bCs w:val="false"/>
          <w:i/>
          <w:iCs/>
          <w:color w:val="64748B"/>
          <w:sz w:val="16"/>
          <w:szCs w:val="16"/>
        </w:rPr>
        <w:t xml:space="preserve">Fuente: Agencia Estatal de Administración Tributaria (AEAT) 2023 · Comisión Europea DG Taxud · Ministerio de Agricultura, Pesca y Alimentación (MAPA).</w:t>
      </w:r>
    </w:p>
    <w:p>
      <w:pPr>
        <w:spacing w:before="80" w:after="0"/>
      </w:pPr>
      <w:r>
        <w:t xml:space="preserve"/>
      </w:r>
    </w:p>
    <w:p>
      <w:pPr>
        <w:spacing w:before="220" w:after="80"/>
      </w:pPr>
      <w:r>
        <w:rPr>
          <w:rFonts w:ascii="Arial" w:cs="Arial" w:eastAsia="Arial" w:hAnsi="Arial"/>
          <w:b/>
          <w:bCs/>
          <w:color w:val="0B2447"/>
          <w:sz w:val="26"/>
          <w:szCs w:val="26"/>
        </w:rPr>
        <w:t xml:space="preserve">¿Por qué el problema persiste?</w:t>
      </w:r>
    </w:p>
    <w:p>
      <w:pPr>
        <w:spacing w:before="60" w:after="100" w:line="276" w:lineRule="auto"/>
        <w:jc w:val="both"/>
      </w:pPr>
      <w:r>
        <w:rPr>
          <w:rFonts w:ascii="Arial" w:cs="Arial" w:eastAsia="Arial" w:hAnsi="Arial"/>
          <w:b w:val="false"/>
          <w:bCs w:val="false"/>
          <w:i w:val="false"/>
          <w:iCs w:val="false"/>
          <w:color w:val="4A5568"/>
          <w:sz w:val="22"/>
          <w:szCs w:val="22"/>
        </w:rPr>
        <w:t xml:space="preserve">Las herramientas existentes en el mercado no resuelven el problema de fondo: son bases de datos de consulta manual, no agentes que integren el proceso completo. El profesional sigue siendo el que conecta los puntos entre sistemas. TaricAI es el primero en eliminar esa carga.</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Dispersión de fuentes</w:t>
      </w:r>
      <w:r>
        <w:rPr>
          <w:rFonts w:ascii="Arial" w:cs="Arial" w:eastAsia="Arial" w:hAnsi="Arial"/>
          <w:color w:val="4A5568"/>
          <w:sz w:val="22"/>
          <w:szCs w:val="22"/>
        </w:rPr>
        <w:t xml:space="preserve">:  ninguna herramienta actual unifica todas las fuentes oficiales españolas en tiempo real</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Ausencia de IA conversacional</w:t>
      </w:r>
      <w:r>
        <w:rPr>
          <w:rFonts w:ascii="Arial" w:cs="Arial" w:eastAsia="Arial" w:hAnsi="Arial"/>
          <w:color w:val="4A5568"/>
          <w:sz w:val="22"/>
          <w:szCs w:val="22"/>
        </w:rPr>
        <w:t xml:space="preserve">:  las herramientas existentes requieren que el usuario ya sepa qué buscar</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Módulo fitosanitario ignorado</w:t>
      </w:r>
      <w:r>
        <w:rPr>
          <w:rFonts w:ascii="Arial" w:cs="Arial" w:eastAsia="Arial" w:hAnsi="Arial"/>
          <w:color w:val="4A5568"/>
          <w:sz w:val="22"/>
          <w:szCs w:val="22"/>
        </w:rPr>
        <w:t xml:space="preserve">:  MAPA, TRACES y SOIVRE están completamente ausentes de las soluciones actuales</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Barrera de precio para la PYME</w:t>
      </w:r>
      <w:r>
        <w:rPr>
          <w:rFonts w:ascii="Arial" w:cs="Arial" w:eastAsia="Arial" w:hAnsi="Arial"/>
          <w:color w:val="4A5568"/>
          <w:sz w:val="22"/>
          <w:szCs w:val="22"/>
        </w:rPr>
        <w:t xml:space="preserve">:  las soluciones enterprise tienen costes que excluyen a la mayoría del tejido empresarial español</w:t>
      </w:r>
    </w:p>
    <w:p>
      <w:pPr>
        <w:spacing w:before="100" w:after="0"/>
      </w:pPr>
      <w:r>
        <w:t xml:space="preserve"/>
      </w:r>
    </w:p>
    <w:p>
      <w:pPr>
        <w:pBdr>
          <w:bottom w:val="single" w:color="E2E8F0" w:sz="4" w:space="2"/>
        </w:pBdr>
        <w:spacing w:before="100" w:after="10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03  </w:t>
      </w:r>
      <w:r>
        <w:rPr>
          <w:rFonts w:ascii="Arial" w:cs="Arial" w:eastAsia="Arial" w:hAnsi="Arial"/>
          <w:b/>
          <w:bCs/>
          <w:color w:val="0B2447"/>
          <w:sz w:val="30"/>
          <w:szCs w:val="30"/>
        </w:rPr>
        <w:t xml:space="preserve">LA SOLUCIÓN — PROPUESTA DE VALOR DE TARICAI</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448" w:val="clear"/>
            <w:tcMar>
              <w:top w:type="dxa" w:w="300"/>
              <w:left w:type="dxa" w:w="480"/>
              <w:bottom w:type="dxa" w:w="300"/>
              <w:right w:type="dxa" w:w="480"/>
            </w:tcMar>
          </w:tcPr>
          <w:p>
            <w:pPr>
              <w:spacing w:before="0" w:after="50"/>
            </w:pPr>
            <w:r>
              <w:rPr>
                <w:rFonts w:ascii="Arial" w:cs="Arial" w:eastAsia="Arial" w:hAnsi="Arial"/>
                <w:color w:val="CBD5E1"/>
                <w:sz w:val="19"/>
                <w:szCs w:val="19"/>
              </w:rPr>
              <w:t xml:space="preserve">TaricAI es un agente de inteligencia artificial que:</w:t>
            </w:r>
          </w:p>
          <w:p>
            <w:pPr>
              <w:spacing w:before="20" w:after="20"/>
              <w:ind w:left="240" w:hanging="200"/>
            </w:pPr>
            <w:r>
              <w:rPr>
                <w:rFonts w:ascii="Arial" w:cs="Arial" w:eastAsia="Arial" w:hAnsi="Arial"/>
                <w:b/>
                <w:bCs/>
                <w:color w:val="19A7A0"/>
                <w:sz w:val="19"/>
                <w:szCs w:val="19"/>
              </w:rPr>
              <w:t xml:space="preserve">✓  </w:t>
            </w:r>
            <w:r>
              <w:rPr>
                <w:rFonts w:ascii="Arial" w:cs="Arial" w:eastAsia="Arial" w:hAnsi="Arial"/>
                <w:color w:val="FFFFFF"/>
                <w:sz w:val="19"/>
                <w:szCs w:val="19"/>
              </w:rPr>
              <w:t xml:space="preserve">Recibe una consulta en lenguaje natural (texto o imagen de la mercancía)</w:t>
            </w:r>
          </w:p>
          <w:p>
            <w:pPr>
              <w:spacing w:before="20" w:after="20"/>
              <w:ind w:left="240" w:hanging="200"/>
            </w:pPr>
            <w:r>
              <w:rPr>
                <w:rFonts w:ascii="Arial" w:cs="Arial" w:eastAsia="Arial" w:hAnsi="Arial"/>
                <w:b/>
                <w:bCs/>
                <w:color w:val="19A7A0"/>
                <w:sz w:val="19"/>
                <w:szCs w:val="19"/>
              </w:rPr>
              <w:t xml:space="preserve">✓  </w:t>
            </w:r>
            <w:r>
              <w:rPr>
                <w:rFonts w:ascii="Arial" w:cs="Arial" w:eastAsia="Arial" w:hAnsi="Arial"/>
                <w:color w:val="FFFFFF"/>
                <w:sz w:val="19"/>
                <w:szCs w:val="19"/>
              </w:rPr>
              <w:t xml:space="preserve">Clasifica la partida arancelaria TARIC de 10 dígitos con precisión superior al 90%</w:t>
            </w:r>
          </w:p>
          <w:p>
            <w:pPr>
              <w:spacing w:before="20" w:after="20"/>
              <w:ind w:left="240" w:hanging="200"/>
            </w:pPr>
            <w:r>
              <w:rPr>
                <w:rFonts w:ascii="Arial" w:cs="Arial" w:eastAsia="Arial" w:hAnsi="Arial"/>
                <w:b/>
                <w:bCs/>
                <w:color w:val="19A7A0"/>
                <w:sz w:val="19"/>
                <w:szCs w:val="19"/>
              </w:rPr>
              <w:t xml:space="preserve">✓  </w:t>
            </w:r>
            <w:r>
              <w:rPr>
                <w:rFonts w:ascii="Arial" w:cs="Arial" w:eastAsia="Arial" w:hAnsi="Arial"/>
                <w:color w:val="FFFFFF"/>
                <w:sz w:val="19"/>
                <w:szCs w:val="19"/>
              </w:rPr>
              <w:t xml:space="preserve">Calcula automáticamente todos los tributos aplicables, acuerdos preferenciales y excepciones</w:t>
            </w:r>
          </w:p>
          <w:p>
            <w:pPr>
              <w:spacing w:before="20" w:after="20"/>
              <w:ind w:left="240" w:hanging="200"/>
            </w:pPr>
            <w:r>
              <w:rPr>
                <w:rFonts w:ascii="Arial" w:cs="Arial" w:eastAsia="Arial" w:hAnsi="Arial"/>
                <w:b/>
                <w:bCs/>
                <w:color w:val="19A7A0"/>
                <w:sz w:val="19"/>
                <w:szCs w:val="19"/>
              </w:rPr>
              <w:t xml:space="preserve">✓  </w:t>
            </w:r>
            <w:r>
              <w:rPr>
                <w:rFonts w:ascii="Arial" w:cs="Arial" w:eastAsia="Arial" w:hAnsi="Arial"/>
                <w:color w:val="FFFFFF"/>
                <w:sz w:val="19"/>
                <w:szCs w:val="19"/>
              </w:rPr>
              <w:t xml:space="preserve">Verifica los requisitos fitosanitarios (MAPA · TRACES · SOIVRE) cuando aplica</w:t>
            </w:r>
          </w:p>
          <w:p>
            <w:pPr>
              <w:spacing w:before="20" w:after="20"/>
              <w:ind w:left="240" w:hanging="200"/>
            </w:pPr>
            <w:r>
              <w:rPr>
                <w:rFonts w:ascii="Arial" w:cs="Arial" w:eastAsia="Arial" w:hAnsi="Arial"/>
                <w:b/>
                <w:bCs/>
                <w:color w:val="19A7A0"/>
                <w:sz w:val="19"/>
                <w:szCs w:val="19"/>
              </w:rPr>
              <w:t xml:space="preserve">✓  </w:t>
            </w:r>
            <w:r>
              <w:rPr>
                <w:rFonts w:ascii="Arial" w:cs="Arial" w:eastAsia="Arial" w:hAnsi="Arial"/>
                <w:color w:val="FFFFFF"/>
                <w:sz w:val="19"/>
                <w:szCs w:val="19"/>
              </w:rPr>
              <w:t xml:space="preserve">Calcula el Landed Cost final con tasas portuarias españolas reales</w:t>
            </w:r>
          </w:p>
          <w:p>
            <w:pPr>
              <w:spacing w:before="20" w:after="20"/>
              <w:ind w:left="240" w:hanging="200"/>
            </w:pPr>
            <w:r>
              <w:rPr>
                <w:rFonts w:ascii="Arial" w:cs="Arial" w:eastAsia="Arial" w:hAnsi="Arial"/>
                <w:b/>
                <w:bCs/>
                <w:color w:val="19A7A0"/>
                <w:sz w:val="19"/>
                <w:szCs w:val="19"/>
              </w:rPr>
              <w:t xml:space="preserve">✓  </w:t>
            </w:r>
            <w:r>
              <w:rPr>
                <w:rFonts w:ascii="Arial" w:cs="Arial" w:eastAsia="Arial" w:hAnsi="Arial"/>
                <w:color w:val="FFFFFF"/>
                <w:sz w:val="19"/>
                <w:szCs w:val="19"/>
              </w:rPr>
              <w:t xml:space="preserve">Genera el checklist documental completo para la operación</w:t>
            </w:r>
          </w:p>
          <w:p>
            <w:pPr>
              <w:spacing w:before="20" w:after="20"/>
              <w:ind w:left="240" w:hanging="200"/>
            </w:pPr>
            <w:r>
              <w:rPr>
                <w:rFonts w:ascii="Arial" w:cs="Arial" w:eastAsia="Arial" w:hAnsi="Arial"/>
                <w:b/>
                <w:bCs/>
                <w:color w:val="19A7A0"/>
                <w:sz w:val="19"/>
                <w:szCs w:val="19"/>
              </w:rPr>
              <w:t xml:space="preserve">✓  </w:t>
            </w:r>
            <w:r>
              <w:rPr>
                <w:rFonts w:ascii="Arial" w:cs="Arial" w:eastAsia="Arial" w:hAnsi="Arial"/>
                <w:color w:val="FFFFFF"/>
                <w:sz w:val="19"/>
                <w:szCs w:val="19"/>
              </w:rPr>
              <w:t xml:space="preserve">Todo esto en una única consulta conversacional, en menos de 30 segundos</w:t>
            </w:r>
          </w:p>
        </w:tc>
      </w:tr>
    </w:tbl>
    <w:p>
      <w:pPr>
        <w:spacing w:before="120" w:after="0"/>
      </w:pPr>
      <w:r>
        <w:t xml:space="preserve"/>
      </w:r>
    </w:p>
    <w:p>
      <w:pPr>
        <w:spacing w:before="220" w:after="80"/>
      </w:pPr>
      <w:r>
        <w:rPr>
          <w:rFonts w:ascii="Arial" w:cs="Arial" w:eastAsia="Arial" w:hAnsi="Arial"/>
          <w:b/>
          <w:bCs/>
          <w:color w:val="0B2447"/>
          <w:sz w:val="26"/>
          <w:szCs w:val="26"/>
        </w:rPr>
        <w:t xml:space="preserve">Módulos funcionales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4F6F9" w:val="clear"/>
            <w:tcMar>
              <w:top w:type="dxa" w:w="200"/>
              <w:left w:type="dxa" w:w="220"/>
              <w:bottom w:type="dxa" w:w="200"/>
              <w:right w:type="dxa" w:w="180"/>
            </w:tcMar>
          </w:tcPr>
          <w:p>
            <w:pPr>
              <w:spacing w:before="0" w:after="40"/>
            </w:pPr>
            <w:r>
              <w:rPr>
                <w:rFonts w:ascii="Arial" w:cs="Arial" w:eastAsia="Arial" w:hAnsi="Arial"/>
                <w:b/>
                <w:bCs/>
                <w:color w:val="1B4DA0"/>
                <w:sz w:val="19"/>
                <w:szCs w:val="19"/>
              </w:rPr>
              <w:t xml:space="preserve">🔍  Clasificador TARIC</w:t>
            </w:r>
          </w:p>
          <w:p>
            <w:pPr>
              <w:spacing w:before="0" w:after="0"/>
            </w:pPr>
            <w:r>
              <w:rPr>
                <w:rFonts w:ascii="Arial" w:cs="Arial" w:eastAsia="Arial" w:hAnsi="Arial"/>
                <w:color w:val="4A5568"/>
                <w:sz w:val="20"/>
                <w:szCs w:val="20"/>
              </w:rPr>
              <w:t xml:space="preserve">Identificación de la partida de 10 dígitos desde texto libre o imagen. Fuentes: TARIC UE + CLASS AEAT</w:t>
            </w:r>
          </w:p>
        </w:tc>
        <w:tc>
          <w:tcPr>
            <w:tcBorders>
              <w:top w:val="none" w:color="FFFFFF" w:sz="0"/>
              <w:left w:val="none" w:color="FFFFFF" w:sz="0"/>
              <w:bottom w:val="none" w:color="FFFFFF" w:sz="0"/>
              <w:right w:val="none" w:color="FFFFFF" w:sz="0"/>
            </w:tcBorders>
            <w:shd w:fill="FFFFFF" w:val="clear"/>
            <w:tcMar>
              <w:top w:type="dxa" w:w="200"/>
              <w:left w:type="dxa" w:w="220"/>
              <w:bottom w:type="dxa" w:w="200"/>
              <w:right w:type="dxa" w:w="180"/>
            </w:tcMar>
          </w:tcPr>
          <w:p>
            <w:pPr>
              <w:spacing w:before="0" w:after="40"/>
            </w:pPr>
            <w:r>
              <w:rPr>
                <w:rFonts w:ascii="Arial" w:cs="Arial" w:eastAsia="Arial" w:hAnsi="Arial"/>
                <w:b/>
                <w:bCs/>
                <w:color w:val="19A7A0"/>
                <w:sz w:val="19"/>
                <w:szCs w:val="19"/>
              </w:rPr>
              <w:t xml:space="preserve">💶  Calculador de tributos</w:t>
            </w:r>
          </w:p>
          <w:p>
            <w:pPr>
              <w:spacing w:before="0" w:after="0"/>
            </w:pPr>
            <w:r>
              <w:rPr>
                <w:rFonts w:ascii="Arial" w:cs="Arial" w:eastAsia="Arial" w:hAnsi="Arial"/>
                <w:color w:val="4A5568"/>
                <w:sz w:val="20"/>
                <w:szCs w:val="20"/>
              </w:rPr>
              <w:t xml:space="preserve">Aranceles, IVA, impuestos especiales, derechos antidumping. Acuerdos preferenciales UE (sistema ROSA)</w:t>
            </w:r>
          </w:p>
        </w:tc>
        <w:tc>
          <w:tcPr>
            <w:tcBorders>
              <w:top w:val="none" w:color="FFFFFF" w:sz="0"/>
              <w:left w:val="none" w:color="FFFFFF" w:sz="0"/>
              <w:bottom w:val="none" w:color="FFFFFF" w:sz="0"/>
              <w:right w:val="none" w:color="FFFFFF" w:sz="0"/>
            </w:tcBorders>
            <w:shd w:fill="F4F6F9" w:val="clear"/>
            <w:tcMar>
              <w:top w:type="dxa" w:w="200"/>
              <w:left w:type="dxa" w:w="220"/>
              <w:bottom w:type="dxa" w:w="200"/>
              <w:right w:type="dxa" w:w="180"/>
            </w:tcMar>
          </w:tcPr>
          <w:p>
            <w:pPr>
              <w:spacing w:before="0" w:after="40"/>
            </w:pPr>
            <w:r>
              <w:rPr>
                <w:rFonts w:ascii="Arial" w:cs="Arial" w:eastAsia="Arial" w:hAnsi="Arial"/>
                <w:b/>
                <w:bCs/>
                <w:color w:val="1A7A4A"/>
                <w:sz w:val="19"/>
                <w:szCs w:val="19"/>
              </w:rPr>
              <w:t xml:space="preserve">🌿  Control fitosanitario</w:t>
            </w:r>
          </w:p>
          <w:p>
            <w:pPr>
              <w:spacing w:before="0" w:after="0"/>
            </w:pPr>
            <w:r>
              <w:rPr>
                <w:rFonts w:ascii="Arial" w:cs="Arial" w:eastAsia="Arial" w:hAnsi="Arial"/>
                <w:color w:val="4A5568"/>
                <w:sz w:val="20"/>
                <w:szCs w:val="20"/>
              </w:rPr>
              <w:t xml:space="preserve">Requisitos MAPA, TRACES, SOIVRE. Alertas RAPEX y control CITES para mercancías reguladas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4F6F9" w:val="clear"/>
            <w:tcMar>
              <w:top w:type="dxa" w:w="200"/>
              <w:left w:type="dxa" w:w="220"/>
              <w:bottom w:type="dxa" w:w="200"/>
              <w:right w:type="dxa" w:w="180"/>
            </w:tcMar>
          </w:tcPr>
          <w:p>
            <w:pPr>
              <w:spacing w:before="0" w:after="40"/>
            </w:pPr>
            <w:r>
              <w:rPr>
                <w:rFonts w:ascii="Arial" w:cs="Arial" w:eastAsia="Arial" w:hAnsi="Arial"/>
                <w:b/>
                <w:bCs/>
                <w:color w:val="2C4A6E"/>
                <w:sz w:val="19"/>
                <w:szCs w:val="19"/>
              </w:rPr>
              <w:t xml:space="preserve">📊  Landed Cost</w:t>
            </w:r>
          </w:p>
          <w:p>
            <w:pPr>
              <w:spacing w:before="0" w:after="0"/>
            </w:pPr>
            <w:r>
              <w:rPr>
                <w:rFonts w:ascii="Arial" w:cs="Arial" w:eastAsia="Arial" w:hAnsi="Arial"/>
                <w:color w:val="4A5568"/>
                <w:sz w:val="20"/>
                <w:szCs w:val="20"/>
              </w:rPr>
              <w:t xml:space="preserve">FOB + flete + seguro + aranceles + IVA + tasas portuarias. Exportable a Excel y PDF</w:t>
            </w:r>
          </w:p>
        </w:tc>
        <w:tc>
          <w:tcPr>
            <w:tcBorders>
              <w:top w:val="none" w:color="FFFFFF" w:sz="0"/>
              <w:left w:val="none" w:color="FFFFFF" w:sz="0"/>
              <w:bottom w:val="none" w:color="FFFFFF" w:sz="0"/>
              <w:right w:val="none" w:color="FFFFFF" w:sz="0"/>
            </w:tcBorders>
            <w:shd w:fill="FFFFFF" w:val="clear"/>
            <w:tcMar>
              <w:top w:type="dxa" w:w="200"/>
              <w:left w:type="dxa" w:w="220"/>
              <w:bottom w:type="dxa" w:w="200"/>
              <w:right w:type="dxa" w:w="180"/>
            </w:tcMar>
          </w:tcPr>
          <w:p>
            <w:pPr>
              <w:spacing w:before="0" w:after="40"/>
            </w:pPr>
            <w:r>
              <w:rPr>
                <w:rFonts w:ascii="Arial" w:cs="Arial" w:eastAsia="Arial" w:hAnsi="Arial"/>
                <w:b/>
                <w:bCs/>
                <w:color w:val="1B4DA0"/>
                <w:sz w:val="19"/>
                <w:szCs w:val="19"/>
              </w:rPr>
              <w:t xml:space="preserve">📄  Gestión documental</w:t>
            </w:r>
          </w:p>
          <w:p>
            <w:pPr>
              <w:spacing w:before="0" w:after="0"/>
            </w:pPr>
            <w:r>
              <w:rPr>
                <w:rFonts w:ascii="Arial" w:cs="Arial" w:eastAsia="Arial" w:hAnsi="Arial"/>
                <w:color w:val="4A5568"/>
                <w:sz w:val="20"/>
                <w:szCs w:val="20"/>
              </w:rPr>
              <w:t xml:space="preserve">Checklist automático: DUA, EUR.1, certificados de origen, certificados fitosanitarios, T2L</w:t>
            </w:r>
          </w:p>
        </w:tc>
        <w:tc>
          <w:tcPr>
            <w:tcBorders>
              <w:top w:val="none" w:color="FFFFFF" w:sz="0"/>
              <w:left w:val="none" w:color="FFFFFF" w:sz="0"/>
              <w:bottom w:val="none" w:color="FFFFFF" w:sz="0"/>
              <w:right w:val="none" w:color="FFFFFF" w:sz="0"/>
            </w:tcBorders>
            <w:shd w:fill="F4F6F9" w:val="clear"/>
            <w:tcMar>
              <w:top w:type="dxa" w:w="200"/>
              <w:left w:type="dxa" w:w="220"/>
              <w:bottom w:type="dxa" w:w="200"/>
              <w:right w:type="dxa" w:w="180"/>
            </w:tcMar>
          </w:tcPr>
          <w:p>
            <w:pPr>
              <w:spacing w:before="0" w:after="40"/>
            </w:pPr>
            <w:r>
              <w:rPr>
                <w:rFonts w:ascii="Arial" w:cs="Arial" w:eastAsia="Arial" w:hAnsi="Arial"/>
                <w:b/>
                <w:bCs/>
                <w:color w:val="19A7A0"/>
                <w:sz w:val="19"/>
                <w:szCs w:val="19"/>
              </w:rPr>
              <w:t xml:space="preserve">🤖  Agente conversacional</w:t>
            </w:r>
          </w:p>
          <w:p>
            <w:pPr>
              <w:spacing w:before="0" w:after="0"/>
            </w:pPr>
            <w:r>
              <w:rPr>
                <w:rFonts w:ascii="Arial" w:cs="Arial" w:eastAsia="Arial" w:hAnsi="Arial"/>
                <w:color w:val="4A5568"/>
                <w:sz w:val="20"/>
                <w:szCs w:val="20"/>
              </w:rPr>
              <w:t xml:space="preserve">Interfaz en español que orquesta todos los módulos en una sola consulta. Historial de operaciones</w:t>
            </w:r>
          </w:p>
        </w:tc>
      </w:tr>
    </w:tbl>
    <w:p>
      <w:pPr>
        <w:spacing w:before="120" w:after="0"/>
      </w:pPr>
      <w:r>
        <w:t xml:space="preserve"/>
      </w:r>
    </w:p>
    <w:p>
      <w:pPr>
        <w:spacing w:before="220" w:after="80"/>
      </w:pPr>
      <w:r>
        <w:rPr>
          <w:rFonts w:ascii="Arial" w:cs="Arial" w:eastAsia="Arial" w:hAnsi="Arial"/>
          <w:b/>
          <w:bCs/>
          <w:color w:val="0B2447"/>
          <w:sz w:val="26"/>
          <w:szCs w:val="26"/>
        </w:rPr>
        <w:t xml:space="preserve">Fuentes oficiales integradas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Borders>
              <w:top w:val="none" w:color="FFFFFF" w:sz="0"/>
              <w:left w:val="none" w:color="FFFFFF" w:sz="0"/>
              <w:bottom w:val="none" w:color="FFFFFF" w:sz="0"/>
              <w:right w:val="none" w:color="FFFFFF" w:sz="0"/>
            </w:tcBorders>
            <w:shd w:fill="0D1F2D" w:val="clear"/>
            <w:tcMar>
              <w:top w:type="dxa" w:w="80"/>
              <w:left w:type="dxa" w:w="160"/>
              <w:bottom w:type="dxa" w:w="80"/>
              <w:right w:type="dxa" w:w="100"/>
            </w:tcMar>
          </w:tcPr>
          <w:p>
            <w:r>
              <w:rPr>
                <w:rFonts w:ascii="Arial" w:cs="Arial" w:eastAsia="Arial" w:hAnsi="Arial"/>
                <w:b/>
                <w:bCs/>
                <w:color w:val="C8922A"/>
                <w:sz w:val="17"/>
                <w:szCs w:val="17"/>
              </w:rPr>
              <w:t xml:space="preserve">FUENTE</w:t>
            </w:r>
          </w:p>
        </w:tc>
        <w:tc>
          <w:tcPr>
            <w:tcBorders>
              <w:top w:val="none" w:color="FFFFFF" w:sz="0"/>
              <w:left w:val="none" w:color="FFFFFF" w:sz="0"/>
              <w:bottom w:val="none" w:color="FFFFFF" w:sz="0"/>
              <w:right w:val="none" w:color="FFFFFF" w:sz="0"/>
            </w:tcBorders>
            <w:shd w:fill="0D1F2D" w:val="clear"/>
            <w:tcMar>
              <w:top w:type="dxa" w:w="80"/>
              <w:left w:type="dxa" w:w="160"/>
              <w:bottom w:type="dxa" w:w="80"/>
              <w:right w:type="dxa" w:w="100"/>
            </w:tcMar>
          </w:tcPr>
          <w:p>
            <w:r>
              <w:rPr>
                <w:rFonts w:ascii="Arial" w:cs="Arial" w:eastAsia="Arial" w:hAnsi="Arial"/>
                <w:b/>
                <w:bCs/>
                <w:color w:val="C8922A"/>
                <w:sz w:val="17"/>
                <w:szCs w:val="17"/>
              </w:rPr>
              <w:t xml:space="preserve">ORGANISMO</w:t>
            </w:r>
          </w:p>
        </w:tc>
        <w:tc>
          <w:tcPr>
            <w:tcBorders>
              <w:top w:val="none" w:color="FFFFFF" w:sz="0"/>
              <w:left w:val="none" w:color="FFFFFF" w:sz="0"/>
              <w:bottom w:val="none" w:color="FFFFFF" w:sz="0"/>
              <w:right w:val="none" w:color="FFFFFF" w:sz="0"/>
            </w:tcBorders>
            <w:shd w:fill="0D1F2D" w:val="clear"/>
            <w:tcMar>
              <w:top w:type="dxa" w:w="80"/>
              <w:left w:type="dxa" w:w="160"/>
              <w:bottom w:type="dxa" w:w="80"/>
              <w:right w:type="dxa" w:w="100"/>
            </w:tcMar>
          </w:tcPr>
          <w:p>
            <w:r>
              <w:rPr>
                <w:rFonts w:ascii="Arial" w:cs="Arial" w:eastAsia="Arial" w:hAnsi="Arial"/>
                <w:b/>
                <w:bCs/>
                <w:color w:val="C8922A"/>
                <w:sz w:val="17"/>
                <w:szCs w:val="17"/>
              </w:rPr>
              <w:t xml:space="preserve">INFORMACIÓN PROVISTA</w:t>
            </w:r>
          </w:p>
        </w:tc>
      </w:tr>
      <w:tr>
        <w:tc>
          <w:tcPr>
            <w:tcBorders>
              <w:top w:val="none" w:color="FFFFFF" w:sz="0"/>
              <w:left w:val="none" w:color="FFFFFF" w:sz="0"/>
              <w:bottom w:val="none" w:color="FFFFFF" w:sz="0"/>
              <w:right w:val="none" w:color="FFFFFF" w:sz="0"/>
            </w:tcBorders>
            <w:shd w:fill="F4F6F9" w:val="clear"/>
            <w:tcMar>
              <w:top w:type="dxa" w:w="70"/>
              <w:left w:type="dxa" w:w="160"/>
              <w:bottom w:type="dxa" w:w="70"/>
              <w:right w:type="dxa" w:w="100"/>
            </w:tcMar>
          </w:tcPr>
          <w:p>
            <w:r>
              <w:rPr>
                <w:rFonts w:ascii="Arial" w:cs="Arial" w:eastAsia="Arial" w:hAnsi="Arial"/>
                <w:b/>
                <w:bCs/>
                <w:color w:val="1B4DA0"/>
                <w:sz w:val="19"/>
                <w:szCs w:val="19"/>
              </w:rPr>
              <w:t xml:space="preserve">TARIC UE</w:t>
            </w:r>
          </w:p>
        </w:tc>
        <w:tc>
          <w:tcPr>
            <w:tcBorders>
              <w:top w:val="none" w:color="FFFFFF" w:sz="0"/>
              <w:left w:val="none" w:color="FFFFFF" w:sz="0"/>
              <w:bottom w:val="none" w:color="FFFFFF" w:sz="0"/>
              <w:right w:val="none" w:color="FFFFFF" w:sz="0"/>
            </w:tcBorders>
            <w:shd w:fill="F4F6F9" w:val="clear"/>
            <w:tcMar>
              <w:top w:type="dxa" w:w="70"/>
              <w:left w:type="dxa" w:w="160"/>
              <w:bottom w:type="dxa" w:w="70"/>
              <w:right w:type="dxa" w:w="100"/>
            </w:tcMar>
          </w:tcPr>
          <w:p>
            <w:r>
              <w:rPr>
                <w:rFonts w:ascii="Arial" w:cs="Arial" w:eastAsia="Arial" w:hAnsi="Arial"/>
                <w:color w:val="4A5568"/>
                <w:sz w:val="19"/>
                <w:szCs w:val="19"/>
              </w:rPr>
              <w:t xml:space="preserve">Comisión Europea (DG Taxud)</w:t>
            </w:r>
          </w:p>
        </w:tc>
        <w:tc>
          <w:tcPr>
            <w:tcBorders>
              <w:top w:val="none" w:color="FFFFFF" w:sz="0"/>
              <w:left w:val="none" w:color="FFFFFF" w:sz="0"/>
              <w:bottom w:val="none" w:color="FFFFFF" w:sz="0"/>
              <w:right w:val="none" w:color="FFFFFF" w:sz="0"/>
            </w:tcBorders>
            <w:shd w:fill="F4F6F9" w:val="clear"/>
            <w:tcMar>
              <w:top w:type="dxa" w:w="70"/>
              <w:left w:type="dxa" w:w="160"/>
              <w:bottom w:type="dxa" w:w="70"/>
              <w:right w:type="dxa" w:w="100"/>
            </w:tcMar>
          </w:tcPr>
          <w:p>
            <w:r>
              <w:rPr>
                <w:rFonts w:ascii="Arial" w:cs="Arial" w:eastAsia="Arial" w:hAnsi="Arial"/>
                <w:color w:val="4A5568"/>
                <w:sz w:val="19"/>
                <w:szCs w:val="19"/>
              </w:rPr>
              <w:t xml:space="preserve">Nomenclatura arancelaria combinada de 10 dígitos, medidas y tipos</w:t>
            </w:r>
          </w:p>
        </w:tc>
      </w:tr>
      <w:tr>
        <w:tc>
          <w:tcPr>
            <w:tcBorders>
              <w:top w:val="none" w:color="FFFFFF" w:sz="0"/>
              <w:left w:val="none" w:color="FFFFFF" w:sz="0"/>
              <w:bottom w:val="none" w:color="FFFFFF" w:sz="0"/>
              <w:right w:val="none" w:color="FFFFFF" w:sz="0"/>
            </w:tcBorders>
            <w:shd w:fill="FFFFFF" w:val="clear"/>
            <w:tcMar>
              <w:top w:type="dxa" w:w="70"/>
              <w:left w:type="dxa" w:w="160"/>
              <w:bottom w:type="dxa" w:w="70"/>
              <w:right w:type="dxa" w:w="100"/>
            </w:tcMar>
          </w:tcPr>
          <w:p>
            <w:r>
              <w:rPr>
                <w:rFonts w:ascii="Arial" w:cs="Arial" w:eastAsia="Arial" w:hAnsi="Arial"/>
                <w:b/>
                <w:bCs/>
                <w:color w:val="1B4DA0"/>
                <w:sz w:val="19"/>
                <w:szCs w:val="19"/>
              </w:rPr>
              <w:t xml:space="preserve">CLASS AEAT</w:t>
            </w:r>
          </w:p>
        </w:tc>
        <w:tc>
          <w:tcPr>
            <w:tcBorders>
              <w:top w:val="none" w:color="FFFFFF" w:sz="0"/>
              <w:left w:val="none" w:color="FFFFFF" w:sz="0"/>
              <w:bottom w:val="none" w:color="FFFFFF" w:sz="0"/>
              <w:right w:val="none" w:color="FFFFFF" w:sz="0"/>
            </w:tcBorders>
            <w:shd w:fill="FFFFFF" w:val="clear"/>
            <w:tcMar>
              <w:top w:type="dxa" w:w="70"/>
              <w:left w:type="dxa" w:w="160"/>
              <w:bottom w:type="dxa" w:w="70"/>
              <w:right w:type="dxa" w:w="100"/>
            </w:tcMar>
          </w:tcPr>
          <w:p>
            <w:r>
              <w:rPr>
                <w:rFonts w:ascii="Arial" w:cs="Arial" w:eastAsia="Arial" w:hAnsi="Arial"/>
                <w:color w:val="4A5568"/>
                <w:sz w:val="19"/>
                <w:szCs w:val="19"/>
              </w:rPr>
              <w:t xml:space="preserve">Agencia Tributaria España</w:t>
            </w:r>
          </w:p>
        </w:tc>
        <w:tc>
          <w:tcPr>
            <w:tcBorders>
              <w:top w:val="none" w:color="FFFFFF" w:sz="0"/>
              <w:left w:val="none" w:color="FFFFFF" w:sz="0"/>
              <w:bottom w:val="none" w:color="FFFFFF" w:sz="0"/>
              <w:right w:val="none" w:color="FFFFFF" w:sz="0"/>
            </w:tcBorders>
            <w:shd w:fill="FFFFFF" w:val="clear"/>
            <w:tcMar>
              <w:top w:type="dxa" w:w="70"/>
              <w:left w:type="dxa" w:w="160"/>
              <w:bottom w:type="dxa" w:w="70"/>
              <w:right w:type="dxa" w:w="100"/>
            </w:tcMar>
          </w:tcPr>
          <w:p>
            <w:r>
              <w:rPr>
                <w:rFonts w:ascii="Arial" w:cs="Arial" w:eastAsia="Arial" w:hAnsi="Arial"/>
                <w:color w:val="4A5568"/>
                <w:sz w:val="19"/>
                <w:szCs w:val="19"/>
              </w:rPr>
              <w:t xml:space="preserve">Medidas nacionales, prohibiciones, licencias y restricciones</w:t>
            </w:r>
          </w:p>
        </w:tc>
      </w:tr>
      <w:tr>
        <w:tc>
          <w:tcPr>
            <w:tcBorders>
              <w:top w:val="none" w:color="FFFFFF" w:sz="0"/>
              <w:left w:val="none" w:color="FFFFFF" w:sz="0"/>
              <w:bottom w:val="none" w:color="FFFFFF" w:sz="0"/>
              <w:right w:val="none" w:color="FFFFFF" w:sz="0"/>
            </w:tcBorders>
            <w:shd w:fill="F4F6F9" w:val="clear"/>
            <w:tcMar>
              <w:top w:type="dxa" w:w="70"/>
              <w:left w:type="dxa" w:w="160"/>
              <w:bottom w:type="dxa" w:w="70"/>
              <w:right w:type="dxa" w:w="100"/>
            </w:tcMar>
          </w:tcPr>
          <w:p>
            <w:r>
              <w:rPr>
                <w:rFonts w:ascii="Arial" w:cs="Arial" w:eastAsia="Arial" w:hAnsi="Arial"/>
                <w:b/>
                <w:bCs/>
                <w:color w:val="1B4DA0"/>
                <w:sz w:val="19"/>
                <w:szCs w:val="19"/>
              </w:rPr>
              <w:t xml:space="preserve">MAPA</w:t>
            </w:r>
          </w:p>
        </w:tc>
        <w:tc>
          <w:tcPr>
            <w:tcBorders>
              <w:top w:val="none" w:color="FFFFFF" w:sz="0"/>
              <w:left w:val="none" w:color="FFFFFF" w:sz="0"/>
              <w:bottom w:val="none" w:color="FFFFFF" w:sz="0"/>
              <w:right w:val="none" w:color="FFFFFF" w:sz="0"/>
            </w:tcBorders>
            <w:shd w:fill="F4F6F9" w:val="clear"/>
            <w:tcMar>
              <w:top w:type="dxa" w:w="70"/>
              <w:left w:type="dxa" w:w="160"/>
              <w:bottom w:type="dxa" w:w="70"/>
              <w:right w:type="dxa" w:w="100"/>
            </w:tcMar>
          </w:tcPr>
          <w:p>
            <w:r>
              <w:rPr>
                <w:rFonts w:ascii="Arial" w:cs="Arial" w:eastAsia="Arial" w:hAnsi="Arial"/>
                <w:color w:val="4A5568"/>
                <w:sz w:val="19"/>
                <w:szCs w:val="19"/>
              </w:rPr>
              <w:t xml:space="preserve">Ministerio de Agricultura</w:t>
            </w:r>
          </w:p>
        </w:tc>
        <w:tc>
          <w:tcPr>
            <w:tcBorders>
              <w:top w:val="none" w:color="FFFFFF" w:sz="0"/>
              <w:left w:val="none" w:color="FFFFFF" w:sz="0"/>
              <w:bottom w:val="none" w:color="FFFFFF" w:sz="0"/>
              <w:right w:val="none" w:color="FFFFFF" w:sz="0"/>
            </w:tcBorders>
            <w:shd w:fill="F4F6F9" w:val="clear"/>
            <w:tcMar>
              <w:top w:type="dxa" w:w="70"/>
              <w:left w:type="dxa" w:w="160"/>
              <w:bottom w:type="dxa" w:w="70"/>
              <w:right w:type="dxa" w:w="100"/>
            </w:tcMar>
          </w:tcPr>
          <w:p>
            <w:r>
              <w:rPr>
                <w:rFonts w:ascii="Arial" w:cs="Arial" w:eastAsia="Arial" w:hAnsi="Arial"/>
                <w:color w:val="4A5568"/>
                <w:sz w:val="19"/>
                <w:szCs w:val="19"/>
              </w:rPr>
              <w:t xml:space="preserve">Requisitos fitosanitarios, licencias de importación, normativa veterinaria</w:t>
            </w:r>
          </w:p>
        </w:tc>
      </w:tr>
      <w:tr>
        <w:tc>
          <w:tcPr>
            <w:tcBorders>
              <w:top w:val="none" w:color="FFFFFF" w:sz="0"/>
              <w:left w:val="none" w:color="FFFFFF" w:sz="0"/>
              <w:bottom w:val="none" w:color="FFFFFF" w:sz="0"/>
              <w:right w:val="none" w:color="FFFFFF" w:sz="0"/>
            </w:tcBorders>
            <w:shd w:fill="FFFFFF" w:val="clear"/>
            <w:tcMar>
              <w:top w:type="dxa" w:w="70"/>
              <w:left w:type="dxa" w:w="160"/>
              <w:bottom w:type="dxa" w:w="70"/>
              <w:right w:type="dxa" w:w="100"/>
            </w:tcMar>
          </w:tcPr>
          <w:p>
            <w:r>
              <w:rPr>
                <w:rFonts w:ascii="Arial" w:cs="Arial" w:eastAsia="Arial" w:hAnsi="Arial"/>
                <w:b/>
                <w:bCs/>
                <w:color w:val="1B4DA0"/>
                <w:sz w:val="19"/>
                <w:szCs w:val="19"/>
              </w:rPr>
              <w:t xml:space="preserve">TRACES NT</w:t>
            </w:r>
          </w:p>
        </w:tc>
        <w:tc>
          <w:tcPr>
            <w:tcBorders>
              <w:top w:val="none" w:color="FFFFFF" w:sz="0"/>
              <w:left w:val="none" w:color="FFFFFF" w:sz="0"/>
              <w:bottom w:val="none" w:color="FFFFFF" w:sz="0"/>
              <w:right w:val="none" w:color="FFFFFF" w:sz="0"/>
            </w:tcBorders>
            <w:shd w:fill="FFFFFF" w:val="clear"/>
            <w:tcMar>
              <w:top w:type="dxa" w:w="70"/>
              <w:left w:type="dxa" w:w="160"/>
              <w:bottom w:type="dxa" w:w="70"/>
              <w:right w:type="dxa" w:w="100"/>
            </w:tcMar>
          </w:tcPr>
          <w:p>
            <w:r>
              <w:rPr>
                <w:rFonts w:ascii="Arial" w:cs="Arial" w:eastAsia="Arial" w:hAnsi="Arial"/>
                <w:color w:val="4A5568"/>
                <w:sz w:val="19"/>
                <w:szCs w:val="19"/>
              </w:rPr>
              <w:t xml:space="preserve">Comisión Europea</w:t>
            </w:r>
          </w:p>
        </w:tc>
        <w:tc>
          <w:tcPr>
            <w:tcBorders>
              <w:top w:val="none" w:color="FFFFFF" w:sz="0"/>
              <w:left w:val="none" w:color="FFFFFF" w:sz="0"/>
              <w:bottom w:val="none" w:color="FFFFFF" w:sz="0"/>
              <w:right w:val="none" w:color="FFFFFF" w:sz="0"/>
            </w:tcBorders>
            <w:shd w:fill="FFFFFF" w:val="clear"/>
            <w:tcMar>
              <w:top w:type="dxa" w:w="70"/>
              <w:left w:type="dxa" w:w="160"/>
              <w:bottom w:type="dxa" w:w="70"/>
              <w:right w:type="dxa" w:w="100"/>
            </w:tcMar>
          </w:tcPr>
          <w:p>
            <w:r>
              <w:rPr>
                <w:rFonts w:ascii="Arial" w:cs="Arial" w:eastAsia="Arial" w:hAnsi="Arial"/>
                <w:color w:val="4A5568"/>
                <w:sz w:val="19"/>
                <w:szCs w:val="19"/>
              </w:rPr>
              <w:t xml:space="preserve">Notificaciones previas, certificados de sanidad, trazabilidad animal</w:t>
            </w:r>
          </w:p>
        </w:tc>
      </w:tr>
      <w:tr>
        <w:tc>
          <w:tcPr>
            <w:tcBorders>
              <w:top w:val="none" w:color="FFFFFF" w:sz="0"/>
              <w:left w:val="none" w:color="FFFFFF" w:sz="0"/>
              <w:bottom w:val="none" w:color="FFFFFF" w:sz="0"/>
              <w:right w:val="none" w:color="FFFFFF" w:sz="0"/>
            </w:tcBorders>
            <w:shd w:fill="F4F6F9" w:val="clear"/>
            <w:tcMar>
              <w:top w:type="dxa" w:w="70"/>
              <w:left w:type="dxa" w:w="160"/>
              <w:bottom w:type="dxa" w:w="70"/>
              <w:right w:type="dxa" w:w="100"/>
            </w:tcMar>
          </w:tcPr>
          <w:p>
            <w:r>
              <w:rPr>
                <w:rFonts w:ascii="Arial" w:cs="Arial" w:eastAsia="Arial" w:hAnsi="Arial"/>
                <w:b/>
                <w:bCs/>
                <w:color w:val="1B4DA0"/>
                <w:sz w:val="19"/>
                <w:szCs w:val="19"/>
              </w:rPr>
              <w:t xml:space="preserve">SOIVRE</w:t>
            </w:r>
          </w:p>
        </w:tc>
        <w:tc>
          <w:tcPr>
            <w:tcBorders>
              <w:top w:val="none" w:color="FFFFFF" w:sz="0"/>
              <w:left w:val="none" w:color="FFFFFF" w:sz="0"/>
              <w:bottom w:val="none" w:color="FFFFFF" w:sz="0"/>
              <w:right w:val="none" w:color="FFFFFF" w:sz="0"/>
            </w:tcBorders>
            <w:shd w:fill="F4F6F9" w:val="clear"/>
            <w:tcMar>
              <w:top w:type="dxa" w:w="70"/>
              <w:left w:type="dxa" w:w="160"/>
              <w:bottom w:type="dxa" w:w="70"/>
              <w:right w:type="dxa" w:w="100"/>
            </w:tcMar>
          </w:tcPr>
          <w:p>
            <w:r>
              <w:rPr>
                <w:rFonts w:ascii="Arial" w:cs="Arial" w:eastAsia="Arial" w:hAnsi="Arial"/>
                <w:color w:val="4A5568"/>
                <w:sz w:val="19"/>
                <w:szCs w:val="19"/>
              </w:rPr>
              <w:t xml:space="preserve">Minist. de Economía, Comercio y Empresa</w:t>
            </w:r>
          </w:p>
        </w:tc>
        <w:tc>
          <w:tcPr>
            <w:tcBorders>
              <w:top w:val="none" w:color="FFFFFF" w:sz="0"/>
              <w:left w:val="none" w:color="FFFFFF" w:sz="0"/>
              <w:bottom w:val="none" w:color="FFFFFF" w:sz="0"/>
              <w:right w:val="none" w:color="FFFFFF" w:sz="0"/>
            </w:tcBorders>
            <w:shd w:fill="F4F6F9" w:val="clear"/>
            <w:tcMar>
              <w:top w:type="dxa" w:w="70"/>
              <w:left w:type="dxa" w:w="160"/>
              <w:bottom w:type="dxa" w:w="70"/>
              <w:right w:type="dxa" w:w="100"/>
            </w:tcMar>
          </w:tcPr>
          <w:p>
            <w:r>
              <w:rPr>
                <w:rFonts w:ascii="Arial" w:cs="Arial" w:eastAsia="Arial" w:hAnsi="Arial"/>
                <w:color w:val="4A5568"/>
                <w:sz w:val="19"/>
                <w:szCs w:val="19"/>
              </w:rPr>
              <w:t xml:space="preserve">Inspección de comercio exterior para productos agroalimentarios</w:t>
            </w:r>
          </w:p>
        </w:tc>
      </w:tr>
      <w:tr>
        <w:tc>
          <w:tcPr>
            <w:tcBorders>
              <w:top w:val="none" w:color="FFFFFF" w:sz="0"/>
              <w:left w:val="none" w:color="FFFFFF" w:sz="0"/>
              <w:bottom w:val="none" w:color="FFFFFF" w:sz="0"/>
              <w:right w:val="none" w:color="FFFFFF" w:sz="0"/>
            </w:tcBorders>
            <w:shd w:fill="FFFFFF" w:val="clear"/>
            <w:tcMar>
              <w:top w:type="dxa" w:w="70"/>
              <w:left w:type="dxa" w:w="160"/>
              <w:bottom w:type="dxa" w:w="70"/>
              <w:right w:type="dxa" w:w="100"/>
            </w:tcMar>
          </w:tcPr>
          <w:p>
            <w:r>
              <w:rPr>
                <w:rFonts w:ascii="Arial" w:cs="Arial" w:eastAsia="Arial" w:hAnsi="Arial"/>
                <w:b/>
                <w:bCs/>
                <w:color w:val="1B4DA0"/>
                <w:sz w:val="19"/>
                <w:szCs w:val="19"/>
              </w:rPr>
              <w:t xml:space="preserve">EUR-Lex / ROSA</w:t>
            </w:r>
          </w:p>
        </w:tc>
        <w:tc>
          <w:tcPr>
            <w:tcBorders>
              <w:top w:val="none" w:color="FFFFFF" w:sz="0"/>
              <w:left w:val="none" w:color="FFFFFF" w:sz="0"/>
              <w:bottom w:val="none" w:color="FFFFFF" w:sz="0"/>
              <w:right w:val="none" w:color="FFFFFF" w:sz="0"/>
            </w:tcBorders>
            <w:shd w:fill="FFFFFF" w:val="clear"/>
            <w:tcMar>
              <w:top w:type="dxa" w:w="70"/>
              <w:left w:type="dxa" w:w="160"/>
              <w:bottom w:type="dxa" w:w="70"/>
              <w:right w:type="dxa" w:w="100"/>
            </w:tcMar>
          </w:tcPr>
          <w:p>
            <w:r>
              <w:rPr>
                <w:rFonts w:ascii="Arial" w:cs="Arial" w:eastAsia="Arial" w:hAnsi="Arial"/>
                <w:color w:val="4A5568"/>
                <w:sz w:val="19"/>
                <w:szCs w:val="19"/>
              </w:rPr>
              <w:t xml:space="preserve">Comisión Europea</w:t>
            </w:r>
          </w:p>
        </w:tc>
        <w:tc>
          <w:tcPr>
            <w:tcBorders>
              <w:top w:val="none" w:color="FFFFFF" w:sz="0"/>
              <w:left w:val="none" w:color="FFFFFF" w:sz="0"/>
              <w:bottom w:val="none" w:color="FFFFFF" w:sz="0"/>
              <w:right w:val="none" w:color="FFFFFF" w:sz="0"/>
            </w:tcBorders>
            <w:shd w:fill="FFFFFF" w:val="clear"/>
            <w:tcMar>
              <w:top w:type="dxa" w:w="70"/>
              <w:left w:type="dxa" w:w="160"/>
              <w:bottom w:type="dxa" w:w="70"/>
              <w:right w:type="dxa" w:w="100"/>
            </w:tcMar>
          </w:tcPr>
          <w:p>
            <w:r>
              <w:rPr>
                <w:rFonts w:ascii="Arial" w:cs="Arial" w:eastAsia="Arial" w:hAnsi="Arial"/>
                <w:color w:val="4A5568"/>
                <w:sz w:val="19"/>
                <w:szCs w:val="19"/>
              </w:rPr>
              <w:t xml:space="preserve">Prueba del origen preferencial, normativa vigente actualizada</w:t>
            </w:r>
          </w:p>
        </w:tc>
      </w:tr>
    </w:tbl>
    <w:p>
      <w:pPr>
        <w:spacing w:before="100" w:after="0"/>
      </w:pPr>
      <w:r>
        <w:t xml:space="preserve"/>
      </w:r>
    </w:p>
    <w:p>
      <w:pPr>
        <w:pBdr>
          <w:bottom w:val="single" w:color="E2E8F0" w:sz="4" w:space="2"/>
        </w:pBdr>
        <w:spacing w:before="100" w:after="10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04  </w:t>
      </w:r>
      <w:r>
        <w:rPr>
          <w:rFonts w:ascii="Arial" w:cs="Arial" w:eastAsia="Arial" w:hAnsi="Arial"/>
          <w:b/>
          <w:bCs/>
          <w:color w:val="0B2447"/>
          <w:sz w:val="30"/>
          <w:szCs w:val="30"/>
        </w:rPr>
        <w:t xml:space="preserve">MERCADO OBJETIVO Y OPORTUNIDAD</w:t>
      </w:r>
    </w:p>
    <w:p>
      <w:pPr>
        <w:spacing w:before="100" w:after="0"/>
      </w:pPr>
      <w:r>
        <w:t xml:space="preserve"/>
      </w:r>
    </w:p>
    <w:p>
      <w:pPr>
        <w:spacing w:before="220" w:after="80"/>
      </w:pPr>
      <w:r>
        <w:rPr>
          <w:rFonts w:ascii="Arial" w:cs="Arial" w:eastAsia="Arial" w:hAnsi="Arial"/>
          <w:b/>
          <w:bCs/>
          <w:color w:val="0B2447"/>
          <w:sz w:val="26"/>
          <w:szCs w:val="26"/>
        </w:rPr>
        <w:t xml:space="preserve">Segmentación del mercado en España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4F6F9" w:val="clear"/>
            <w:tcMar>
              <w:top w:type="dxa" w:w="160"/>
              <w:left w:type="dxa" w:w="260"/>
              <w:bottom w:type="dxa" w:w="160"/>
              <w:right w:type="dxa" w:w="160"/>
            </w:tcMar>
          </w:tcPr>
          <w:p>
            <w:pPr>
              <w:spacing w:before="160" w:after="50"/>
            </w:pPr>
            <w:r>
              <w:rPr>
                <w:rFonts w:ascii="Arial" w:cs="Arial" w:eastAsia="Arial" w:hAnsi="Arial"/>
                <w:b/>
                <w:bCs/>
                <w:color w:val="19A7A0"/>
                <w:sz w:val="22"/>
                <w:szCs w:val="22"/>
              </w:rPr>
              <w:t xml:space="preserve">Segmento primario — Agencias de aduanas</w:t>
            </w:r>
          </w:p>
          <w:p>
            <w:pPr>
              <w:spacing w:before="60" w:after="100" w:line="276" w:lineRule="auto"/>
              <w:jc w:val="both"/>
            </w:pPr>
            <w:r>
              <w:rPr>
                <w:rFonts w:ascii="Arial" w:cs="Arial" w:eastAsia="Arial" w:hAnsi="Arial"/>
                <w:b w:val="false"/>
                <w:bCs w:val="false"/>
                <w:i w:val="false"/>
                <w:iCs w:val="false"/>
                <w:color w:val="4A5568"/>
                <w:sz w:val="18"/>
                <w:szCs w:val="18"/>
              </w:rPr>
              <w:t xml:space="preserve">Más de 1.200 agencias de aduanas activas en España, operadas principalmente por Representantes Aduaneros Autorizados (RAA) y sus equipos técnicos. Son los usuarios más intensivos del proceso de clasificación arancelaria: gestionan desde decenas hasta cientos de operaciones diarias.</w:t>
            </w:r>
          </w:p>
          <w:p>
            <w:pPr>
              <w:spacing w:before="60" w:after="100" w:line="276" w:lineRule="auto"/>
              <w:jc w:val="both"/>
            </w:pPr>
            <w:r>
              <w:rPr>
                <w:rFonts w:ascii="Arial" w:cs="Arial" w:eastAsia="Arial" w:hAnsi="Arial"/>
                <w:b w:val="false"/>
                <w:bCs w:val="false"/>
                <w:i w:val="false"/>
                <w:iCs w:val="false"/>
                <w:color w:val="4A5568"/>
                <w:sz w:val="18"/>
                <w:szCs w:val="18"/>
              </w:rPr>
              <w:t xml:space="preserve">Perfil: empresas de 2 a 50 personas, con alta carga operativa y sensibilidad a cualquier herramienta que reduzca tiempo y elimine riesgo de sanción.</w:t>
            </w:r>
          </w:p>
        </w:tc>
        <w:tc>
          <w:tcPr>
            <w:tcBorders>
              <w:top w:val="none" w:color="FFFFFF" w:sz="0"/>
              <w:left w:val="none" w:color="FFFFFF" w:sz="0"/>
              <w:bottom w:val="none" w:color="FFFFFF" w:sz="0"/>
              <w:right w:val="none" w:color="FFFFFF" w:sz="0"/>
            </w:tcBorders>
            <w:shd w:fill="FFFFFF" w:val="clear"/>
            <w:tcMar>
              <w:top w:type="dxa" w:w="160"/>
              <w:left w:type="dxa" w:w="260"/>
              <w:bottom w:type="dxa" w:w="160"/>
              <w:right w:type="dxa" w:w="160"/>
            </w:tcMar>
          </w:tcPr>
          <w:p>
            <w:pPr>
              <w:spacing w:before="160" w:after="50"/>
            </w:pPr>
            <w:r>
              <w:rPr>
                <w:rFonts w:ascii="Arial" w:cs="Arial" w:eastAsia="Arial" w:hAnsi="Arial"/>
                <w:b/>
                <w:bCs/>
                <w:color w:val="19A7A0"/>
                <w:sz w:val="22"/>
                <w:szCs w:val="22"/>
              </w:rPr>
              <w:t xml:space="preserve">Segmento secundario — PYMEs importadoras</w:t>
            </w:r>
          </w:p>
          <w:p>
            <w:pPr>
              <w:spacing w:before="60" w:after="100" w:line="276" w:lineRule="auto"/>
              <w:jc w:val="both"/>
            </w:pPr>
            <w:r>
              <w:rPr>
                <w:rFonts w:ascii="Arial" w:cs="Arial" w:eastAsia="Arial" w:hAnsi="Arial"/>
                <w:b w:val="false"/>
                <w:bCs w:val="false"/>
                <w:i w:val="false"/>
                <w:iCs w:val="false"/>
                <w:color w:val="4A5568"/>
                <w:sz w:val="18"/>
                <w:szCs w:val="18"/>
              </w:rPr>
              <w:t xml:space="preserve">Más de 50.000 empresas españolas que realizan importaciones regulares y que hoy dependen de sus agencias de aduanas para la clasificación. Con TaricAI, pueden hacer pre-clasificaciones propias, calcular costes reales antes de negociar y reducir su dependencia externa.</w:t>
            </w:r>
          </w:p>
          <w:p>
            <w:pPr>
              <w:spacing w:before="60" w:after="100" w:line="276" w:lineRule="auto"/>
              <w:jc w:val="both"/>
            </w:pPr>
            <w:r>
              <w:rPr>
                <w:rFonts w:ascii="Arial" w:cs="Arial" w:eastAsia="Arial" w:hAnsi="Arial"/>
                <w:b w:val="false"/>
                <w:bCs w:val="false"/>
                <w:i w:val="false"/>
                <w:iCs w:val="false"/>
                <w:color w:val="4A5568"/>
                <w:sz w:val="18"/>
                <w:szCs w:val="18"/>
              </w:rPr>
              <w:t xml:space="preserve">Perfil: empresas industriales, distribuidoras y comerciales con 10 a 250 empleados y actividad importadora estable.</w:t>
            </w:r>
          </w:p>
        </w:tc>
      </w:tr>
    </w:tbl>
    <w:p>
      <w:pPr>
        <w:spacing w:before="80" w:after="0"/>
      </w:pPr>
      <w:r>
        <w:t xml:space="preserve"/>
      </w:r>
    </w:p>
    <w:p>
      <w:pPr>
        <w:spacing w:before="220" w:after="80"/>
      </w:pPr>
      <w:r>
        <w:rPr>
          <w:rFonts w:ascii="Arial" w:cs="Arial" w:eastAsia="Arial" w:hAnsi="Arial"/>
          <w:b/>
          <w:bCs/>
          <w:color w:val="0B2447"/>
          <w:sz w:val="26"/>
          <w:szCs w:val="26"/>
        </w:rPr>
        <w:t xml:space="preserve">Tamaño del mercado (estimación)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c>
          <w:tcPr>
            <w:tcBorders>
              <w:top w:val="none" w:color="FFFFFF" w:sz="0"/>
              <w:left w:val="none" w:color="FFFFFF" w:sz="0"/>
              <w:bottom w:val="none" w:color="FFFFFF" w:sz="0"/>
              <w:right w:val="none" w:color="FFFFFF" w:sz="0"/>
            </w:tcBorders>
            <w:shd w:fill="0D1F2D" w:val="clear"/>
            <w:tcMar>
              <w:top w:type="dxa" w:w="80"/>
              <w:left w:type="dxa" w:w="160"/>
              <w:bottom w:type="dxa" w:w="80"/>
              <w:right w:type="dxa" w:w="100"/>
            </w:tcMar>
          </w:tcPr>
          <w:p>
            <w:r>
              <w:rPr>
                <w:rFonts w:ascii="Arial" w:cs="Arial" w:eastAsia="Arial" w:hAnsi="Arial"/>
                <w:b/>
                <w:bCs/>
                <w:color w:val="C8922A"/>
                <w:sz w:val="17"/>
                <w:szCs w:val="17"/>
              </w:rPr>
              <w:t xml:space="preserve">NIVEL</w:t>
            </w:r>
          </w:p>
        </w:tc>
        <w:tc>
          <w:tcPr>
            <w:tcBorders>
              <w:top w:val="none" w:color="FFFFFF" w:sz="0"/>
              <w:left w:val="none" w:color="FFFFFF" w:sz="0"/>
              <w:bottom w:val="none" w:color="FFFFFF" w:sz="0"/>
              <w:right w:val="none" w:color="FFFFFF" w:sz="0"/>
            </w:tcBorders>
            <w:shd w:fill="0D1F2D" w:val="clear"/>
            <w:tcMar>
              <w:top w:type="dxa" w:w="80"/>
              <w:left w:type="dxa" w:w="160"/>
              <w:bottom w:type="dxa" w:w="80"/>
              <w:right w:type="dxa" w:w="100"/>
            </w:tcMar>
          </w:tcPr>
          <w:p>
            <w:r>
              <w:rPr>
                <w:rFonts w:ascii="Arial" w:cs="Arial" w:eastAsia="Arial" w:hAnsi="Arial"/>
                <w:b/>
                <w:bCs/>
                <w:color w:val="C8922A"/>
                <w:sz w:val="17"/>
                <w:szCs w:val="17"/>
              </w:rPr>
              <w:t xml:space="preserve">DESCRIPCIÓN</w:t>
            </w:r>
          </w:p>
        </w:tc>
        <w:tc>
          <w:tcPr>
            <w:tcBorders>
              <w:top w:val="none" w:color="FFFFFF" w:sz="0"/>
              <w:left w:val="none" w:color="FFFFFF" w:sz="0"/>
              <w:bottom w:val="none" w:color="FFFFFF" w:sz="0"/>
              <w:right w:val="none" w:color="FFFFFF" w:sz="0"/>
            </w:tcBorders>
            <w:shd w:fill="0D1F2D" w:val="clear"/>
            <w:tcMar>
              <w:top w:type="dxa" w:w="80"/>
              <w:left w:type="dxa" w:w="160"/>
              <w:bottom w:type="dxa" w:w="80"/>
              <w:right w:type="dxa" w:w="100"/>
            </w:tcMar>
          </w:tcPr>
          <w:p>
            <w:r>
              <w:rPr>
                <w:rFonts w:ascii="Arial" w:cs="Arial" w:eastAsia="Arial" w:hAnsi="Arial"/>
                <w:b/>
                <w:bCs/>
                <w:color w:val="C8922A"/>
                <w:sz w:val="17"/>
                <w:szCs w:val="17"/>
              </w:rPr>
              <w:t xml:space="preserve">UNIVERSO</w:t>
            </w:r>
          </w:p>
        </w:tc>
        <w:tc>
          <w:tcPr>
            <w:tcBorders>
              <w:top w:val="none" w:color="FFFFFF" w:sz="0"/>
              <w:left w:val="none" w:color="FFFFFF" w:sz="0"/>
              <w:bottom w:val="none" w:color="FFFFFF" w:sz="0"/>
              <w:right w:val="none" w:color="FFFFFF" w:sz="0"/>
            </w:tcBorders>
            <w:shd w:fill="0D1F2D" w:val="clear"/>
            <w:tcMar>
              <w:top w:type="dxa" w:w="80"/>
              <w:left w:type="dxa" w:w="160"/>
              <w:bottom w:type="dxa" w:w="80"/>
              <w:right w:type="dxa" w:w="100"/>
            </w:tcMar>
          </w:tcPr>
          <w:p>
            <w:r>
              <w:rPr>
                <w:rFonts w:ascii="Arial" w:cs="Arial" w:eastAsia="Arial" w:hAnsi="Arial"/>
                <w:b/>
                <w:bCs/>
                <w:color w:val="C8922A"/>
                <w:sz w:val="17"/>
                <w:szCs w:val="17"/>
              </w:rPr>
              <w:t xml:space="preserve">VALOR ESTIMADO</w:t>
            </w:r>
          </w:p>
        </w:tc>
      </w:tr>
      <w:tr>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b/>
                <w:bCs/>
                <w:color w:val="19A7A0"/>
                <w:sz w:val="19"/>
                <w:szCs w:val="19"/>
              </w:rPr>
              <w:t xml:space="preserve">TAM</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color w:val="4A5568"/>
                <w:sz w:val="20"/>
                <w:szCs w:val="20"/>
              </w:rPr>
              <w:t xml:space="preserve">Mercado total — software gestión aduanera Europa</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color w:val="4A5568"/>
                <w:sz w:val="20"/>
                <w:szCs w:val="20"/>
              </w:rPr>
              <w:t xml:space="preserve">6.000+ empresas</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b/>
                <w:bCs/>
                <w:color w:val="1B4DA0"/>
                <w:sz w:val="19"/>
                <w:szCs w:val="19"/>
              </w:rPr>
              <w:t xml:space="preserve">~€5.800M</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r>
              <w:rPr>
                <w:rFonts w:ascii="Arial" w:cs="Arial" w:eastAsia="Arial" w:hAnsi="Arial"/>
                <w:b/>
                <w:bCs/>
                <w:color w:val="19A7A0"/>
                <w:sz w:val="19"/>
                <w:szCs w:val="19"/>
              </w:rPr>
              <w:t xml:space="preserve">SAM</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r>
              <w:rPr>
                <w:rFonts w:ascii="Arial" w:cs="Arial" w:eastAsia="Arial" w:hAnsi="Arial"/>
                <w:color w:val="4A5568"/>
                <w:sz w:val="20"/>
                <w:szCs w:val="20"/>
              </w:rPr>
              <w:t xml:space="preserve">Mercado direccionable — España + Latam hispanohablante</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r>
              <w:rPr>
                <w:rFonts w:ascii="Arial" w:cs="Arial" w:eastAsia="Arial" w:hAnsi="Arial"/>
                <w:color w:val="4A5568"/>
                <w:sz w:val="20"/>
                <w:szCs w:val="20"/>
              </w:rPr>
              <w:t xml:space="preserve">1.800+ empresas</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r>
              <w:rPr>
                <w:rFonts w:ascii="Arial" w:cs="Arial" w:eastAsia="Arial" w:hAnsi="Arial"/>
                <w:b/>
                <w:bCs/>
                <w:color w:val="1B4DA0"/>
                <w:sz w:val="19"/>
                <w:szCs w:val="19"/>
              </w:rPr>
              <w:t xml:space="preserve">~€420M</w:t>
            </w:r>
          </w:p>
        </w:tc>
      </w:tr>
      <w:tr>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b/>
                <w:bCs/>
                <w:color w:val="19A7A0"/>
                <w:sz w:val="19"/>
                <w:szCs w:val="19"/>
              </w:rPr>
              <w:t xml:space="preserve">SOM</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color w:val="4A5568"/>
                <w:sz w:val="20"/>
                <w:szCs w:val="20"/>
              </w:rPr>
              <w:t xml:space="preserve">Mercado alcanzable — objetivo operacional 3 años</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color w:val="4A5568"/>
                <w:sz w:val="20"/>
                <w:szCs w:val="20"/>
              </w:rPr>
              <w:t xml:space="preserve">150–400 clientes</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b/>
                <w:bCs/>
                <w:color w:val="1B4DA0"/>
                <w:sz w:val="19"/>
                <w:szCs w:val="19"/>
              </w:rPr>
              <w:t xml:space="preserve">€18M – €48M</w:t>
            </w:r>
          </w:p>
        </w:tc>
      </w:tr>
    </w:tbl>
    <w:p>
      <w:pPr>
        <w:spacing w:before="80" w:after="0"/>
      </w:pPr>
      <w:r>
        <w:t xml:space="preserve"/>
      </w:r>
    </w:p>
    <w:p>
      <w:pPr>
        <w:spacing w:before="220" w:after="80"/>
      </w:pPr>
      <w:r>
        <w:rPr>
          <w:rFonts w:ascii="Arial" w:cs="Arial" w:eastAsia="Arial" w:hAnsi="Arial"/>
          <w:b/>
          <w:bCs/>
          <w:color w:val="0B2447"/>
          <w:sz w:val="26"/>
          <w:szCs w:val="26"/>
        </w:rPr>
        <w:t xml:space="preserve">Expansión geográfica prevista</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Fase 1 — España</w:t>
      </w:r>
      <w:r>
        <w:rPr>
          <w:rFonts w:ascii="Arial" w:cs="Arial" w:eastAsia="Arial" w:hAnsi="Arial"/>
          <w:color w:val="4A5568"/>
          <w:sz w:val="22"/>
          <w:szCs w:val="22"/>
        </w:rPr>
        <w:t xml:space="preserve">:  lanzamiento en el mercado aduanero español, el más regulado y digitalizado de habla hispana</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Fase 2 — Latinoamérica</w:t>
      </w:r>
      <w:r>
        <w:rPr>
          <w:rFonts w:ascii="Arial" w:cs="Arial" w:eastAsia="Arial" w:hAnsi="Arial"/>
          <w:color w:val="4A5568"/>
          <w:sz w:val="22"/>
          <w:szCs w:val="22"/>
        </w:rPr>
        <w:t xml:space="preserve">:  Colombia, México, Perú y Chile como mercados prioritarios (nomenclaturas NANDINA / TIGIE). Ventaja estratégica: el fundador conoce directamente estos mercados</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Fase 3 — Resto UE</w:t>
      </w:r>
      <w:r>
        <w:rPr>
          <w:rFonts w:ascii="Arial" w:cs="Arial" w:eastAsia="Arial" w:hAnsi="Arial"/>
          <w:color w:val="4A5568"/>
          <w:sz w:val="22"/>
          <w:szCs w:val="22"/>
        </w:rPr>
        <w:t xml:space="preserve">:  adaptación a mercados europeos con idioma local: Portugal, Francia e Italia</w:t>
      </w:r>
    </w:p>
    <w:p>
      <w:pPr>
        <w:spacing w:before="100" w:after="0"/>
      </w:pPr>
      <w:r>
        <w:t xml:space="preserve"/>
      </w:r>
    </w:p>
    <w:p>
      <w:pPr>
        <w:pBdr>
          <w:bottom w:val="single" w:color="E2E8F0" w:sz="4" w:space="2"/>
        </w:pBdr>
        <w:spacing w:before="100" w:after="10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05  </w:t>
      </w:r>
      <w:r>
        <w:rPr>
          <w:rFonts w:ascii="Arial" w:cs="Arial" w:eastAsia="Arial" w:hAnsi="Arial"/>
          <w:b/>
          <w:bCs/>
          <w:color w:val="0B2447"/>
          <w:sz w:val="30"/>
          <w:szCs w:val="30"/>
        </w:rPr>
        <w:t xml:space="preserve">MODELO DE NEGOCIO</w:t>
      </w:r>
    </w:p>
    <w:p>
      <w:pPr>
        <w:spacing w:before="100" w:after="0"/>
      </w:pPr>
      <w:r>
        <w:t xml:space="preserve"/>
      </w:r>
    </w:p>
    <w:p>
      <w:pPr>
        <w:spacing w:before="60" w:after="100" w:line="276" w:lineRule="auto"/>
        <w:jc w:val="both"/>
      </w:pPr>
      <w:r>
        <w:rPr>
          <w:rFonts w:ascii="Arial" w:cs="Arial" w:eastAsia="Arial" w:hAnsi="Arial"/>
          <w:b w:val="false"/>
          <w:bCs w:val="false"/>
          <w:i w:val="false"/>
          <w:iCs w:val="false"/>
          <w:color w:val="4A5568"/>
          <w:sz w:val="22"/>
          <w:szCs w:val="22"/>
        </w:rPr>
        <w:t xml:space="preserve">TaricAI opera bajo un modelo de suscripción mensual (SaaS — Software as a Service), con diferentes planes orientados al volumen de uso y las funcionalidades requeridas por cada segmento de cliente.</w:t>
      </w:r>
    </w:p>
    <w:p>
      <w:pPr>
        <w:spacing w:before="80" w:after="0"/>
      </w:pPr>
      <w:r>
        <w:t xml:space="preserve"/>
      </w:r>
    </w:p>
    <w:p>
      <w:pPr>
        <w:spacing w:before="220" w:after="80"/>
      </w:pPr>
      <w:r>
        <w:rPr>
          <w:rFonts w:ascii="Arial" w:cs="Arial" w:eastAsia="Arial" w:hAnsi="Arial"/>
          <w:b/>
          <w:bCs/>
          <w:color w:val="0B2447"/>
          <w:sz w:val="26"/>
          <w:szCs w:val="26"/>
        </w:rPr>
        <w:t xml:space="preserve">Estructura de planes de suscripción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B4DA0"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STARTER</w:t>
            </w:r>
          </w:p>
        </w:tc>
        <w:tc>
          <w:tcPr>
            <w:tcBorders>
              <w:top w:val="none" w:color="FFFFFF" w:sz="0"/>
              <w:left w:val="none" w:color="FFFFFF" w:sz="0"/>
              <w:bottom w:val="none" w:color="FFFFFF" w:sz="0"/>
              <w:right w:val="none" w:color="FFFFFF" w:sz="0"/>
            </w:tcBorders>
            <w:shd w:fill="19A7A0"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PROFESSIONAL</w:t>
            </w:r>
          </w:p>
        </w:tc>
        <w:tc>
          <w:tcPr>
            <w:tcBorders>
              <w:top w:val="none" w:color="FFFFFF" w:sz="0"/>
              <w:left w:val="none" w:color="FFFFFF" w:sz="0"/>
              <w:bottom w:val="none" w:color="FFFFFF" w:sz="0"/>
              <w:right w:val="none" w:color="FFFFFF" w:sz="0"/>
            </w:tcBorders>
            <w:shd w:fill="1A7A4A"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ENTERPRISE</w:t>
            </w:r>
          </w:p>
        </w:tc>
        <w:tc>
          <w:tcPr>
            <w:tcBorders>
              <w:top w:val="none" w:color="FFFFFF" w:sz="0"/>
              <w:left w:val="none" w:color="FFFFFF" w:sz="0"/>
              <w:bottom w:val="none" w:color="FFFFFF" w:sz="0"/>
              <w:right w:val="none" w:color="FFFFFF" w:sz="0"/>
            </w:tcBorders>
            <w:shd w:fill="2C4A6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API CONNECT</w:t>
            </w:r>
          </w:p>
        </w:tc>
      </w:tr>
      <w:tr>
        <w:tc>
          <w:tcPr>
            <w:tcBorders>
              <w:top w:val="none" w:color="FFFFFF" w:sz="0"/>
              <w:left w:val="none" w:color="FFFFFF" w:sz="0"/>
              <w:bottom w:val="none" w:color="FFFFFF" w:sz="0"/>
              <w:right w:val="none" w:color="FFFFFF" w:sz="0"/>
            </w:tcBorders>
            <w:shd w:fill="F4F6F9" w:val="clear"/>
            <w:tcMar>
              <w:top w:type="dxa" w:w="100"/>
              <w:left w:type="dxa" w:w="180"/>
              <w:bottom w:type="dxa" w:w="100"/>
              <w:right w:type="dxa" w:w="160"/>
            </w:tcMar>
          </w:tcPr>
          <w:p>
            <w:r>
              <w:rPr>
                <w:rFonts w:ascii="Arial" w:cs="Arial" w:eastAsia="Arial" w:hAnsi="Arial"/>
                <w:color w:val="4A5568"/>
                <w:sz w:val="19"/>
                <w:szCs w:val="19"/>
              </w:rPr>
              <w:t xml:space="preserve">Agencias pequeñas y pymes con volumen moderado de operaciones</w:t>
            </w:r>
          </w:p>
        </w:tc>
        <w:tc>
          <w:tcPr>
            <w:tcBorders>
              <w:top w:val="none" w:color="FFFFFF" w:sz="0"/>
              <w:left w:val="none" w:color="FFFFFF" w:sz="0"/>
              <w:bottom w:val="none" w:color="FFFFFF" w:sz="0"/>
              <w:right w:val="none" w:color="FFFFFF" w:sz="0"/>
            </w:tcBorders>
            <w:shd w:fill="FFFFFF" w:val="clear"/>
            <w:tcMar>
              <w:top w:type="dxa" w:w="100"/>
              <w:left w:type="dxa" w:w="180"/>
              <w:bottom w:type="dxa" w:w="100"/>
              <w:right w:type="dxa" w:w="160"/>
            </w:tcMar>
          </w:tcPr>
          <w:p>
            <w:r>
              <w:rPr>
                <w:rFonts w:ascii="Arial" w:cs="Arial" w:eastAsia="Arial" w:hAnsi="Arial"/>
                <w:color w:val="4A5568"/>
                <w:sz w:val="19"/>
                <w:szCs w:val="19"/>
              </w:rPr>
              <w:t xml:space="preserve">Agencias medianas con alto volumen y necesidad de reportes avanzados</w:t>
            </w:r>
          </w:p>
        </w:tc>
        <w:tc>
          <w:tcPr>
            <w:tcBorders>
              <w:top w:val="none" w:color="FFFFFF" w:sz="0"/>
              <w:left w:val="none" w:color="FFFFFF" w:sz="0"/>
              <w:bottom w:val="none" w:color="FFFFFF" w:sz="0"/>
              <w:right w:val="none" w:color="FFFFFF" w:sz="0"/>
            </w:tcBorders>
            <w:shd w:fill="F4F6F9" w:val="clear"/>
            <w:tcMar>
              <w:top w:type="dxa" w:w="100"/>
              <w:left w:type="dxa" w:w="180"/>
              <w:bottom w:type="dxa" w:w="100"/>
              <w:right w:type="dxa" w:w="160"/>
            </w:tcMar>
          </w:tcPr>
          <w:p>
            <w:r>
              <w:rPr>
                <w:rFonts w:ascii="Arial" w:cs="Arial" w:eastAsia="Arial" w:hAnsi="Arial"/>
                <w:color w:val="4A5568"/>
                <w:sz w:val="19"/>
                <w:szCs w:val="19"/>
              </w:rPr>
              <w:t xml:space="preserve">Grandes agencias y operadores logísticos con integraciones ERP</w:t>
            </w:r>
          </w:p>
        </w:tc>
        <w:tc>
          <w:tcPr>
            <w:tcBorders>
              <w:top w:val="none" w:color="FFFFFF" w:sz="0"/>
              <w:left w:val="none" w:color="FFFFFF" w:sz="0"/>
              <w:bottom w:val="none" w:color="FFFFFF" w:sz="0"/>
              <w:right w:val="none" w:color="FFFFFF" w:sz="0"/>
            </w:tcBorders>
            <w:shd w:fill="FFFFFF" w:val="clear"/>
            <w:tcMar>
              <w:top w:type="dxa" w:w="100"/>
              <w:left w:type="dxa" w:w="180"/>
              <w:bottom w:type="dxa" w:w="100"/>
              <w:right w:type="dxa" w:w="160"/>
            </w:tcMar>
          </w:tcPr>
          <w:p>
            <w:r>
              <w:rPr>
                <w:rFonts w:ascii="Arial" w:cs="Arial" w:eastAsia="Arial" w:hAnsi="Arial"/>
                <w:color w:val="4A5568"/>
                <w:sz w:val="19"/>
                <w:szCs w:val="19"/>
              </w:rPr>
              <w:t xml:space="preserve">Desarrolladores y plataformas que integran la IA en sus propios sistemas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A7A0" w:sz="10" w:space="3"/>
              <w:left w:val="single" w:color="19A7A0" w:sz="24" w:space="3"/>
              <w:bottom w:val="single" w:color="19A7A0" w:sz="6" w:space="3"/>
              <w:right w:val="none" w:color="FFFFFF" w:sz="0"/>
            </w:tcBorders>
            <w:shd w:fill="F4F6F9" w:val="clear"/>
            <w:tcMar>
              <w:top w:type="dxa" w:w="200"/>
              <w:left w:type="dxa" w:w="360"/>
              <w:bottom w:type="dxa" w:w="200"/>
              <w:right w:type="dxa" w:w="320"/>
            </w:tcMar>
          </w:tcPr>
          <w:p>
            <w:pPr>
              <w:spacing w:before="0" w:after="30"/>
            </w:pPr>
            <w:r>
              <w:rPr>
                <w:rFonts w:ascii="Arial" w:cs="Arial" w:eastAsia="Arial" w:hAnsi="Arial"/>
                <w:b/>
                <w:bCs/>
                <w:color w:val="0B2447"/>
                <w:sz w:val="20"/>
                <w:szCs w:val="20"/>
              </w:rPr>
              <w:t xml:space="preserve">Nota sobre precios:</w:t>
            </w:r>
          </w:p>
          <w:p>
            <w:pPr>
              <w:spacing w:before="0" w:after="0"/>
            </w:pPr>
            <w:r>
              <w:rPr>
                <w:rFonts w:ascii="Arial" w:cs="Arial" w:eastAsia="Arial" w:hAnsi="Arial"/>
                <w:i/>
                <w:iCs/>
                <w:color w:val="4A5568"/>
                <w:sz w:val="20"/>
                <w:szCs w:val="20"/>
              </w:rPr>
              <w:t xml:space="preserve">Los precios exactos de cada plan se definen internamente en función de la validación con los primeros clientes piloto y la estructura de costes operativos. La política de precios detallada se comparte bajo acuerdo de confidencialidad con inversores y socios estratégicos.</w:t>
            </w:r>
          </w:p>
        </w:tc>
      </w:tr>
    </w:tbl>
    <w:p>
      <w:pPr>
        <w:spacing w:before="80" w:after="0"/>
      </w:pPr>
      <w:r>
        <w:t xml:space="preserve"/>
      </w:r>
    </w:p>
    <w:p>
      <w:pPr>
        <w:spacing w:before="220" w:after="80"/>
      </w:pPr>
      <w:r>
        <w:rPr>
          <w:rFonts w:ascii="Arial" w:cs="Arial" w:eastAsia="Arial" w:hAnsi="Arial"/>
          <w:b/>
          <w:bCs/>
          <w:color w:val="0B2447"/>
          <w:sz w:val="26"/>
          <w:szCs w:val="26"/>
        </w:rPr>
        <w:t xml:space="preserve">Fuentes de ingresos</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Suscripciones mensuales recurrentes</w:t>
      </w:r>
      <w:r>
        <w:rPr>
          <w:rFonts w:ascii="Arial" w:cs="Arial" w:eastAsia="Arial" w:hAnsi="Arial"/>
          <w:color w:val="4A5568"/>
          <w:sz w:val="22"/>
          <w:szCs w:val="22"/>
        </w:rPr>
        <w:t xml:space="preserve">:  principal fuente de ingresos, modelo predecible y escalable (MRR/ARR)</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Tarifa por uso sobre umbral</w:t>
      </w:r>
      <w:r>
        <w:rPr>
          <w:rFonts w:ascii="Arial" w:cs="Arial" w:eastAsia="Arial" w:hAnsi="Arial"/>
          <w:color w:val="4A5568"/>
          <w:sz w:val="22"/>
          <w:szCs w:val="22"/>
        </w:rPr>
        <w:t xml:space="preserve">:  cargos adicionales por consultas que superen el límite del plan contratado</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Integraciones API Enterprise</w:t>
      </w:r>
      <w:r>
        <w:rPr>
          <w:rFonts w:ascii="Arial" w:cs="Arial" w:eastAsia="Arial" w:hAnsi="Arial"/>
          <w:color w:val="4A5568"/>
          <w:sz w:val="22"/>
          <w:szCs w:val="22"/>
        </w:rPr>
        <w:t xml:space="preserve">:  licencias para empresas que integran TaricAI en sus propios sistemas ERP o plataformas logísticas</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Servicios de onboarding</w:t>
      </w:r>
      <w:r>
        <w:rPr>
          <w:rFonts w:ascii="Arial" w:cs="Arial" w:eastAsia="Arial" w:hAnsi="Arial"/>
          <w:color w:val="4A5568"/>
          <w:sz w:val="22"/>
          <w:szCs w:val="22"/>
        </w:rPr>
        <w:t xml:space="preserve">:  configuración inicial para clientes Enterprise con flujos de trabajo personalizados</w:t>
      </w:r>
    </w:p>
    <w:p>
      <w:pPr>
        <w:spacing w:before="80" w:after="0"/>
      </w:pPr>
      <w:r>
        <w:t xml:space="preserve"/>
      </w:r>
    </w:p>
    <w:p>
      <w:pPr>
        <w:spacing w:before="220" w:after="80"/>
      </w:pPr>
      <w:r>
        <w:rPr>
          <w:rFonts w:ascii="Arial" w:cs="Arial" w:eastAsia="Arial" w:hAnsi="Arial"/>
          <w:b/>
          <w:bCs/>
          <w:color w:val="0B2447"/>
          <w:sz w:val="26"/>
          <w:szCs w:val="26"/>
        </w:rPr>
        <w:t xml:space="preserve">Métricas clave de negocio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4F6F9" w:val="clear"/>
            <w:tcMar>
              <w:top w:type="dxa" w:w="200"/>
              <w:left w:type="dxa" w:w="220"/>
              <w:bottom w:type="dxa" w:w="200"/>
              <w:right w:type="dxa" w:w="180"/>
            </w:tcMar>
          </w:tcPr>
          <w:p>
            <w:pPr>
              <w:spacing w:before="0" w:after="40"/>
            </w:pPr>
            <w:r>
              <w:rPr>
                <w:rFonts w:ascii="Arial" w:cs="Arial" w:eastAsia="Arial" w:hAnsi="Arial"/>
                <w:b/>
                <w:bCs/>
                <w:color w:val="1B4DA0"/>
                <w:sz w:val="19"/>
                <w:szCs w:val="19"/>
              </w:rPr>
              <w:t xml:space="preserve">📈  MRR / ARR</w:t>
            </w:r>
          </w:p>
          <w:p>
            <w:pPr>
              <w:spacing w:before="0" w:after="0"/>
            </w:pPr>
            <w:r>
              <w:rPr>
                <w:rFonts w:ascii="Arial" w:cs="Arial" w:eastAsia="Arial" w:hAnsi="Arial"/>
                <w:color w:val="4A5568"/>
                <w:sz w:val="20"/>
                <w:szCs w:val="20"/>
              </w:rPr>
              <w:t xml:space="preserve">Ingresos mensuales y anuales recurrentes como indicador principal de crecimiento</w:t>
            </w:r>
          </w:p>
        </w:tc>
        <w:tc>
          <w:tcPr>
            <w:tcBorders>
              <w:top w:val="none" w:color="FFFFFF" w:sz="0"/>
              <w:left w:val="none" w:color="FFFFFF" w:sz="0"/>
              <w:bottom w:val="none" w:color="FFFFFF" w:sz="0"/>
              <w:right w:val="none" w:color="FFFFFF" w:sz="0"/>
            </w:tcBorders>
            <w:shd w:fill="FFFFFF" w:val="clear"/>
            <w:tcMar>
              <w:top w:type="dxa" w:w="200"/>
              <w:left w:type="dxa" w:w="220"/>
              <w:bottom w:type="dxa" w:w="200"/>
              <w:right w:type="dxa" w:w="180"/>
            </w:tcMar>
          </w:tcPr>
          <w:p>
            <w:pPr>
              <w:spacing w:before="0" w:after="40"/>
            </w:pPr>
            <w:r>
              <w:rPr>
                <w:rFonts w:ascii="Arial" w:cs="Arial" w:eastAsia="Arial" w:hAnsi="Arial"/>
                <w:b/>
                <w:bCs/>
                <w:color w:val="19A7A0"/>
                <w:sz w:val="19"/>
                <w:szCs w:val="19"/>
              </w:rPr>
              <w:t xml:space="preserve">🔄  Churn Rate</w:t>
            </w:r>
          </w:p>
          <w:p>
            <w:pPr>
              <w:spacing w:before="0" w:after="0"/>
            </w:pPr>
            <w:r>
              <w:rPr>
                <w:rFonts w:ascii="Arial" w:cs="Arial" w:eastAsia="Arial" w:hAnsi="Arial"/>
                <w:color w:val="4A5568"/>
                <w:sz w:val="20"/>
                <w:szCs w:val="20"/>
              </w:rPr>
              <w:t xml:space="preserve">Objetivo: mantener la tasa de cancelación mensual por debajo del 2% mediante calidad del producto y soporte activo</w:t>
            </w:r>
          </w:p>
        </w:tc>
        <w:tc>
          <w:tcPr>
            <w:tcBorders>
              <w:top w:val="none" w:color="FFFFFF" w:sz="0"/>
              <w:left w:val="none" w:color="FFFFFF" w:sz="0"/>
              <w:bottom w:val="none" w:color="FFFFFF" w:sz="0"/>
              <w:right w:val="none" w:color="FFFFFF" w:sz="0"/>
            </w:tcBorders>
            <w:shd w:fill="F4F6F9" w:val="clear"/>
            <w:tcMar>
              <w:top w:type="dxa" w:w="200"/>
              <w:left w:type="dxa" w:w="220"/>
              <w:bottom w:type="dxa" w:w="200"/>
              <w:right w:type="dxa" w:w="180"/>
            </w:tcMar>
          </w:tcPr>
          <w:p>
            <w:pPr>
              <w:spacing w:before="0" w:after="40"/>
            </w:pPr>
            <w:r>
              <w:rPr>
                <w:rFonts w:ascii="Arial" w:cs="Arial" w:eastAsia="Arial" w:hAnsi="Arial"/>
                <w:b/>
                <w:bCs/>
                <w:color w:val="1A7A4A"/>
                <w:sz w:val="19"/>
                <w:szCs w:val="19"/>
              </w:rPr>
              <w:t xml:space="preserve">💡  LTV / CAC</w:t>
            </w:r>
          </w:p>
          <w:p>
            <w:pPr>
              <w:spacing w:before="0" w:after="0"/>
            </w:pPr>
            <w:r>
              <w:rPr>
                <w:rFonts w:ascii="Arial" w:cs="Arial" w:eastAsia="Arial" w:hAnsi="Arial"/>
                <w:color w:val="4A5568"/>
                <w:sz w:val="20"/>
                <w:szCs w:val="20"/>
              </w:rPr>
              <w:t xml:space="preserve">Relación Valor del Cliente vs. Coste de Adquisición como indicador de eficiencia comercial. Objetivo: ratio superior a 3x</w:t>
            </w:r>
          </w:p>
        </w:tc>
      </w:tr>
    </w:tbl>
    <w:p>
      <w:pPr>
        <w:spacing w:before="100" w:after="0"/>
      </w:pPr>
      <w:r>
        <w:t xml:space="preserve"/>
      </w:r>
    </w:p>
    <w:p>
      <w:pPr>
        <w:pBdr>
          <w:bottom w:val="single" w:color="E2E8F0" w:sz="4" w:space="2"/>
        </w:pBdr>
        <w:spacing w:before="100" w:after="10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06  </w:t>
      </w:r>
      <w:r>
        <w:rPr>
          <w:rFonts w:ascii="Arial" w:cs="Arial" w:eastAsia="Arial" w:hAnsi="Arial"/>
          <w:b/>
          <w:bCs/>
          <w:color w:val="0B2447"/>
          <w:sz w:val="30"/>
          <w:szCs w:val="30"/>
        </w:rPr>
        <w:t xml:space="preserve">ANÁLISIS COMPETITIVO</w:t>
      </w:r>
    </w:p>
    <w:p>
      <w:pPr>
        <w:spacing w:before="100" w:after="0"/>
      </w:pPr>
      <w:r>
        <w:t xml:space="preserve"/>
      </w:r>
    </w:p>
    <w:p>
      <w:pPr>
        <w:spacing w:before="60" w:after="100" w:line="276" w:lineRule="auto"/>
        <w:jc w:val="both"/>
      </w:pPr>
      <w:r>
        <w:rPr>
          <w:rFonts w:ascii="Arial" w:cs="Arial" w:eastAsia="Arial" w:hAnsi="Arial"/>
          <w:b w:val="false"/>
          <w:bCs w:val="false"/>
          <w:i w:val="false"/>
          <w:iCs w:val="false"/>
          <w:color w:val="4A5568"/>
          <w:sz w:val="22"/>
          <w:szCs w:val="22"/>
        </w:rPr>
        <w:t xml:space="preserve">El mercado de herramientas de clasificación arancelaria cuenta con soluciones consolidadas, pero ninguna de ellas ha resuelto el problema para el mercado específico español con un enfoque de IA conversacional. TaricAI identifica las siguientes categorías de competidores: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2400"/>
        <w:gridCol w:w="3660"/>
      </w:tblGrid>
      <w:tr>
        <w:tc>
          <w:tcPr>
            <w:tcBorders>
              <w:top w:val="none" w:color="FFFFFF" w:sz="0"/>
              <w:left w:val="none" w:color="FFFFFF" w:sz="0"/>
              <w:bottom w:val="none" w:color="FFFFFF" w:sz="0"/>
              <w:right w:val="none" w:color="FFFFFF" w:sz="0"/>
            </w:tcBorders>
            <w:shd w:fill="0D1F2D" w:val="clear"/>
            <w:tcMar>
              <w:top w:type="dxa" w:w="80"/>
              <w:left w:type="dxa" w:w="140"/>
              <w:bottom w:type="dxa" w:w="80"/>
              <w:right w:type="dxa" w:w="80"/>
            </w:tcMar>
          </w:tcPr>
          <w:p>
            <w:r>
              <w:rPr>
                <w:rFonts w:ascii="Arial" w:cs="Arial" w:eastAsia="Arial" w:hAnsi="Arial"/>
                <w:b/>
                <w:bCs/>
                <w:color w:val="C8922A"/>
                <w:sz w:val="17"/>
                <w:szCs w:val="17"/>
              </w:rPr>
              <w:t xml:space="preserve">COMPETIDOR</w:t>
            </w:r>
          </w:p>
        </w:tc>
        <w:tc>
          <w:tcPr>
            <w:tcBorders>
              <w:top w:val="none" w:color="FFFFFF" w:sz="0"/>
              <w:left w:val="none" w:color="FFFFFF" w:sz="0"/>
              <w:bottom w:val="none" w:color="FFFFFF" w:sz="0"/>
              <w:right w:val="none" w:color="FFFFFF" w:sz="0"/>
            </w:tcBorders>
            <w:shd w:fill="0D1F2D" w:val="clear"/>
            <w:tcMar>
              <w:top w:type="dxa" w:w="80"/>
              <w:left w:type="dxa" w:w="140"/>
              <w:bottom w:type="dxa" w:w="80"/>
              <w:right w:type="dxa" w:w="80"/>
            </w:tcMar>
          </w:tcPr>
          <w:p>
            <w:r>
              <w:rPr>
                <w:rFonts w:ascii="Arial" w:cs="Arial" w:eastAsia="Arial" w:hAnsi="Arial"/>
                <w:b/>
                <w:bCs/>
                <w:color w:val="C8922A"/>
                <w:sz w:val="17"/>
                <w:szCs w:val="17"/>
              </w:rPr>
              <w:t xml:space="preserve">ORIGEN</w:t>
            </w:r>
          </w:p>
        </w:tc>
        <w:tc>
          <w:tcPr>
            <w:tcBorders>
              <w:top w:val="none" w:color="FFFFFF" w:sz="0"/>
              <w:left w:val="none" w:color="FFFFFF" w:sz="0"/>
              <w:bottom w:val="none" w:color="FFFFFF" w:sz="0"/>
              <w:right w:val="none" w:color="FFFFFF" w:sz="0"/>
            </w:tcBorders>
            <w:shd w:fill="0D1F2D" w:val="clear"/>
            <w:tcMar>
              <w:top w:type="dxa" w:w="80"/>
              <w:left w:type="dxa" w:w="140"/>
              <w:bottom w:type="dxa" w:w="80"/>
              <w:right w:type="dxa" w:w="80"/>
            </w:tcMar>
          </w:tcPr>
          <w:p>
            <w:r>
              <w:rPr>
                <w:rFonts w:ascii="Arial" w:cs="Arial" w:eastAsia="Arial" w:hAnsi="Arial"/>
                <w:b/>
                <w:bCs/>
                <w:color w:val="C8922A"/>
                <w:sz w:val="17"/>
                <w:szCs w:val="17"/>
              </w:rPr>
              <w:t xml:space="preserve">TIPO</w:t>
            </w:r>
          </w:p>
        </w:tc>
        <w:tc>
          <w:tcPr>
            <w:tcBorders>
              <w:top w:val="none" w:color="FFFFFF" w:sz="0"/>
              <w:left w:val="none" w:color="FFFFFF" w:sz="0"/>
              <w:bottom w:val="none" w:color="FFFFFF" w:sz="0"/>
              <w:right w:val="none" w:color="FFFFFF" w:sz="0"/>
            </w:tcBorders>
            <w:shd w:fill="0D1F2D" w:val="clear"/>
            <w:tcMar>
              <w:top w:type="dxa" w:w="80"/>
              <w:left w:type="dxa" w:w="140"/>
              <w:bottom w:type="dxa" w:w="80"/>
              <w:right w:type="dxa" w:w="80"/>
            </w:tcMar>
          </w:tcPr>
          <w:p>
            <w:r>
              <w:rPr>
                <w:rFonts w:ascii="Arial" w:cs="Arial" w:eastAsia="Arial" w:hAnsi="Arial"/>
                <w:b/>
                <w:bCs/>
                <w:color w:val="C8922A"/>
                <w:sz w:val="17"/>
                <w:szCs w:val="17"/>
              </w:rPr>
              <w:t xml:space="preserve">LIMITACIÓN PARA EL MERCADO ESPAÑOL</w:t>
            </w:r>
          </w:p>
        </w:tc>
      </w:tr>
      <w:tr>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b/>
                <w:bCs/>
                <w:color w:val="1B4DA0"/>
                <w:sz w:val="19"/>
                <w:szCs w:val="19"/>
              </w:rPr>
              <w:t xml:space="preserve">dbTaric (TARIC S.A.U.)</w:t>
            </w:r>
          </w:p>
        </w:tc>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color w:val="4A5568"/>
                <w:sz w:val="19"/>
                <w:szCs w:val="19"/>
              </w:rPr>
              <w:t xml:space="preserve">España</w:t>
            </w:r>
          </w:p>
        </w:tc>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color w:val="4A5568"/>
                <w:sz w:val="19"/>
                <w:szCs w:val="19"/>
              </w:rPr>
              <w:t xml:space="preserve">Base de datos TARIC</w:t>
            </w:r>
          </w:p>
        </w:tc>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color w:val="4A5568"/>
                <w:sz w:val="19"/>
                <w:szCs w:val="19"/>
              </w:rPr>
              <w:t xml:space="preserve">Consulta manual sin IA. Sin Landed Cost ni módulo fitosanitario</w:t>
            </w:r>
          </w:p>
        </w:tc>
      </w:tr>
      <w:tr>
        <w:tc>
          <w:tcPr>
            <w:tcBorders>
              <w:top w:val="none" w:color="FFFFFF" w:sz="0"/>
              <w:left w:val="none" w:color="FFFFFF" w:sz="0"/>
              <w:bottom w:val="none" w:color="FFFFFF" w:sz="0"/>
              <w:right w:val="none" w:color="FFFFFF" w:sz="0"/>
            </w:tcBorders>
            <w:shd w:fill="FFFFFF" w:val="clear"/>
            <w:tcMar>
              <w:top w:type="dxa" w:w="70"/>
              <w:left w:type="dxa" w:w="140"/>
              <w:bottom w:type="dxa" w:w="70"/>
              <w:right w:type="dxa" w:w="80"/>
            </w:tcMar>
          </w:tcPr>
          <w:p>
            <w:r>
              <w:rPr>
                <w:rFonts w:ascii="Arial" w:cs="Arial" w:eastAsia="Arial" w:hAnsi="Arial"/>
                <w:b/>
                <w:bCs/>
                <w:color w:val="1B4DA0"/>
                <w:sz w:val="19"/>
                <w:szCs w:val="19"/>
              </w:rPr>
              <w:t xml:space="preserve">Digicust</w:t>
            </w:r>
          </w:p>
        </w:tc>
        <w:tc>
          <w:tcPr>
            <w:tcBorders>
              <w:top w:val="none" w:color="FFFFFF" w:sz="0"/>
              <w:left w:val="none" w:color="FFFFFF" w:sz="0"/>
              <w:bottom w:val="none" w:color="FFFFFF" w:sz="0"/>
              <w:right w:val="none" w:color="FFFFFF" w:sz="0"/>
            </w:tcBorders>
            <w:shd w:fill="FFFFFF" w:val="clear"/>
            <w:tcMar>
              <w:top w:type="dxa" w:w="70"/>
              <w:left w:type="dxa" w:w="140"/>
              <w:bottom w:type="dxa" w:w="70"/>
              <w:right w:type="dxa" w:w="80"/>
            </w:tcMar>
          </w:tcPr>
          <w:p>
            <w:r>
              <w:rPr>
                <w:rFonts w:ascii="Arial" w:cs="Arial" w:eastAsia="Arial" w:hAnsi="Arial"/>
                <w:color w:val="4A5568"/>
                <w:sz w:val="19"/>
                <w:szCs w:val="19"/>
              </w:rPr>
              <w:t xml:space="preserve">Austria</w:t>
            </w:r>
          </w:p>
        </w:tc>
        <w:tc>
          <w:tcPr>
            <w:tcBorders>
              <w:top w:val="none" w:color="FFFFFF" w:sz="0"/>
              <w:left w:val="none" w:color="FFFFFF" w:sz="0"/>
              <w:bottom w:val="none" w:color="FFFFFF" w:sz="0"/>
              <w:right w:val="none" w:color="FFFFFF" w:sz="0"/>
            </w:tcBorders>
            <w:shd w:fill="FFFFFF" w:val="clear"/>
            <w:tcMar>
              <w:top w:type="dxa" w:w="70"/>
              <w:left w:type="dxa" w:w="140"/>
              <w:bottom w:type="dxa" w:w="70"/>
              <w:right w:type="dxa" w:w="80"/>
            </w:tcMar>
          </w:tcPr>
          <w:p>
            <w:r>
              <w:rPr>
                <w:rFonts w:ascii="Arial" w:cs="Arial" w:eastAsia="Arial" w:hAnsi="Arial"/>
                <w:color w:val="4A5568"/>
                <w:sz w:val="19"/>
                <w:szCs w:val="19"/>
              </w:rPr>
              <w:t xml:space="preserve">Clasificación IA</w:t>
            </w:r>
          </w:p>
        </w:tc>
        <w:tc>
          <w:tcPr>
            <w:tcBorders>
              <w:top w:val="none" w:color="FFFFFF" w:sz="0"/>
              <w:left w:val="none" w:color="FFFFFF" w:sz="0"/>
              <w:bottom w:val="none" w:color="FFFFFF" w:sz="0"/>
              <w:right w:val="none" w:color="FFFFFF" w:sz="0"/>
            </w:tcBorders>
            <w:shd w:fill="FAFAFA" w:val="clear"/>
            <w:tcMar>
              <w:top w:type="dxa" w:w="70"/>
              <w:left w:type="dxa" w:w="140"/>
              <w:bottom w:type="dxa" w:w="70"/>
              <w:right w:type="dxa" w:w="80"/>
            </w:tcMar>
          </w:tcPr>
          <w:p>
            <w:r>
              <w:rPr>
                <w:rFonts w:ascii="Arial" w:cs="Arial" w:eastAsia="Arial" w:hAnsi="Arial"/>
                <w:color w:val="4A5568"/>
                <w:sz w:val="19"/>
                <w:szCs w:val="19"/>
              </w:rPr>
              <w:t xml:space="preserve">Sin cobertura MAPA/TRACES. Sin adaptación al marco español. Interfaz en inglés</w:t>
            </w:r>
          </w:p>
        </w:tc>
      </w:tr>
      <w:tr>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b/>
                <w:bCs/>
                <w:color w:val="1B4DA0"/>
                <w:sz w:val="19"/>
                <w:szCs w:val="19"/>
              </w:rPr>
              <w:t xml:space="preserve">MIC-CUST Tariff Copilot</w:t>
            </w:r>
          </w:p>
        </w:tc>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color w:val="4A5568"/>
                <w:sz w:val="19"/>
                <w:szCs w:val="19"/>
              </w:rPr>
              <w:t xml:space="preserve">Alemania</w:t>
            </w:r>
          </w:p>
        </w:tc>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color w:val="4A5568"/>
                <w:sz w:val="19"/>
                <w:szCs w:val="19"/>
              </w:rPr>
              <w:t xml:space="preserve">IA arancelaria</w:t>
            </w:r>
          </w:p>
        </w:tc>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color w:val="4A5568"/>
                <w:sz w:val="19"/>
                <w:szCs w:val="19"/>
              </w:rPr>
              <w:t xml:space="preserve">Sin fuentes oficiales españolas. Sin MAPA/TRACES/SOIVRE. Sin soporte en español</w:t>
            </w:r>
          </w:p>
        </w:tc>
      </w:tr>
      <w:tr>
        <w:tc>
          <w:tcPr>
            <w:tcBorders>
              <w:top w:val="none" w:color="FFFFFF" w:sz="0"/>
              <w:left w:val="none" w:color="FFFFFF" w:sz="0"/>
              <w:bottom w:val="none" w:color="FFFFFF" w:sz="0"/>
              <w:right w:val="none" w:color="FFFFFF" w:sz="0"/>
            </w:tcBorders>
            <w:shd w:fill="FFFFFF" w:val="clear"/>
            <w:tcMar>
              <w:top w:type="dxa" w:w="70"/>
              <w:left w:type="dxa" w:w="140"/>
              <w:bottom w:type="dxa" w:w="70"/>
              <w:right w:type="dxa" w:w="80"/>
            </w:tcMar>
          </w:tcPr>
          <w:p>
            <w:r>
              <w:rPr>
                <w:rFonts w:ascii="Arial" w:cs="Arial" w:eastAsia="Arial" w:hAnsi="Arial"/>
                <w:b/>
                <w:bCs/>
                <w:color w:val="1B4DA0"/>
                <w:sz w:val="19"/>
                <w:szCs w:val="19"/>
              </w:rPr>
              <w:t xml:space="preserve">Avalara</w:t>
            </w:r>
          </w:p>
        </w:tc>
        <w:tc>
          <w:tcPr>
            <w:tcBorders>
              <w:top w:val="none" w:color="FFFFFF" w:sz="0"/>
              <w:left w:val="none" w:color="FFFFFF" w:sz="0"/>
              <w:bottom w:val="none" w:color="FFFFFF" w:sz="0"/>
              <w:right w:val="none" w:color="FFFFFF" w:sz="0"/>
            </w:tcBorders>
            <w:shd w:fill="FFFFFF" w:val="clear"/>
            <w:tcMar>
              <w:top w:type="dxa" w:w="70"/>
              <w:left w:type="dxa" w:w="140"/>
              <w:bottom w:type="dxa" w:w="70"/>
              <w:right w:type="dxa" w:w="80"/>
            </w:tcMar>
          </w:tcPr>
          <w:p>
            <w:r>
              <w:rPr>
                <w:rFonts w:ascii="Arial" w:cs="Arial" w:eastAsia="Arial" w:hAnsi="Arial"/>
                <w:color w:val="4A5568"/>
                <w:sz w:val="19"/>
                <w:szCs w:val="19"/>
              </w:rPr>
              <w:t xml:space="preserve">EE.UU.</w:t>
            </w:r>
          </w:p>
        </w:tc>
        <w:tc>
          <w:tcPr>
            <w:tcBorders>
              <w:top w:val="none" w:color="FFFFFF" w:sz="0"/>
              <w:left w:val="none" w:color="FFFFFF" w:sz="0"/>
              <w:bottom w:val="none" w:color="FFFFFF" w:sz="0"/>
              <w:right w:val="none" w:color="FFFFFF" w:sz="0"/>
            </w:tcBorders>
            <w:shd w:fill="FFFFFF" w:val="clear"/>
            <w:tcMar>
              <w:top w:type="dxa" w:w="70"/>
              <w:left w:type="dxa" w:w="140"/>
              <w:bottom w:type="dxa" w:w="70"/>
              <w:right w:type="dxa" w:w="80"/>
            </w:tcMar>
          </w:tcPr>
          <w:p>
            <w:r>
              <w:rPr>
                <w:rFonts w:ascii="Arial" w:cs="Arial" w:eastAsia="Arial" w:hAnsi="Arial"/>
                <w:color w:val="4A5568"/>
                <w:sz w:val="19"/>
                <w:szCs w:val="19"/>
              </w:rPr>
              <w:t xml:space="preserve">Compliance fiscal global</w:t>
            </w:r>
          </w:p>
        </w:tc>
        <w:tc>
          <w:tcPr>
            <w:tcBorders>
              <w:top w:val="none" w:color="FFFFFF" w:sz="0"/>
              <w:left w:val="none" w:color="FFFFFF" w:sz="0"/>
              <w:bottom w:val="none" w:color="FFFFFF" w:sz="0"/>
              <w:right w:val="none" w:color="FFFFFF" w:sz="0"/>
            </w:tcBorders>
            <w:shd w:fill="FAFAFA" w:val="clear"/>
            <w:tcMar>
              <w:top w:type="dxa" w:w="70"/>
              <w:left w:type="dxa" w:w="140"/>
              <w:bottom w:type="dxa" w:w="70"/>
              <w:right w:type="dxa" w:w="80"/>
            </w:tcMar>
          </w:tcPr>
          <w:p>
            <w:r>
              <w:rPr>
                <w:rFonts w:ascii="Arial" w:cs="Arial" w:eastAsia="Arial" w:hAnsi="Arial"/>
                <w:color w:val="4A5568"/>
                <w:sz w:val="19"/>
                <w:szCs w:val="19"/>
              </w:rPr>
              <w:t xml:space="preserve">Orientado a empresa grande. Precio enterprise. Sin fuentes oficiales ES/UE específicas</w:t>
            </w:r>
          </w:p>
        </w:tc>
      </w:tr>
      <w:tr>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b/>
                <w:bCs/>
                <w:color w:val="1B4DA0"/>
                <w:sz w:val="19"/>
                <w:szCs w:val="19"/>
              </w:rPr>
              <w:t xml:space="preserve">Descartes Systems</w:t>
            </w:r>
          </w:p>
        </w:tc>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color w:val="4A5568"/>
                <w:sz w:val="19"/>
                <w:szCs w:val="19"/>
              </w:rPr>
              <w:t xml:space="preserve">Canadá</w:t>
            </w:r>
          </w:p>
        </w:tc>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color w:val="4A5568"/>
                <w:sz w:val="19"/>
                <w:szCs w:val="19"/>
              </w:rPr>
              <w:t xml:space="preserve">Gestión cadena de suministro</w:t>
            </w:r>
          </w:p>
        </w:tc>
        <w:tc>
          <w:tcPr>
            <w:tcBorders>
              <w:top w:val="none" w:color="FFFFFF" w:sz="0"/>
              <w:left w:val="none" w:color="FFFFFF" w:sz="0"/>
              <w:bottom w:val="none" w:color="FFFFFF" w:sz="0"/>
              <w:right w:val="none" w:color="FFFFFF" w:sz="0"/>
            </w:tcBorders>
            <w:shd w:fill="F4F6F9" w:val="clear"/>
            <w:tcMar>
              <w:top w:type="dxa" w:w="70"/>
              <w:left w:type="dxa" w:w="140"/>
              <w:bottom w:type="dxa" w:w="70"/>
              <w:right w:type="dxa" w:w="80"/>
            </w:tcMar>
          </w:tcPr>
          <w:p>
            <w:r>
              <w:rPr>
                <w:rFonts w:ascii="Arial" w:cs="Arial" w:eastAsia="Arial" w:hAnsi="Arial"/>
                <w:color w:val="4A5568"/>
                <w:sz w:val="19"/>
                <w:szCs w:val="19"/>
              </w:rPr>
              <w:t xml:space="preserve">Solo grandes corporaciones. Implementación compleja. No accesible para PYME</w:t>
            </w:r>
          </w:p>
        </w:tc>
      </w:tr>
      <w:tr>
        <w:tc>
          <w:tcPr>
            <w:tcBorders>
              <w:top w:val="none" w:color="FFFFFF" w:sz="0"/>
              <w:left w:val="none" w:color="FFFFFF" w:sz="0"/>
              <w:bottom w:val="none" w:color="FFFFFF" w:sz="0"/>
              <w:right w:val="none" w:color="FFFFFF" w:sz="0"/>
            </w:tcBorders>
            <w:shd w:fill="FFFFFF" w:val="clear"/>
            <w:tcMar>
              <w:top w:type="dxa" w:w="70"/>
              <w:left w:type="dxa" w:w="140"/>
              <w:bottom w:type="dxa" w:w="70"/>
              <w:right w:type="dxa" w:w="80"/>
            </w:tcMar>
          </w:tcPr>
          <w:p>
            <w:r>
              <w:rPr>
                <w:rFonts w:ascii="Arial" w:cs="Arial" w:eastAsia="Arial" w:hAnsi="Arial"/>
                <w:b/>
                <w:bCs/>
                <w:color w:val="1B4DA0"/>
                <w:sz w:val="19"/>
                <w:szCs w:val="19"/>
              </w:rPr>
              <w:t xml:space="preserve">Camtom</w:t>
            </w:r>
          </w:p>
        </w:tc>
        <w:tc>
          <w:tcPr>
            <w:tcBorders>
              <w:top w:val="none" w:color="FFFFFF" w:sz="0"/>
              <w:left w:val="none" w:color="FFFFFF" w:sz="0"/>
              <w:bottom w:val="none" w:color="FFFFFF" w:sz="0"/>
              <w:right w:val="none" w:color="FFFFFF" w:sz="0"/>
            </w:tcBorders>
            <w:shd w:fill="FFFFFF" w:val="clear"/>
            <w:tcMar>
              <w:top w:type="dxa" w:w="70"/>
              <w:left w:type="dxa" w:w="140"/>
              <w:bottom w:type="dxa" w:w="70"/>
              <w:right w:type="dxa" w:w="80"/>
            </w:tcMar>
          </w:tcPr>
          <w:p>
            <w:r>
              <w:rPr>
                <w:rFonts w:ascii="Arial" w:cs="Arial" w:eastAsia="Arial" w:hAnsi="Arial"/>
                <w:color w:val="4A5568"/>
                <w:sz w:val="19"/>
                <w:szCs w:val="19"/>
              </w:rPr>
              <w:t xml:space="preserve">México</w:t>
            </w:r>
          </w:p>
        </w:tc>
        <w:tc>
          <w:tcPr>
            <w:tcBorders>
              <w:top w:val="none" w:color="FFFFFF" w:sz="0"/>
              <w:left w:val="none" w:color="FFFFFF" w:sz="0"/>
              <w:bottom w:val="none" w:color="FFFFFF" w:sz="0"/>
              <w:right w:val="none" w:color="FFFFFF" w:sz="0"/>
            </w:tcBorders>
            <w:shd w:fill="FFFFFF" w:val="clear"/>
            <w:tcMar>
              <w:top w:type="dxa" w:w="70"/>
              <w:left w:type="dxa" w:w="140"/>
              <w:bottom w:type="dxa" w:w="70"/>
              <w:right w:type="dxa" w:w="80"/>
            </w:tcMar>
          </w:tcPr>
          <w:p>
            <w:r>
              <w:rPr>
                <w:rFonts w:ascii="Arial" w:cs="Arial" w:eastAsia="Arial" w:hAnsi="Arial"/>
                <w:color w:val="4A5568"/>
                <w:sz w:val="19"/>
                <w:szCs w:val="19"/>
              </w:rPr>
              <w:t xml:space="preserve">Clasificación IA</w:t>
            </w:r>
          </w:p>
        </w:tc>
        <w:tc>
          <w:tcPr>
            <w:tcBorders>
              <w:top w:val="none" w:color="FFFFFF" w:sz="0"/>
              <w:left w:val="none" w:color="FFFFFF" w:sz="0"/>
              <w:bottom w:val="none" w:color="FFFFFF" w:sz="0"/>
              <w:right w:val="none" w:color="FFFFFF" w:sz="0"/>
            </w:tcBorders>
            <w:shd w:fill="FAFAFA" w:val="clear"/>
            <w:tcMar>
              <w:top w:type="dxa" w:w="70"/>
              <w:left w:type="dxa" w:w="140"/>
              <w:bottom w:type="dxa" w:w="70"/>
              <w:right w:type="dxa" w:w="80"/>
            </w:tcMar>
          </w:tcPr>
          <w:p>
            <w:r>
              <w:rPr>
                <w:rFonts w:ascii="Arial" w:cs="Arial" w:eastAsia="Arial" w:hAnsi="Arial"/>
                <w:color w:val="4A5568"/>
                <w:sz w:val="19"/>
                <w:szCs w:val="19"/>
              </w:rPr>
              <w:t xml:space="preserve">Diseñado para TIGIE/LIGIE (México). No opera sobre el TARIC de la UE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448" w:val="clear"/>
            <w:tcMar>
              <w:top w:type="dxa" w:w="300"/>
              <w:left w:type="dxa" w:w="480"/>
              <w:bottom w:type="dxa" w:w="300"/>
              <w:right w:type="dxa" w:w="480"/>
            </w:tcMar>
          </w:tcPr>
          <w:p>
            <w:pPr>
              <w:spacing w:before="0" w:after="50"/>
            </w:pPr>
            <w:r>
              <w:rPr>
                <w:rFonts w:ascii="Arial" w:cs="Arial" w:eastAsia="Arial" w:hAnsi="Arial"/>
                <w:b/>
                <w:bCs/>
                <w:color w:val="C8922A"/>
                <w:sz w:val="20"/>
                <w:szCs w:val="20"/>
              </w:rPr>
              <w:t xml:space="preserve">La ventaja diferencial de TaricAI</w:t>
            </w:r>
          </w:p>
          <w:p>
            <w:pPr>
              <w:spacing w:before="30" w:after="30"/>
              <w:ind w:left="200" w:hanging="180"/>
            </w:pPr>
            <w:r>
              <w:rPr>
                <w:rFonts w:ascii="Arial" w:cs="Arial" w:eastAsia="Arial" w:hAnsi="Arial"/>
                <w:b/>
                <w:bCs/>
                <w:color w:val="19A7A0"/>
                <w:sz w:val="19"/>
                <w:szCs w:val="19"/>
              </w:rPr>
              <w:t xml:space="preserve">→  </w:t>
            </w:r>
            <w:r>
              <w:rPr>
                <w:rFonts w:ascii="Arial" w:cs="Arial" w:eastAsia="Arial" w:hAnsi="Arial"/>
                <w:b/>
                <w:bCs/>
                <w:color w:val="FFFFFF"/>
                <w:sz w:val="19"/>
                <w:szCs w:val="19"/>
              </w:rPr>
              <w:t xml:space="preserve">Único agente IA conversacional en español</w:t>
            </w:r>
            <w:r>
              <w:rPr>
                <w:rFonts w:ascii="Arial" w:cs="Arial" w:eastAsia="Arial" w:hAnsi="Arial"/>
                <w:color w:val="CBD5E1"/>
                <w:sz w:val="19"/>
                <w:szCs w:val="19"/>
              </w:rPr>
              <w:t xml:space="preserve">  —  para clasificación TARIC con fuentes oficiales españolas actualizadas diariamente</w:t>
            </w:r>
          </w:p>
          <w:p>
            <w:pPr>
              <w:spacing w:before="30" w:after="30"/>
              <w:ind w:left="200" w:hanging="180"/>
            </w:pPr>
            <w:r>
              <w:rPr>
                <w:rFonts w:ascii="Arial" w:cs="Arial" w:eastAsia="Arial" w:hAnsi="Arial"/>
                <w:b/>
                <w:bCs/>
                <w:color w:val="19A7A0"/>
                <w:sz w:val="19"/>
                <w:szCs w:val="19"/>
              </w:rPr>
              <w:t xml:space="preserve">→  </w:t>
            </w:r>
            <w:r>
              <w:rPr>
                <w:rFonts w:ascii="Arial" w:cs="Arial" w:eastAsia="Arial" w:hAnsi="Arial"/>
                <w:b/>
                <w:bCs/>
                <w:color w:val="FFFFFF"/>
                <w:sz w:val="19"/>
                <w:szCs w:val="19"/>
              </w:rPr>
              <w:t xml:space="preserve">Módulo fitosanitario MAPA+TRACES+SOIVRE completo</w:t>
            </w:r>
            <w:r>
              <w:rPr>
                <w:rFonts w:ascii="Arial" w:cs="Arial" w:eastAsia="Arial" w:hAnsi="Arial"/>
                <w:color w:val="CBD5E1"/>
                <w:sz w:val="19"/>
                <w:szCs w:val="19"/>
              </w:rPr>
              <w:t xml:space="preserve">  —  ausente en todos los competidores analizados</w:t>
            </w:r>
          </w:p>
          <w:p>
            <w:pPr>
              <w:spacing w:before="30" w:after="30"/>
              <w:ind w:left="200" w:hanging="180"/>
            </w:pPr>
            <w:r>
              <w:rPr>
                <w:rFonts w:ascii="Arial" w:cs="Arial" w:eastAsia="Arial" w:hAnsi="Arial"/>
                <w:b/>
                <w:bCs/>
                <w:color w:val="19A7A0"/>
                <w:sz w:val="19"/>
                <w:szCs w:val="19"/>
              </w:rPr>
              <w:t xml:space="preserve">→  </w:t>
            </w:r>
            <w:r>
              <w:rPr>
                <w:rFonts w:ascii="Arial" w:cs="Arial" w:eastAsia="Arial" w:hAnsi="Arial"/>
                <w:b/>
                <w:bCs/>
                <w:color w:val="FFFFFF"/>
                <w:sz w:val="19"/>
                <w:szCs w:val="19"/>
              </w:rPr>
              <w:t xml:space="preserve">Landed Cost con tasas portuarias españolas reales</w:t>
            </w:r>
            <w:r>
              <w:rPr>
                <w:rFonts w:ascii="Arial" w:cs="Arial" w:eastAsia="Arial" w:hAnsi="Arial"/>
                <w:color w:val="CBD5E1"/>
                <w:sz w:val="19"/>
                <w:szCs w:val="19"/>
              </w:rPr>
              <w:t xml:space="preserve">  —  ningún competidor ofrece este cálculo integrado</w:t>
            </w:r>
          </w:p>
          <w:p>
            <w:pPr>
              <w:spacing w:before="30" w:after="30"/>
              <w:ind w:left="200" w:hanging="180"/>
            </w:pPr>
            <w:r>
              <w:rPr>
                <w:rFonts w:ascii="Arial" w:cs="Arial" w:eastAsia="Arial" w:hAnsi="Arial"/>
                <w:b/>
                <w:bCs/>
                <w:color w:val="19A7A0"/>
                <w:sz w:val="19"/>
                <w:szCs w:val="19"/>
              </w:rPr>
              <w:t xml:space="preserve">→  </w:t>
            </w:r>
            <w:r>
              <w:rPr>
                <w:rFonts w:ascii="Arial" w:cs="Arial" w:eastAsia="Arial" w:hAnsi="Arial"/>
                <w:b/>
                <w:bCs/>
                <w:color w:val="FFFFFF"/>
                <w:sz w:val="19"/>
                <w:szCs w:val="19"/>
              </w:rPr>
              <w:t xml:space="preserve">Precio accesible para agencias y PYMEs</w:t>
            </w:r>
            <w:r>
              <w:rPr>
                <w:rFonts w:ascii="Arial" w:cs="Arial" w:eastAsia="Arial" w:hAnsi="Arial"/>
                <w:color w:val="CBD5E1"/>
                <w:sz w:val="19"/>
                <w:szCs w:val="19"/>
              </w:rPr>
              <w:t xml:space="preserve">  —  frente a soluciones enterprise de mercado anglosajón</w:t>
            </w:r>
          </w:p>
          <w:p>
            <w:pPr>
              <w:spacing w:before="30" w:after="30"/>
              <w:ind w:left="200" w:hanging="180"/>
            </w:pPr>
            <w:r>
              <w:rPr>
                <w:rFonts w:ascii="Arial" w:cs="Arial" w:eastAsia="Arial" w:hAnsi="Arial"/>
                <w:b/>
                <w:bCs/>
                <w:color w:val="19A7A0"/>
                <w:sz w:val="19"/>
                <w:szCs w:val="19"/>
              </w:rPr>
              <w:t xml:space="preserve">→  </w:t>
            </w:r>
            <w:r>
              <w:rPr>
                <w:rFonts w:ascii="Arial" w:cs="Arial" w:eastAsia="Arial" w:hAnsi="Arial"/>
                <w:b/>
                <w:bCs/>
                <w:color w:val="FFFFFF"/>
                <w:sz w:val="19"/>
                <w:szCs w:val="19"/>
              </w:rPr>
              <w:t xml:space="preserve">Fundado y operado desde España</w:t>
            </w:r>
            <w:r>
              <w:rPr>
                <w:rFonts w:ascii="Arial" w:cs="Arial" w:eastAsia="Arial" w:hAnsi="Arial"/>
                <w:color w:val="CBD5E1"/>
                <w:sz w:val="19"/>
                <w:szCs w:val="19"/>
              </w:rPr>
              <w:t xml:space="preserve">  —  conocimiento directo del regulador, la operativa y el cliente</w:t>
            </w:r>
          </w:p>
        </w:tc>
      </w:tr>
    </w:tbl>
    <w:p>
      <w:pPr>
        <w:spacing w:before="100" w:after="0"/>
      </w:pPr>
      <w:r>
        <w:t xml:space="preserve"/>
      </w:r>
    </w:p>
    <w:p>
      <w:pPr>
        <w:pBdr>
          <w:bottom w:val="single" w:color="E2E8F0" w:sz="4" w:space="2"/>
        </w:pBdr>
        <w:spacing w:before="100" w:after="10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07  </w:t>
      </w:r>
      <w:r>
        <w:rPr>
          <w:rFonts w:ascii="Arial" w:cs="Arial" w:eastAsia="Arial" w:hAnsi="Arial"/>
          <w:b/>
          <w:bCs/>
          <w:color w:val="0B2447"/>
          <w:sz w:val="30"/>
          <w:szCs w:val="30"/>
        </w:rPr>
        <w:t xml:space="preserve">ESTRATEGIA DE ENTRADA AL MERCADO</w:t>
      </w:r>
    </w:p>
    <w:p>
      <w:pPr>
        <w:spacing w:before="100" w:after="0"/>
      </w:pPr>
      <w:r>
        <w:t xml:space="preserve"/>
      </w:r>
    </w:p>
    <w:p>
      <w:pPr>
        <w:spacing w:before="60" w:after="100" w:line="276" w:lineRule="auto"/>
        <w:jc w:val="both"/>
      </w:pPr>
      <w:r>
        <w:rPr>
          <w:rFonts w:ascii="Arial" w:cs="Arial" w:eastAsia="Arial" w:hAnsi="Arial"/>
          <w:b w:val="false"/>
          <w:bCs w:val="false"/>
          <w:i w:val="false"/>
          <w:iCs w:val="false"/>
          <w:color w:val="4A5568"/>
          <w:sz w:val="22"/>
          <w:szCs w:val="22"/>
        </w:rPr>
        <w:t xml:space="preserve">TaricAI adopta una estrategia de entrada concentrada en el segmento de agencias de aduanas en Madrid como punto de validación inicial, con expansión orgánica al resto de España y posteriormente a Latinoamérica.</w:t>
      </w:r>
    </w:p>
    <w:p>
      <w:pPr>
        <w:spacing w:before="80" w:after="0"/>
      </w:pPr>
      <w:r>
        <w:t xml:space="preserve"/>
      </w:r>
    </w:p>
    <w:p>
      <w:pPr>
        <w:spacing w:before="220" w:after="80"/>
      </w:pPr>
      <w:r>
        <w:rPr>
          <w:rFonts w:ascii="Arial" w:cs="Arial" w:eastAsia="Arial" w:hAnsi="Arial"/>
          <w:b/>
          <w:bCs/>
          <w:color w:val="0B2447"/>
          <w:sz w:val="26"/>
          <w:szCs w:val="26"/>
        </w:rPr>
        <w:t xml:space="preserve">Canales de adquisición</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Piloto de validación (Mes 1–3)</w:t>
      </w:r>
      <w:r>
        <w:rPr>
          <w:rFonts w:ascii="Arial" w:cs="Arial" w:eastAsia="Arial" w:hAnsi="Arial"/>
          <w:color w:val="4A5568"/>
          <w:sz w:val="22"/>
          <w:szCs w:val="22"/>
        </w:rPr>
        <w:t xml:space="preserve">:  selección de 10 agencias de aduanas piloto en el área de Madrid para validación técnica y de producto. Acceso directo a través de la red del advisor sectorial y contactos en el Aeropuerto Adolfo Suárez Madrid-Barajas</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Outbound B2B directo</w:t>
      </w:r>
      <w:r>
        <w:rPr>
          <w:rFonts w:ascii="Arial" w:cs="Arial" w:eastAsia="Arial" w:hAnsi="Arial"/>
          <w:color w:val="4A5568"/>
          <w:sz w:val="22"/>
          <w:szCs w:val="22"/>
        </w:rPr>
        <w:t xml:space="preserve">:  prospección activa en LinkedIn y contacto directo con decisores en agencias de aduanas. Base: más de 1.200 agencias registradas en España</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Presencia en eventos sectoriales</w:t>
      </w:r>
      <w:r>
        <w:rPr>
          <w:rFonts w:ascii="Arial" w:cs="Arial" w:eastAsia="Arial" w:hAnsi="Arial"/>
          <w:color w:val="4A5568"/>
          <w:sz w:val="22"/>
          <w:szCs w:val="22"/>
        </w:rPr>
        <w:t xml:space="preserve">:  participación en eventos de CAADE (Consejo de Agentes de Aduanas), ASEADUA y FETEIA para visibilidad y generación de pipeline</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Programa de referidos</w:t>
      </w:r>
      <w:r>
        <w:rPr>
          <w:rFonts w:ascii="Arial" w:cs="Arial" w:eastAsia="Arial" w:hAnsi="Arial"/>
          <w:color w:val="4A5568"/>
          <w:sz w:val="22"/>
          <w:szCs w:val="22"/>
        </w:rPr>
        <w:t xml:space="preserve">:  incentivo para que clientes activos refieran nuevas agencias. Especialmente efectivo en un sector donde la confianza circula por red personal</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SEO y contenido especializado</w:t>
      </w:r>
      <w:r>
        <w:rPr>
          <w:rFonts w:ascii="Arial" w:cs="Arial" w:eastAsia="Arial" w:hAnsi="Arial"/>
          <w:color w:val="4A5568"/>
          <w:sz w:val="22"/>
          <w:szCs w:val="22"/>
        </w:rPr>
        <w:t xml:space="preserve">:  posicionamiento como referente en clasificación arancelaria TARIC, normativa UE y comercio exterior en España</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Alianzas con asociaciones</w:t>
      </w:r>
      <w:r>
        <w:rPr>
          <w:rFonts w:ascii="Arial" w:cs="Arial" w:eastAsia="Arial" w:hAnsi="Arial"/>
          <w:color w:val="4A5568"/>
          <w:sz w:val="22"/>
          <w:szCs w:val="22"/>
        </w:rPr>
        <w:t xml:space="preserve">:  acuerdos de colaboración con CAADE, ASEADUA y consultoras de comercio exterior para integrar TaricAI como herramienta recomendada</w:t>
      </w:r>
    </w:p>
    <w:p>
      <w:pPr>
        <w:spacing w:before="80" w:after="0"/>
      </w:pPr>
      <w:r>
        <w:t xml:space="preserve"/>
      </w:r>
    </w:p>
    <w:p>
      <w:pPr>
        <w:spacing w:before="220" w:after="80"/>
      </w:pPr>
      <w:r>
        <w:rPr>
          <w:rFonts w:ascii="Arial" w:cs="Arial" w:eastAsia="Arial" w:hAnsi="Arial"/>
          <w:b/>
          <w:bCs/>
          <w:color w:val="0B2447"/>
          <w:sz w:val="26"/>
          <w:szCs w:val="26"/>
        </w:rPr>
        <w:t xml:space="preserve">Propuesta de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A7A0" w:sz="10" w:space="3"/>
              <w:left w:val="single" w:color="19A7A0" w:sz="24" w:space="3"/>
              <w:bottom w:val="single" w:color="19A7A0" w:sz="6" w:space="3"/>
              <w:right w:val="none" w:color="FFFFFF" w:sz="0"/>
            </w:tcBorders>
            <w:shd w:fill="F4F6F9" w:val="clear"/>
            <w:tcMar>
              <w:top w:type="dxa" w:w="200"/>
              <w:left w:type="dxa" w:w="360"/>
              <w:bottom w:type="dxa" w:w="200"/>
              <w:right w:type="dxa" w:w="320"/>
            </w:tcMar>
          </w:tcPr>
          <w:p>
            <w:pPr>
              <w:spacing w:before="0" w:after="40"/>
            </w:pPr>
            <w:r>
              <w:rPr>
                <w:rFonts w:ascii="Arial" w:cs="Arial" w:eastAsia="Arial" w:hAnsi="Arial"/>
                <w:b/>
                <w:bCs/>
                <w:color w:val="0B2447"/>
                <w:sz w:val="20"/>
                <w:szCs w:val="20"/>
              </w:rPr>
              <w:t xml:space="preserve">Programa de acceso anticipado — Beta cerrada</w:t>
            </w:r>
          </w:p>
          <w:p>
            <w:pPr>
              <w:spacing w:before="60" w:after="100" w:line="276" w:lineRule="auto"/>
              <w:jc w:val="both"/>
            </w:pPr>
            <w:r>
              <w:rPr>
                <w:rFonts w:ascii="Arial" w:cs="Arial" w:eastAsia="Arial" w:hAnsi="Arial"/>
                <w:b w:val="false"/>
                <w:bCs w:val="false"/>
                <w:i w:val="false"/>
                <w:iCs w:val="false"/>
                <w:color w:val="4A5568"/>
                <w:sz w:val="18"/>
                <w:szCs w:val="18"/>
              </w:rPr>
              <w:t xml:space="preserve">Las primeras 10 agencias de aduanas que accedan al programa de piloto recibirán acceso gratuito durante 14 días a todas las funcionalidades de TaricAI. A cambio, se comprometen a proporcionar feedback estructurado y a participar en sesiones de validación del producto. Al finalizar el piloto, se les ofrecerá acceso prioritario al plan que mejor se adapte a su volumen de operaciones.</w:t>
            </w:r>
          </w:p>
          <w:p>
            <w:pPr>
              <w:spacing w:before="60" w:after="100" w:line="276" w:lineRule="auto"/>
              <w:jc w:val="both"/>
            </w:pPr>
            <w:r>
              <w:rPr>
                <w:rFonts w:ascii="Arial" w:cs="Arial" w:eastAsia="Arial" w:hAnsi="Arial"/>
                <w:b w:val="false"/>
                <w:bCs w:val="false"/>
                <w:i/>
                <w:iCs/>
                <w:color w:val="4A5568"/>
                <w:sz w:val="18"/>
                <w:szCs w:val="18"/>
              </w:rPr>
              <w:t xml:space="preserve">Criterios de selección: agencias activas con al menos 5 operaciones diarias, ubicadas preferentemente en Madrid o principales puertos/aeropuertos de España.</w:t>
            </w:r>
          </w:p>
        </w:tc>
      </w:tr>
    </w:tbl>
    <w:p>
      <w:pPr>
        <w:spacing w:before="100" w:after="0"/>
      </w:pPr>
      <w:r>
        <w:t xml:space="preserve"/>
      </w:r>
    </w:p>
    <w:p>
      <w:pPr>
        <w:pBdr>
          <w:bottom w:val="single" w:color="E2E8F0" w:sz="4" w:space="2"/>
        </w:pBdr>
        <w:spacing w:before="100" w:after="10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08  </w:t>
      </w:r>
      <w:r>
        <w:rPr>
          <w:rFonts w:ascii="Arial" w:cs="Arial" w:eastAsia="Arial" w:hAnsi="Arial"/>
          <w:b/>
          <w:bCs/>
          <w:color w:val="0B2447"/>
          <w:sz w:val="30"/>
          <w:szCs w:val="30"/>
        </w:rPr>
        <w:t xml:space="preserve">EL EQUIPO FUNDADOR</w:t>
      </w:r>
    </w:p>
    <w:p>
      <w:pPr>
        <w:spacing w:before="100" w:after="0"/>
      </w:pPr>
      <w:r>
        <w:t xml:space="preserve"/>
      </w:r>
    </w:p>
    <w:p>
      <w:pPr>
        <w:spacing w:before="60" w:after="100" w:line="276" w:lineRule="auto"/>
        <w:jc w:val="both"/>
      </w:pPr>
      <w:r>
        <w:rPr>
          <w:rFonts w:ascii="Arial" w:cs="Arial" w:eastAsia="Arial" w:hAnsi="Arial"/>
          <w:b w:val="false"/>
          <w:bCs w:val="false"/>
          <w:i w:val="false"/>
          <w:iCs w:val="false"/>
          <w:color w:val="4A5568"/>
          <w:sz w:val="22"/>
          <w:szCs w:val="22"/>
        </w:rPr>
        <w:t xml:space="preserve">TaricAI está respaldado por tres perfiles complementarios que combinan el conocimiento del dominio de negocio, la capacidad tecnológica y la experiencia sectorial de décadas.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shd w:fill="1B4DA0" w:val="clear"/>
            <w:tcMar>
              <w:top w:type="dxa" w:w="240"/>
              <w:left w:type="dxa" w:w="240"/>
              <w:bottom w:type="dxa" w:w="240"/>
              <w:right w:type="dxa" w:w="200"/>
            </w:tcMar>
            <w:vAlign w:val="center"/>
          </w:tcPr>
          <w:p>
            <w:pPr>
              <w:spacing w:before="0" w:after="30"/>
              <w:jc w:val="center"/>
            </w:pPr>
            <w:r>
              <w:rPr>
                <w:rFonts w:ascii="Arial" w:cs="Arial" w:eastAsia="Arial" w:hAnsi="Arial"/>
                <w:b/>
                <w:bCs/>
                <w:color w:val="FFFFFF"/>
                <w:sz w:val="32"/>
                <w:szCs w:val="32"/>
              </w:rPr>
              <w:t xml:space="preserve">CEO</w:t>
            </w:r>
          </w:p>
          <w:p>
            <w:pPr>
              <w:spacing w:before="0" w:after="0"/>
              <w:jc w:val="center"/>
            </w:pPr>
            <w:r>
              <w:rPr>
                <w:rFonts w:ascii="Arial" w:cs="Arial" w:eastAsia="Arial" w:hAnsi="Arial"/>
                <w:color w:val="BFDBFE"/>
                <w:sz w:val="18"/>
                <w:szCs w:val="18"/>
              </w:rPr>
              <w:t xml:space="preserve">&amp; Founder</w:t>
            </w:r>
          </w:p>
        </w:tc>
        <w:tc>
          <w:tcPr>
            <w:tcBorders>
              <w:top w:val="none" w:color="FFFFFF" w:sz="0"/>
              <w:left w:val="none" w:color="FFFFFF" w:sz="0"/>
              <w:bottom w:val="none" w:color="FFFFFF" w:sz="0"/>
              <w:right w:val="none" w:color="FFFFFF" w:sz="0"/>
            </w:tcBorders>
            <w:shd w:fill="F4F6F9" w:val="clear"/>
            <w:tcMar>
              <w:top w:type="dxa" w:w="200"/>
              <w:left w:type="dxa" w:w="280"/>
              <w:bottom w:type="dxa" w:w="200"/>
              <w:right w:type="dxa" w:w="240"/>
            </w:tcMar>
          </w:tcPr>
          <w:p>
            <w:pPr>
              <w:spacing w:before="0" w:after="30"/>
            </w:pPr>
            <w:r>
              <w:rPr>
                <w:rFonts w:ascii="Arial" w:cs="Arial" w:eastAsia="Arial" w:hAnsi="Arial"/>
                <w:b/>
                <w:bCs/>
                <w:color w:val="0B2447"/>
                <w:sz w:val="23"/>
                <w:szCs w:val="23"/>
              </w:rPr>
              <w:t xml:space="preserve">Kevin Daniel Suárez Largo</w:t>
            </w:r>
          </w:p>
          <w:p>
            <w:pPr>
              <w:spacing w:before="0" w:after="80"/>
            </w:pPr>
            <w:r>
              <w:rPr>
                <w:rFonts w:ascii="Arial" w:cs="Arial" w:eastAsia="Arial" w:hAnsi="Arial"/>
                <w:color w:val="19A7A0"/>
                <w:sz w:val="18"/>
                <w:szCs w:val="18"/>
              </w:rPr>
              <w:t xml:space="preserve">Estrategia de negocio · Dominio sectorial · Relaciones institucionales</w:t>
            </w:r>
          </w:p>
          <w:p>
            <w:pPr>
              <w:spacing w:before="0" w:after="60"/>
            </w:pPr>
            <w:r>
              <w:rPr>
                <w:rFonts w:ascii="Arial" w:cs="Arial" w:eastAsia="Arial" w:hAnsi="Arial"/>
                <w:color w:val="4A5568"/>
                <w:sz w:val="20"/>
                <w:szCs w:val="20"/>
              </w:rPr>
              <w:t xml:space="preserve">Licenciado en Comercio Exterior. Máster en Comercio Internacional, Logística y Negocios Internacionales en EUDE Business School, Madrid (2025–2026). Colombiano, 21 años, residente en Madrid. Conocimiento directo del sistema arancelario TARIC, la operativa aduanera española y las particularidades del comercio exterior latinoamericano. Fundador de TaricAI como respuesta a un problema que estudió y experimentó durante su formación académica.</w:t>
            </w:r>
          </w:p>
          <w:p>
            <w:pPr>
              <w:spacing w:before="0" w:after="0"/>
            </w:pPr>
            <w:r>
              <w:rPr>
                <w:rFonts w:ascii="Arial" w:cs="Arial" w:eastAsia="Arial" w:hAnsi="Arial"/>
                <w:b/>
                <w:bCs/>
                <w:color w:val="1B4DA0"/>
                <w:sz w:val="16"/>
                <w:szCs w:val="16"/>
              </w:rPr>
              <w:t xml:space="preserve"> Comercio exterior </w:t>
            </w:r>
            <w:r>
              <w:rPr>
                <w:rFonts w:ascii="Arial" w:cs="Arial" w:eastAsia="Arial" w:hAnsi="Arial"/>
                <w:color w:val="E2E8F0"/>
                <w:sz w:val="16"/>
                <w:szCs w:val="16"/>
              </w:rPr>
              <w:t xml:space="preserve"> · </w:t>
            </w:r>
            <w:r>
              <w:rPr>
                <w:rFonts w:ascii="Arial" w:cs="Arial" w:eastAsia="Arial" w:hAnsi="Arial"/>
                <w:b/>
                <w:bCs/>
                <w:color w:val="1B4DA0"/>
                <w:sz w:val="16"/>
                <w:szCs w:val="16"/>
              </w:rPr>
              <w:t xml:space="preserve"> Normativa TARIC/AEAT </w:t>
            </w:r>
            <w:r>
              <w:rPr>
                <w:rFonts w:ascii="Arial" w:cs="Arial" w:eastAsia="Arial" w:hAnsi="Arial"/>
                <w:color w:val="E2E8F0"/>
                <w:sz w:val="16"/>
                <w:szCs w:val="16"/>
              </w:rPr>
              <w:t xml:space="preserve"> · </w:t>
            </w:r>
            <w:r>
              <w:rPr>
                <w:rFonts w:ascii="Arial" w:cs="Arial" w:eastAsia="Arial" w:hAnsi="Arial"/>
                <w:b/>
                <w:bCs/>
                <w:color w:val="1B4DA0"/>
                <w:sz w:val="16"/>
                <w:szCs w:val="16"/>
              </w:rPr>
              <w:t xml:space="preserve"> Estrategia B2B </w:t>
            </w:r>
            <w:r>
              <w:rPr>
                <w:rFonts w:ascii="Arial" w:cs="Arial" w:eastAsia="Arial" w:hAnsi="Arial"/>
                <w:color w:val="E2E8F0"/>
                <w:sz w:val="16"/>
                <w:szCs w:val="16"/>
              </w:rPr>
              <w:t xml:space="preserve"> · </w:t>
            </w:r>
            <w:r>
              <w:rPr>
                <w:rFonts w:ascii="Arial" w:cs="Arial" w:eastAsia="Arial" w:hAnsi="Arial"/>
                <w:b/>
                <w:bCs/>
                <w:color w:val="1B4DA0"/>
                <w:sz w:val="16"/>
                <w:szCs w:val="16"/>
              </w:rPr>
              <w:t xml:space="preserve"> Mercado iberoamericano </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shd w:fill="19A7A0" w:val="clear"/>
            <w:tcMar>
              <w:top w:type="dxa" w:w="240"/>
              <w:left w:type="dxa" w:w="240"/>
              <w:bottom w:type="dxa" w:w="240"/>
              <w:right w:type="dxa" w:w="200"/>
            </w:tcMar>
            <w:vAlign w:val="center"/>
          </w:tcPr>
          <w:p>
            <w:pPr>
              <w:spacing w:before="0" w:after="30"/>
              <w:jc w:val="center"/>
            </w:pPr>
            <w:r>
              <w:rPr>
                <w:rFonts w:ascii="Arial" w:cs="Arial" w:eastAsia="Arial" w:hAnsi="Arial"/>
                <w:b/>
                <w:bCs/>
                <w:color w:val="FFFFFF"/>
                <w:sz w:val="32"/>
                <w:szCs w:val="32"/>
              </w:rPr>
              <w:t xml:space="preserve">CTO</w:t>
            </w:r>
          </w:p>
          <w:p>
            <w:pPr>
              <w:spacing w:before="0" w:after="0"/>
              <w:jc w:val="center"/>
            </w:pPr>
            <w:r>
              <w:rPr>
                <w:rFonts w:ascii="Arial" w:cs="Arial" w:eastAsia="Arial" w:hAnsi="Arial"/>
                <w:color w:val="CCFBF1"/>
                <w:sz w:val="18"/>
                <w:szCs w:val="18"/>
              </w:rPr>
              <w:t xml:space="preserve">&amp; Co-Founder</w:t>
            </w:r>
          </w:p>
        </w:tc>
        <w:tc>
          <w:tcPr>
            <w:tcBorders>
              <w:top w:val="none" w:color="FFFFFF" w:sz="0"/>
              <w:left w:val="none" w:color="FFFFFF" w:sz="0"/>
              <w:bottom w:val="none" w:color="FFFFFF" w:sz="0"/>
              <w:right w:val="none" w:color="FFFFFF" w:sz="0"/>
            </w:tcBorders>
            <w:shd w:fill="F4F6F9" w:val="clear"/>
            <w:tcMar>
              <w:top w:type="dxa" w:w="200"/>
              <w:left w:type="dxa" w:w="280"/>
              <w:bottom w:type="dxa" w:w="200"/>
              <w:right w:type="dxa" w:w="240"/>
            </w:tcMar>
          </w:tcPr>
          <w:p>
            <w:pPr>
              <w:spacing w:before="0" w:after="30"/>
            </w:pPr>
            <w:r>
              <w:rPr>
                <w:rFonts w:ascii="Arial" w:cs="Arial" w:eastAsia="Arial" w:hAnsi="Arial"/>
                <w:b/>
                <w:bCs/>
                <w:color w:val="0B2447"/>
                <w:sz w:val="23"/>
                <w:szCs w:val="23"/>
              </w:rPr>
              <w:t xml:space="preserve">Anderson de Jesús Escorcia Hernández</w:t>
            </w:r>
          </w:p>
          <w:p>
            <w:pPr>
              <w:spacing w:before="0" w:after="80"/>
            </w:pPr>
            <w:r>
              <w:rPr>
                <w:rFonts w:ascii="Arial" w:cs="Arial" w:eastAsia="Arial" w:hAnsi="Arial"/>
                <w:color w:val="19A7A0"/>
                <w:sz w:val="18"/>
                <w:szCs w:val="18"/>
              </w:rPr>
              <w:t xml:space="preserve">Arquitectura técnica · Inteligencia artificial · Desarrollo de producto</w:t>
            </w:r>
          </w:p>
          <w:p>
            <w:pPr>
              <w:spacing w:before="0" w:after="60"/>
            </w:pPr>
            <w:r>
              <w:rPr>
                <w:rFonts w:ascii="Arial" w:cs="Arial" w:eastAsia="Arial" w:hAnsi="Arial"/>
                <w:color w:val="4A5568"/>
                <w:sz w:val="20"/>
                <w:szCs w:val="20"/>
              </w:rPr>
              <w:t xml:space="preserve">Ingeniero en Sistemas de Computación, Colombia. Responsable del diseño e implementación de toda la arquitectura técnica de TaricAI: el motor de clasificación con modelos de lenguaje, la integración con fuentes de datos oficiales, y el desarrollo del agente conversacional. Opera en remoto desde Colombia como co-fundador con participación real en el proyecto. Su perfil técnico especializado complementa el conocimiento del negocio que aporta Kevin.</w:t>
            </w:r>
          </w:p>
          <w:p>
            <w:pPr>
              <w:spacing w:before="0" w:after="0"/>
            </w:pPr>
            <w:r>
              <w:rPr>
                <w:rFonts w:ascii="Arial" w:cs="Arial" w:eastAsia="Arial" w:hAnsi="Arial"/>
                <w:b/>
                <w:bCs/>
                <w:color w:val="19A7A0"/>
                <w:sz w:val="16"/>
                <w:szCs w:val="16"/>
              </w:rPr>
              <w:t xml:space="preserve"> Python · FastAPI </w:t>
            </w:r>
            <w:r>
              <w:rPr>
                <w:rFonts w:ascii="Arial" w:cs="Arial" w:eastAsia="Arial" w:hAnsi="Arial"/>
                <w:color w:val="E2E8F0"/>
                <w:sz w:val="16"/>
                <w:szCs w:val="16"/>
              </w:rPr>
              <w:t xml:space="preserve"> · </w:t>
            </w:r>
            <w:r>
              <w:rPr>
                <w:rFonts w:ascii="Arial" w:cs="Arial" w:eastAsia="Arial" w:hAnsi="Arial"/>
                <w:b/>
                <w:bCs/>
                <w:color w:val="19A7A0"/>
                <w:sz w:val="16"/>
                <w:szCs w:val="16"/>
              </w:rPr>
              <w:t xml:space="preserve"> LLMs y Agentes IA </w:t>
            </w:r>
            <w:r>
              <w:rPr>
                <w:rFonts w:ascii="Arial" w:cs="Arial" w:eastAsia="Arial" w:hAnsi="Arial"/>
                <w:color w:val="E2E8F0"/>
                <w:sz w:val="16"/>
                <w:szCs w:val="16"/>
              </w:rPr>
              <w:t xml:space="preserve"> · </w:t>
            </w:r>
            <w:r>
              <w:rPr>
                <w:rFonts w:ascii="Arial" w:cs="Arial" w:eastAsia="Arial" w:hAnsi="Arial"/>
                <w:b/>
                <w:bCs/>
                <w:color w:val="19A7A0"/>
                <w:sz w:val="16"/>
                <w:szCs w:val="16"/>
              </w:rPr>
              <w:t xml:space="preserve"> Arquitectura cloud </w:t>
            </w:r>
            <w:r>
              <w:rPr>
                <w:rFonts w:ascii="Arial" w:cs="Arial" w:eastAsia="Arial" w:hAnsi="Arial"/>
                <w:color w:val="E2E8F0"/>
                <w:sz w:val="16"/>
                <w:szCs w:val="16"/>
              </w:rPr>
              <w:t xml:space="preserve"> · </w:t>
            </w:r>
            <w:r>
              <w:rPr>
                <w:rFonts w:ascii="Arial" w:cs="Arial" w:eastAsia="Arial" w:hAnsi="Arial"/>
                <w:b/>
                <w:bCs/>
                <w:color w:val="19A7A0"/>
                <w:sz w:val="16"/>
                <w:szCs w:val="16"/>
              </w:rPr>
              <w:t xml:space="preserve"> Integración de APIs </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shd w:fill="1A7A4A" w:val="clear"/>
            <w:tcMar>
              <w:top w:type="dxa" w:w="240"/>
              <w:left w:type="dxa" w:w="240"/>
              <w:bottom w:type="dxa" w:w="240"/>
              <w:right w:type="dxa" w:w="200"/>
            </w:tcMar>
            <w:vAlign w:val="center"/>
          </w:tcPr>
          <w:p>
            <w:pPr>
              <w:spacing w:before="0" w:after="30"/>
              <w:jc w:val="center"/>
            </w:pPr>
            <w:r>
              <w:rPr>
                <w:rFonts w:ascii="Arial" w:cs="Arial" w:eastAsia="Arial" w:hAnsi="Arial"/>
                <w:b/>
                <w:bCs/>
                <w:color w:val="FFFFFF"/>
                <w:sz w:val="25"/>
                <w:szCs w:val="25"/>
              </w:rPr>
              <w:t xml:space="preserve">ADVISOR</w:t>
            </w:r>
          </w:p>
          <w:p>
            <w:pPr>
              <w:spacing w:before="0" w:after="0"/>
              <w:jc w:val="center"/>
            </w:pPr>
            <w:r>
              <w:rPr>
                <w:rFonts w:ascii="Arial" w:cs="Arial" w:eastAsia="Arial" w:hAnsi="Arial"/>
                <w:color w:val="D1FAE5"/>
                <w:sz w:val="18"/>
                <w:szCs w:val="18"/>
              </w:rPr>
              <w:t xml:space="preserve">Sectorial</w:t>
            </w:r>
          </w:p>
        </w:tc>
        <w:tc>
          <w:tcPr>
            <w:tcBorders>
              <w:top w:val="none" w:color="FFFFFF" w:sz="0"/>
              <w:left w:val="none" w:color="FFFFFF" w:sz="0"/>
              <w:bottom w:val="none" w:color="FFFFFF" w:sz="0"/>
              <w:right w:val="none" w:color="FFFFFF" w:sz="0"/>
            </w:tcBorders>
            <w:shd w:fill="F4F6F9" w:val="clear"/>
            <w:tcMar>
              <w:top w:type="dxa" w:w="200"/>
              <w:left w:type="dxa" w:w="280"/>
              <w:bottom w:type="dxa" w:w="200"/>
              <w:right w:type="dxa" w:w="240"/>
            </w:tcMar>
          </w:tcPr>
          <w:p>
            <w:pPr>
              <w:spacing w:before="0" w:after="30"/>
            </w:pPr>
            <w:r>
              <w:rPr>
                <w:rFonts w:ascii="Arial" w:cs="Arial" w:eastAsia="Arial" w:hAnsi="Arial"/>
                <w:b/>
                <w:bCs/>
                <w:color w:val="0B2447"/>
                <w:sz w:val="23"/>
                <w:szCs w:val="23"/>
              </w:rPr>
              <w:t xml:space="preserve">Pelayo Serrano García</w:t>
            </w:r>
          </w:p>
          <w:p>
            <w:pPr>
              <w:spacing w:before="0" w:after="80"/>
            </w:pPr>
            <w:r>
              <w:rPr>
                <w:rFonts w:ascii="Arial" w:cs="Arial" w:eastAsia="Arial" w:hAnsi="Arial"/>
                <w:color w:val="1A7A4A"/>
                <w:sz w:val="18"/>
                <w:szCs w:val="18"/>
              </w:rPr>
              <w:t xml:space="preserve">Validación técnica · Red sectorial · Credibilidad institucional</w:t>
            </w:r>
          </w:p>
          <w:p>
            <w:pPr>
              <w:spacing w:before="0" w:after="60"/>
            </w:pPr>
            <w:r>
              <w:rPr>
                <w:rFonts w:ascii="Arial" w:cs="Arial" w:eastAsia="Arial" w:hAnsi="Arial"/>
                <w:color w:val="4A5568"/>
                <w:sz w:val="20"/>
                <w:szCs w:val="20"/>
              </w:rPr>
              <w:t xml:space="preserve">Representante Aduanero Autorizado (RAA). Coordinador de Aduanas en AIR-PORT-TIR FORWARDERS, Madrid. Más de 38 años de trayectoria continua en el sector aduanero español. Fundó el departamento de aduanas de EAS Internacional España S.A. (Kerry Logistics) en 1995. Actualmente docente en EUDE Business School, institución donde Kevin cursa su Máster, lo que garantiza una relación de trabajo cercana y continua. Aporta validación técnica del producto, acceso a la red de operadores del sector y credibilidad ante agencias y reguladores.</w:t>
            </w:r>
          </w:p>
          <w:p>
            <w:pPr>
              <w:spacing w:before="0" w:after="0"/>
            </w:pPr>
            <w:r>
              <w:rPr>
                <w:rFonts w:ascii="Arial" w:cs="Arial" w:eastAsia="Arial" w:hAnsi="Arial"/>
                <w:b/>
                <w:bCs/>
                <w:color w:val="1A7A4A"/>
                <w:sz w:val="16"/>
                <w:szCs w:val="16"/>
              </w:rPr>
              <w:t xml:space="preserve"> +38 años en aduanas España </w:t>
            </w:r>
            <w:r>
              <w:rPr>
                <w:rFonts w:ascii="Arial" w:cs="Arial" w:eastAsia="Arial" w:hAnsi="Arial"/>
                <w:color w:val="E2E8F0"/>
                <w:sz w:val="16"/>
                <w:szCs w:val="16"/>
              </w:rPr>
              <w:t xml:space="preserve"> · </w:t>
            </w:r>
            <w:r>
              <w:rPr>
                <w:rFonts w:ascii="Arial" w:cs="Arial" w:eastAsia="Arial" w:hAnsi="Arial"/>
                <w:b/>
                <w:bCs/>
                <w:color w:val="1A7A4A"/>
                <w:sz w:val="16"/>
                <w:szCs w:val="16"/>
              </w:rPr>
              <w:t xml:space="preserve"> RAA — Rep. Aduanero Autorizado </w:t>
            </w:r>
            <w:r>
              <w:rPr>
                <w:rFonts w:ascii="Arial" w:cs="Arial" w:eastAsia="Arial" w:hAnsi="Arial"/>
                <w:color w:val="E2E8F0"/>
                <w:sz w:val="16"/>
                <w:szCs w:val="16"/>
              </w:rPr>
              <w:t xml:space="preserve"> · </w:t>
            </w:r>
            <w:r>
              <w:rPr>
                <w:rFonts w:ascii="Arial" w:cs="Arial" w:eastAsia="Arial" w:hAnsi="Arial"/>
                <w:b/>
                <w:bCs/>
                <w:color w:val="1A7A4A"/>
                <w:sz w:val="16"/>
                <w:szCs w:val="16"/>
              </w:rPr>
              <w:t xml:space="preserve"> Docente EUDE </w:t>
            </w:r>
            <w:r>
              <w:rPr>
                <w:rFonts w:ascii="Arial" w:cs="Arial" w:eastAsia="Arial" w:hAnsi="Arial"/>
                <w:color w:val="E2E8F0"/>
                <w:sz w:val="16"/>
                <w:szCs w:val="16"/>
              </w:rPr>
              <w:t xml:space="preserve"> · </w:t>
            </w:r>
            <w:r>
              <w:rPr>
                <w:rFonts w:ascii="Arial" w:cs="Arial" w:eastAsia="Arial" w:hAnsi="Arial"/>
                <w:b/>
                <w:bCs/>
                <w:color w:val="1A7A4A"/>
                <w:sz w:val="16"/>
                <w:szCs w:val="16"/>
              </w:rPr>
              <w:t xml:space="preserve"> Red OEA · AEAT · CAADE </w:t>
            </w:r>
          </w:p>
        </w:tc>
      </w:tr>
    </w:tbl>
    <w:p>
      <w:pPr>
        <w:spacing w:before="100" w:after="0"/>
      </w:pPr>
      <w:r>
        <w:t xml:space="preserve"/>
      </w:r>
    </w:p>
    <w:p>
      <w:pPr>
        <w:pBdr>
          <w:bottom w:val="single" w:color="E2E8F0" w:sz="4" w:space="2"/>
        </w:pBdr>
        <w:spacing w:before="100" w:after="10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09  </w:t>
      </w:r>
      <w:r>
        <w:rPr>
          <w:rFonts w:ascii="Arial" w:cs="Arial" w:eastAsia="Arial" w:hAnsi="Arial"/>
          <w:b/>
          <w:bCs/>
          <w:color w:val="0B2447"/>
          <w:sz w:val="30"/>
          <w:szCs w:val="30"/>
        </w:rPr>
        <w:t xml:space="preserve">HOJA DE RUTA — 24 MESES</w:t>
      </w:r>
    </w:p>
    <w:p>
      <w:pPr>
        <w:spacing w:before="100" w:after="0"/>
      </w:pPr>
      <w:r>
        <w:t xml:space="preserve"/>
      </w:r>
    </w:p>
    <w:p>
      <w:pPr>
        <w:spacing w:before="60" w:after="100" w:line="276" w:lineRule="auto"/>
        <w:jc w:val="both"/>
      </w:pPr>
      <w:r>
        <w:rPr>
          <w:rFonts w:ascii="Arial" w:cs="Arial" w:eastAsia="Arial" w:hAnsi="Arial"/>
          <w:b w:val="false"/>
          <w:bCs w:val="false"/>
          <w:i w:val="false"/>
          <w:iCs w:val="false"/>
          <w:color w:val="4A5568"/>
          <w:sz w:val="22"/>
          <w:szCs w:val="22"/>
        </w:rPr>
        <w:t xml:space="preserve">El desarrollo de TaricAI sigue una hoja de ruta en cuatro fases, desde la constitución legal y el primer MVP hasta la consolidación en España y la expansión a Latinoamérica.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B4DA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M1–3</w:t>
            </w:r>
          </w:p>
          <w:p>
            <w:pPr>
              <w:jc w:val="center"/>
            </w:pPr>
            <w:r>
              <w:rPr>
                <w:rFonts w:ascii="Arial" w:cs="Arial" w:eastAsia="Arial" w:hAnsi="Arial"/>
                <w:color w:val="D1FAE5"/>
                <w:sz w:val="15"/>
                <w:szCs w:val="15"/>
              </w:rPr>
              <w:t xml:space="preserve">FUNDACIÓN</w:t>
            </w:r>
          </w:p>
        </w:tc>
        <w:tc>
          <w:tcPr>
            <w:tcBorders>
              <w:top w:val="none" w:color="FFFFFF" w:sz="0"/>
              <w:left w:val="none" w:color="FFFFFF" w:sz="0"/>
              <w:bottom w:val="none" w:color="FFFFFF" w:sz="0"/>
              <w:right w:val="none" w:color="FFFFFF" w:sz="0"/>
            </w:tcBorders>
            <w:shd w:fill="F4F6F9" w:val="clear"/>
            <w:tcMar>
              <w:top w:type="dxa" w:w="120"/>
              <w:left w:type="dxa" w:w="240"/>
              <w:bottom w:type="dxa" w:w="120"/>
              <w:right w:type="dxa" w:w="200"/>
            </w:tcMar>
          </w:tcPr>
          <w:p>
            <w:pPr>
              <w:spacing w:before="20" w:after="20"/>
              <w:ind w:left="200" w:hanging="180"/>
            </w:pPr>
            <w:r>
              <w:rPr>
                <w:rFonts w:ascii="Arial" w:cs="Arial" w:eastAsia="Arial" w:hAnsi="Arial"/>
                <w:b/>
                <w:bCs/>
                <w:color w:val="1B4DA0"/>
                <w:sz w:val="18"/>
                <w:szCs w:val="18"/>
              </w:rPr>
              <w:t xml:space="preserve">→  </w:t>
            </w:r>
            <w:r>
              <w:rPr>
                <w:rFonts w:ascii="Arial" w:cs="Arial" w:eastAsia="Arial" w:hAnsi="Arial"/>
                <w:color w:val="4A5568"/>
                <w:sz w:val="20"/>
                <w:szCs w:val="20"/>
              </w:rPr>
              <w:t xml:space="preserve">Constitución de la SL en Madrid y tramitación legal completa</w:t>
            </w:r>
          </w:p>
          <w:p>
            <w:pPr>
              <w:spacing w:before="20" w:after="20"/>
              <w:ind w:left="200" w:hanging="180"/>
            </w:pPr>
            <w:r>
              <w:rPr>
                <w:rFonts w:ascii="Arial" w:cs="Arial" w:eastAsia="Arial" w:hAnsi="Arial"/>
                <w:b/>
                <w:bCs/>
                <w:color w:val="1B4DA0"/>
                <w:sz w:val="18"/>
                <w:szCs w:val="18"/>
              </w:rPr>
              <w:t xml:space="preserve">→  </w:t>
            </w:r>
            <w:r>
              <w:rPr>
                <w:rFonts w:ascii="Arial" w:cs="Arial" w:eastAsia="Arial" w:hAnsi="Arial"/>
                <w:color w:val="4A5568"/>
                <w:sz w:val="20"/>
                <w:szCs w:val="20"/>
              </w:rPr>
              <w:t xml:space="preserve">Desarrollo del MVP: motor de clasificación TARIC + integración fuentes oficiales</w:t>
            </w:r>
          </w:p>
          <w:p>
            <w:pPr>
              <w:spacing w:before="20" w:after="20"/>
              <w:ind w:left="200" w:hanging="180"/>
            </w:pPr>
            <w:r>
              <w:rPr>
                <w:rFonts w:ascii="Arial" w:cs="Arial" w:eastAsia="Arial" w:hAnsi="Arial"/>
                <w:b/>
                <w:bCs/>
                <w:color w:val="1B4DA0"/>
                <w:sz w:val="18"/>
                <w:szCs w:val="18"/>
              </w:rPr>
              <w:t xml:space="preserve">→  </w:t>
            </w:r>
            <w:r>
              <w:rPr>
                <w:rFonts w:ascii="Arial" w:cs="Arial" w:eastAsia="Arial" w:hAnsi="Arial"/>
                <w:color w:val="4A5568"/>
                <w:sz w:val="20"/>
                <w:szCs w:val="20"/>
              </w:rPr>
              <w:t xml:space="preserve">Activación de 10 agencias piloto gratuitas para validación del producto</w:t>
            </w:r>
          </w:p>
          <w:p>
            <w:pPr>
              <w:spacing w:before="20" w:after="20"/>
              <w:ind w:left="200" w:hanging="180"/>
            </w:pPr>
            <w:r>
              <w:rPr>
                <w:rFonts w:ascii="Arial" w:cs="Arial" w:eastAsia="Arial" w:hAnsi="Arial"/>
                <w:b/>
                <w:bCs/>
                <w:color w:val="1B4DA0"/>
                <w:sz w:val="18"/>
                <w:szCs w:val="18"/>
              </w:rPr>
              <w:t xml:space="preserve">→  </w:t>
            </w:r>
            <w:r>
              <w:rPr>
                <w:rFonts w:ascii="Arial" w:cs="Arial" w:eastAsia="Arial" w:hAnsi="Arial"/>
                <w:color w:val="4A5568"/>
                <w:sz w:val="20"/>
                <w:szCs w:val="20"/>
              </w:rPr>
              <w:t xml:space="preserve">Firma de carta de asesoramiento con Pelayo Serrano García (Advisor)</w:t>
            </w:r>
          </w:p>
          <w:p>
            <w:pPr>
              <w:spacing w:before="20" w:after="20"/>
              <w:ind w:left="200" w:hanging="180"/>
            </w:pPr>
            <w:r>
              <w:rPr>
                <w:rFonts w:ascii="Arial" w:cs="Arial" w:eastAsia="Arial" w:hAnsi="Arial"/>
                <w:b/>
                <w:bCs/>
                <w:color w:val="1B4DA0"/>
                <w:sz w:val="18"/>
                <w:szCs w:val="18"/>
              </w:rPr>
              <w:t xml:space="preserve">→  </w:t>
            </w:r>
            <w:r>
              <w:rPr>
                <w:rFonts w:ascii="Arial" w:cs="Arial" w:eastAsia="Arial" w:hAnsi="Arial"/>
                <w:color w:val="4A5568"/>
                <w:sz w:val="20"/>
                <w:szCs w:val="20"/>
              </w:rPr>
              <w:t xml:space="preserve">Solicitud de reconocimiento como empresa emergente (Ley 28/2022)</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9A7A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M4–6</w:t>
            </w:r>
          </w:p>
          <w:p>
            <w:pPr>
              <w:jc w:val="center"/>
            </w:pPr>
            <w:r>
              <w:rPr>
                <w:rFonts w:ascii="Arial" w:cs="Arial" w:eastAsia="Arial" w:hAnsi="Arial"/>
                <w:color w:val="D1FAE5"/>
                <w:sz w:val="15"/>
                <w:szCs w:val="15"/>
              </w:rPr>
              <w:t xml:space="preserve">VALIDACIÓN</w:t>
            </w:r>
          </w:p>
        </w:tc>
        <w:tc>
          <w:tcPr>
            <w:tcBorders>
              <w:top w:val="none" w:color="FFFFFF" w:sz="0"/>
              <w:left w:val="none" w:color="FFFFFF" w:sz="0"/>
              <w:bottom w:val="none" w:color="FFFFFF" w:sz="0"/>
              <w:right w:val="none" w:color="FFFFFF" w:sz="0"/>
            </w:tcBorders>
            <w:shd w:fill="F4F6F9" w:val="clear"/>
            <w:tcMar>
              <w:top w:type="dxa" w:w="120"/>
              <w:left w:type="dxa" w:w="240"/>
              <w:bottom w:type="dxa" w:w="120"/>
              <w:right w:type="dxa" w:w="200"/>
            </w:tcMar>
          </w:tcPr>
          <w:p>
            <w:pPr>
              <w:spacing w:before="20" w:after="20"/>
              <w:ind w:left="200" w:hanging="180"/>
            </w:pPr>
            <w:r>
              <w:rPr>
                <w:rFonts w:ascii="Arial" w:cs="Arial" w:eastAsia="Arial" w:hAnsi="Arial"/>
                <w:b/>
                <w:bCs/>
                <w:color w:val="19A7A0"/>
                <w:sz w:val="18"/>
                <w:szCs w:val="18"/>
              </w:rPr>
              <w:t xml:space="preserve">→  </w:t>
            </w:r>
            <w:r>
              <w:rPr>
                <w:rFonts w:ascii="Arial" w:cs="Arial" w:eastAsia="Arial" w:hAnsi="Arial"/>
                <w:color w:val="4A5568"/>
                <w:sz w:val="20"/>
                <w:szCs w:val="20"/>
              </w:rPr>
              <w:t xml:space="preserve">Conversión de pilotos a primeros clientes de pago</w:t>
            </w:r>
          </w:p>
          <w:p>
            <w:pPr>
              <w:spacing w:before="20" w:after="20"/>
              <w:ind w:left="200" w:hanging="180"/>
            </w:pPr>
            <w:r>
              <w:rPr>
                <w:rFonts w:ascii="Arial" w:cs="Arial" w:eastAsia="Arial" w:hAnsi="Arial"/>
                <w:b/>
                <w:bCs/>
                <w:color w:val="19A7A0"/>
                <w:sz w:val="18"/>
                <w:szCs w:val="18"/>
              </w:rPr>
              <w:t xml:space="preserve">→  </w:t>
            </w:r>
            <w:r>
              <w:rPr>
                <w:rFonts w:ascii="Arial" w:cs="Arial" w:eastAsia="Arial" w:hAnsi="Arial"/>
                <w:color w:val="4A5568"/>
                <w:sz w:val="20"/>
                <w:szCs w:val="20"/>
              </w:rPr>
              <w:t xml:space="preserve">Lanzamiento de la plataforma pública en taricai.es</w:t>
            </w:r>
          </w:p>
          <w:p>
            <w:pPr>
              <w:spacing w:before="20" w:after="20"/>
              <w:ind w:left="200" w:hanging="180"/>
            </w:pPr>
            <w:r>
              <w:rPr>
                <w:rFonts w:ascii="Arial" w:cs="Arial" w:eastAsia="Arial" w:hAnsi="Arial"/>
                <w:b/>
                <w:bCs/>
                <w:color w:val="19A7A0"/>
                <w:sz w:val="18"/>
                <w:szCs w:val="18"/>
              </w:rPr>
              <w:t xml:space="preserve">→  </w:t>
            </w:r>
            <w:r>
              <w:rPr>
                <w:rFonts w:ascii="Arial" w:cs="Arial" w:eastAsia="Arial" w:hAnsi="Arial"/>
                <w:color w:val="4A5568"/>
                <w:sz w:val="20"/>
                <w:szCs w:val="20"/>
              </w:rPr>
              <w:t xml:space="preserve">Primer ingreso recurrente mensual positivo</w:t>
            </w:r>
          </w:p>
          <w:p>
            <w:pPr>
              <w:spacing w:before="20" w:after="20"/>
              <w:ind w:left="200" w:hanging="180"/>
            </w:pPr>
            <w:r>
              <w:rPr>
                <w:rFonts w:ascii="Arial" w:cs="Arial" w:eastAsia="Arial" w:hAnsi="Arial"/>
                <w:b/>
                <w:bCs/>
                <w:color w:val="19A7A0"/>
                <w:sz w:val="18"/>
                <w:szCs w:val="18"/>
              </w:rPr>
              <w:t xml:space="preserve">→  </w:t>
            </w:r>
            <w:r>
              <w:rPr>
                <w:rFonts w:ascii="Arial" w:cs="Arial" w:eastAsia="Arial" w:hAnsi="Arial"/>
                <w:color w:val="4A5568"/>
                <w:sz w:val="20"/>
                <w:szCs w:val="20"/>
              </w:rPr>
              <w:t xml:space="preserve">Activar programa de referidos y primeras apariciones en eventos sectoriales (CAADE, ASEADUA)</w:t>
            </w:r>
          </w:p>
          <w:p>
            <w:pPr>
              <w:spacing w:before="20" w:after="20"/>
              <w:ind w:left="200" w:hanging="180"/>
            </w:pPr>
            <w:r>
              <w:rPr>
                <w:rFonts w:ascii="Arial" w:cs="Arial" w:eastAsia="Arial" w:hAnsi="Arial"/>
                <w:b/>
                <w:bCs/>
                <w:color w:val="19A7A0"/>
                <w:sz w:val="18"/>
                <w:szCs w:val="18"/>
              </w:rPr>
              <w:t xml:space="preserve">→  </w:t>
            </w:r>
            <w:r>
              <w:rPr>
                <w:rFonts w:ascii="Arial" w:cs="Arial" w:eastAsia="Arial" w:hAnsi="Arial"/>
                <w:color w:val="4A5568"/>
                <w:sz w:val="20"/>
                <w:szCs w:val="20"/>
              </w:rPr>
              <w:t xml:space="preserve">Implementación completa del módulo fitosanitario MAPA+TRACES+SOIVRE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M7–12</w:t>
            </w:r>
          </w:p>
          <w:p>
            <w:pPr>
              <w:jc w:val="center"/>
            </w:pPr>
            <w:r>
              <w:rPr>
                <w:rFonts w:ascii="Arial" w:cs="Arial" w:eastAsia="Arial" w:hAnsi="Arial"/>
                <w:color w:val="D1FAE5"/>
                <w:sz w:val="15"/>
                <w:szCs w:val="15"/>
              </w:rPr>
              <w:t xml:space="preserve">CRECIMIENTO</w:t>
            </w:r>
          </w:p>
        </w:tc>
        <w:tc>
          <w:tcPr>
            <w:tcBorders>
              <w:top w:val="none" w:color="FFFFFF" w:sz="0"/>
              <w:left w:val="none" w:color="FFFFFF" w:sz="0"/>
              <w:bottom w:val="none" w:color="FFFFFF" w:sz="0"/>
              <w:right w:val="none" w:color="FFFFFF" w:sz="0"/>
            </w:tcBorders>
            <w:shd w:fill="F4F6F9" w:val="clear"/>
            <w:tcMar>
              <w:top w:type="dxa" w:w="120"/>
              <w:left w:type="dxa" w:w="240"/>
              <w:bottom w:type="dxa" w:w="120"/>
              <w:right w:type="dxa" w:w="200"/>
            </w:tcMar>
          </w:tcPr>
          <w:p>
            <w:pPr>
              <w:spacing w:before="20" w:after="20"/>
              <w:ind w:left="200" w:hanging="180"/>
            </w:pPr>
            <w:r>
              <w:rPr>
                <w:rFonts w:ascii="Arial" w:cs="Arial" w:eastAsia="Arial" w:hAnsi="Arial"/>
                <w:b/>
                <w:bCs/>
                <w:color w:val="1A7A4A"/>
                <w:sz w:val="18"/>
                <w:szCs w:val="18"/>
              </w:rPr>
              <w:t xml:space="preserve">→  </w:t>
            </w:r>
            <w:r>
              <w:rPr>
                <w:rFonts w:ascii="Arial" w:cs="Arial" w:eastAsia="Arial" w:hAnsi="Arial"/>
                <w:color w:val="4A5568"/>
                <w:sz w:val="20"/>
                <w:szCs w:val="20"/>
              </w:rPr>
              <w:t xml:space="preserve">Lanzamiento del plan Enterprise con integraciones API para ERP</w:t>
            </w:r>
          </w:p>
          <w:p>
            <w:pPr>
              <w:spacing w:before="20" w:after="20"/>
              <w:ind w:left="200" w:hanging="180"/>
            </w:pPr>
            <w:r>
              <w:rPr>
                <w:rFonts w:ascii="Arial" w:cs="Arial" w:eastAsia="Arial" w:hAnsi="Arial"/>
                <w:b/>
                <w:bCs/>
                <w:color w:val="1A7A4A"/>
                <w:sz w:val="18"/>
                <w:szCs w:val="18"/>
              </w:rPr>
              <w:t xml:space="preserve">→  </w:t>
            </w:r>
            <w:r>
              <w:rPr>
                <w:rFonts w:ascii="Arial" w:cs="Arial" w:eastAsia="Arial" w:hAnsi="Arial"/>
                <w:color w:val="4A5568"/>
                <w:sz w:val="20"/>
                <w:szCs w:val="20"/>
              </w:rPr>
              <w:t xml:space="preserve">Campaña de marketing digital (LinkedIn Ads + Google Ads)</w:t>
            </w:r>
          </w:p>
          <w:p>
            <w:pPr>
              <w:spacing w:before="20" w:after="20"/>
              <w:ind w:left="200" w:hanging="180"/>
            </w:pPr>
            <w:r>
              <w:rPr>
                <w:rFonts w:ascii="Arial" w:cs="Arial" w:eastAsia="Arial" w:hAnsi="Arial"/>
                <w:b/>
                <w:bCs/>
                <w:color w:val="1A7A4A"/>
                <w:sz w:val="18"/>
                <w:szCs w:val="18"/>
              </w:rPr>
              <w:t xml:space="preserve">→  </w:t>
            </w:r>
            <w:r>
              <w:rPr>
                <w:rFonts w:ascii="Arial" w:cs="Arial" w:eastAsia="Arial" w:hAnsi="Arial"/>
                <w:color w:val="4A5568"/>
                <w:sz w:val="20"/>
                <w:szCs w:val="20"/>
              </w:rPr>
              <w:t xml:space="preserve">Alcanzar break-even operativo — cash flow mensual positivo</w:t>
            </w:r>
          </w:p>
          <w:p>
            <w:pPr>
              <w:spacing w:before="20" w:after="20"/>
              <w:ind w:left="200" w:hanging="180"/>
            </w:pPr>
            <w:r>
              <w:rPr>
                <w:rFonts w:ascii="Arial" w:cs="Arial" w:eastAsia="Arial" w:hAnsi="Arial"/>
                <w:b/>
                <w:bCs/>
                <w:color w:val="1A7A4A"/>
                <w:sz w:val="18"/>
                <w:szCs w:val="18"/>
              </w:rPr>
              <w:t xml:space="preserve">→  </w:t>
            </w:r>
            <w:r>
              <w:rPr>
                <w:rFonts w:ascii="Arial" w:cs="Arial" w:eastAsia="Arial" w:hAnsi="Arial"/>
                <w:color w:val="4A5568"/>
                <w:sz w:val="20"/>
                <w:szCs w:val="20"/>
              </w:rPr>
              <w:t xml:space="preserve">Incorporación de primer perfil de ventas/customer success</w:t>
            </w:r>
          </w:p>
          <w:p>
            <w:pPr>
              <w:spacing w:before="20" w:after="20"/>
              <w:ind w:left="200" w:hanging="180"/>
            </w:pPr>
            <w:r>
              <w:rPr>
                <w:rFonts w:ascii="Arial" w:cs="Arial" w:eastAsia="Arial" w:hAnsi="Arial"/>
                <w:b/>
                <w:bCs/>
                <w:color w:val="1A7A4A"/>
                <w:sz w:val="18"/>
                <w:szCs w:val="18"/>
              </w:rPr>
              <w:t xml:space="preserve">→  </w:t>
            </w:r>
            <w:r>
              <w:rPr>
                <w:rFonts w:ascii="Arial" w:cs="Arial" w:eastAsia="Arial" w:hAnsi="Arial"/>
                <w:color w:val="4A5568"/>
                <w:sz w:val="20"/>
                <w:szCs w:val="20"/>
              </w:rPr>
              <w:t xml:space="preserve">Objetivo: 100–120 clientes activos al cierre del año 1</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2C4A6E"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M13–24</w:t>
            </w:r>
          </w:p>
          <w:p>
            <w:pPr>
              <w:jc w:val="center"/>
            </w:pPr>
            <w:r>
              <w:rPr>
                <w:rFonts w:ascii="Arial" w:cs="Arial" w:eastAsia="Arial" w:hAnsi="Arial"/>
                <w:color w:val="D1FAE5"/>
                <w:sz w:val="15"/>
                <w:szCs w:val="15"/>
              </w:rPr>
              <w:t xml:space="preserve">ESCALA</w:t>
            </w:r>
          </w:p>
        </w:tc>
        <w:tc>
          <w:tcPr>
            <w:tcBorders>
              <w:top w:val="none" w:color="FFFFFF" w:sz="0"/>
              <w:left w:val="none" w:color="FFFFFF" w:sz="0"/>
              <w:bottom w:val="none" w:color="FFFFFF" w:sz="0"/>
              <w:right w:val="none" w:color="FFFFFF" w:sz="0"/>
            </w:tcBorders>
            <w:shd w:fill="F4F6F9" w:val="clear"/>
            <w:tcMar>
              <w:top w:type="dxa" w:w="120"/>
              <w:left w:type="dxa" w:w="240"/>
              <w:bottom w:type="dxa" w:w="120"/>
              <w:right w:type="dxa" w:w="200"/>
            </w:tcMar>
          </w:tcPr>
          <w:p>
            <w:pPr>
              <w:spacing w:before="20" w:after="20"/>
              <w:ind w:left="200" w:hanging="180"/>
            </w:pPr>
            <w:r>
              <w:rPr>
                <w:rFonts w:ascii="Arial" w:cs="Arial" w:eastAsia="Arial" w:hAnsi="Arial"/>
                <w:b/>
                <w:bCs/>
                <w:color w:val="2C4A6E"/>
                <w:sz w:val="18"/>
                <w:szCs w:val="18"/>
              </w:rPr>
              <w:t xml:space="preserve">→  </w:t>
            </w:r>
            <w:r>
              <w:rPr>
                <w:rFonts w:ascii="Arial" w:cs="Arial" w:eastAsia="Arial" w:hAnsi="Arial"/>
                <w:color w:val="4A5568"/>
                <w:sz w:val="20"/>
                <w:szCs w:val="20"/>
              </w:rPr>
              <w:t xml:space="preserve">Consolidación del liderazgo en el mercado aduanero español</w:t>
            </w:r>
          </w:p>
          <w:p>
            <w:pPr>
              <w:spacing w:before="20" w:after="20"/>
              <w:ind w:left="200" w:hanging="180"/>
            </w:pPr>
            <w:r>
              <w:rPr>
                <w:rFonts w:ascii="Arial" w:cs="Arial" w:eastAsia="Arial" w:hAnsi="Arial"/>
                <w:b/>
                <w:bCs/>
                <w:color w:val="2C4A6E"/>
                <w:sz w:val="18"/>
                <w:szCs w:val="18"/>
              </w:rPr>
              <w:t xml:space="preserve">→  </w:t>
            </w:r>
            <w:r>
              <w:rPr>
                <w:rFonts w:ascii="Arial" w:cs="Arial" w:eastAsia="Arial" w:hAnsi="Arial"/>
                <w:color w:val="4A5568"/>
                <w:sz w:val="20"/>
                <w:szCs w:val="20"/>
              </w:rPr>
              <w:t xml:space="preserve">Inicio de la adaptación del producto para Colombia y México (NANDINA/TIGIE)</w:t>
            </w:r>
          </w:p>
          <w:p>
            <w:pPr>
              <w:spacing w:before="20" w:after="20"/>
              <w:ind w:left="200" w:hanging="180"/>
            </w:pPr>
            <w:r>
              <w:rPr>
                <w:rFonts w:ascii="Arial" w:cs="Arial" w:eastAsia="Arial" w:hAnsi="Arial"/>
                <w:b/>
                <w:bCs/>
                <w:color w:val="2C4A6E"/>
                <w:sz w:val="18"/>
                <w:szCs w:val="18"/>
              </w:rPr>
              <w:t xml:space="preserve">→  </w:t>
            </w:r>
            <w:r>
              <w:rPr>
                <w:rFonts w:ascii="Arial" w:cs="Arial" w:eastAsia="Arial" w:hAnsi="Arial"/>
                <w:color w:val="4A5568"/>
                <w:sz w:val="20"/>
                <w:szCs w:val="20"/>
              </w:rPr>
              <w:t xml:space="preserve">Primeros clientes internacionales en Latinoamérica</w:t>
            </w:r>
          </w:p>
          <w:p>
            <w:pPr>
              <w:spacing w:before="20" w:after="20"/>
              <w:ind w:left="200" w:hanging="180"/>
            </w:pPr>
            <w:r>
              <w:rPr>
                <w:rFonts w:ascii="Arial" w:cs="Arial" w:eastAsia="Arial" w:hAnsi="Arial"/>
                <w:b/>
                <w:bCs/>
                <w:color w:val="2C4A6E"/>
                <w:sz w:val="18"/>
                <w:szCs w:val="18"/>
              </w:rPr>
              <w:t xml:space="preserve">→  </w:t>
            </w:r>
            <w:r>
              <w:rPr>
                <w:rFonts w:ascii="Arial" w:cs="Arial" w:eastAsia="Arial" w:hAnsi="Arial"/>
                <w:color w:val="4A5568"/>
                <w:sz w:val="20"/>
                <w:szCs w:val="20"/>
              </w:rPr>
              <w:t xml:space="preserve">Ampliación del equipo técnico y comercial con el propio flujo de caja generado</w:t>
            </w:r>
          </w:p>
          <w:p>
            <w:pPr>
              <w:spacing w:before="20" w:after="20"/>
              <w:ind w:left="200" w:hanging="180"/>
            </w:pPr>
            <w:r>
              <w:rPr>
                <w:rFonts w:ascii="Arial" w:cs="Arial" w:eastAsia="Arial" w:hAnsi="Arial"/>
                <w:b/>
                <w:bCs/>
                <w:color w:val="2C4A6E"/>
                <w:sz w:val="18"/>
                <w:szCs w:val="18"/>
              </w:rPr>
              <w:t xml:space="preserve">→  </w:t>
            </w:r>
            <w:r>
              <w:rPr>
                <w:rFonts w:ascii="Arial" w:cs="Arial" w:eastAsia="Arial" w:hAnsi="Arial"/>
                <w:color w:val="4A5568"/>
                <w:sz w:val="20"/>
                <w:szCs w:val="20"/>
              </w:rPr>
              <w:t xml:space="preserve">Evaluación de rondas de financiación estratégica para acelerar la expansión internacional</w:t>
            </w:r>
          </w:p>
        </w:tc>
      </w:tr>
    </w:tbl>
    <w:p>
      <w:pPr>
        <w:spacing w:before="100" w:after="0"/>
      </w:pPr>
      <w:r>
        <w:t xml:space="preserve"/>
      </w:r>
    </w:p>
    <w:p>
      <w:pPr>
        <w:pBdr>
          <w:bottom w:val="single" w:color="E2E8F0" w:sz="4" w:space="2"/>
        </w:pBdr>
        <w:spacing w:before="100" w:after="10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10  </w:t>
      </w:r>
      <w:r>
        <w:rPr>
          <w:rFonts w:ascii="Arial" w:cs="Arial" w:eastAsia="Arial" w:hAnsi="Arial"/>
          <w:b/>
          <w:bCs/>
          <w:color w:val="0B2447"/>
          <w:sz w:val="30"/>
          <w:szCs w:val="30"/>
        </w:rPr>
        <w:t xml:space="preserve">MARCO DE RIESGOS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760"/>
        <w:gridCol w:w="1000"/>
      </w:tblGrid>
      <w:tr>
        <w:tc>
          <w:tcPr>
            <w:tcBorders>
              <w:top w:val="none" w:color="FFFFFF" w:sz="0"/>
              <w:left w:val="none" w:color="FFFFFF" w:sz="0"/>
              <w:bottom w:val="none" w:color="FFFFFF" w:sz="0"/>
              <w:right w:val="none" w:color="FFFFFF" w:sz="0"/>
            </w:tcBorders>
            <w:shd w:fill="0D1F2D" w:val="clear"/>
            <w:tcMar>
              <w:top w:type="dxa" w:w="80"/>
              <w:left w:type="dxa" w:w="140"/>
              <w:bottom w:type="dxa" w:w="80"/>
              <w:right w:type="dxa" w:w="80"/>
            </w:tcMar>
          </w:tcPr>
          <w:p>
            <w:r>
              <w:rPr>
                <w:rFonts w:ascii="Arial" w:cs="Arial" w:eastAsia="Arial" w:hAnsi="Arial"/>
                <w:b/>
                <w:bCs/>
                <w:color w:val="C8922A"/>
                <w:sz w:val="17"/>
                <w:szCs w:val="17"/>
              </w:rPr>
              <w:t xml:space="preserve">RIESGO</w:t>
            </w:r>
          </w:p>
        </w:tc>
        <w:tc>
          <w:tcPr>
            <w:tcBorders>
              <w:top w:val="none" w:color="FFFFFF" w:sz="0"/>
              <w:left w:val="none" w:color="FFFFFF" w:sz="0"/>
              <w:bottom w:val="none" w:color="FFFFFF" w:sz="0"/>
              <w:right w:val="none" w:color="FFFFFF" w:sz="0"/>
            </w:tcBorders>
            <w:shd w:fill="0D1F2D" w:val="clear"/>
            <w:tcMar>
              <w:top w:type="dxa" w:w="80"/>
              <w:left w:type="dxa" w:w="140"/>
              <w:bottom w:type="dxa" w:w="80"/>
              <w:right w:type="dxa" w:w="80"/>
            </w:tcMar>
          </w:tcPr>
          <w:p>
            <w:r>
              <w:rPr>
                <w:rFonts w:ascii="Arial" w:cs="Arial" w:eastAsia="Arial" w:hAnsi="Arial"/>
                <w:b/>
                <w:bCs/>
                <w:color w:val="C8922A"/>
                <w:sz w:val="17"/>
                <w:szCs w:val="17"/>
              </w:rPr>
              <w:t xml:space="preserve">IMPACTO POTENCIAL</w:t>
            </w:r>
          </w:p>
        </w:tc>
        <w:tc>
          <w:tcPr>
            <w:tcBorders>
              <w:top w:val="none" w:color="FFFFFF" w:sz="0"/>
              <w:left w:val="none" w:color="FFFFFF" w:sz="0"/>
              <w:bottom w:val="none" w:color="FFFFFF" w:sz="0"/>
              <w:right w:val="none" w:color="FFFFFF" w:sz="0"/>
            </w:tcBorders>
            <w:shd w:fill="0D1F2D" w:val="clear"/>
            <w:tcMar>
              <w:top w:type="dxa" w:w="80"/>
              <w:left w:type="dxa" w:w="140"/>
              <w:bottom w:type="dxa" w:w="80"/>
              <w:right w:type="dxa" w:w="80"/>
            </w:tcMar>
          </w:tcPr>
          <w:p>
            <w:r>
              <w:rPr>
                <w:rFonts w:ascii="Arial" w:cs="Arial" w:eastAsia="Arial" w:hAnsi="Arial"/>
                <w:b/>
                <w:bCs/>
                <w:color w:val="C8922A"/>
                <w:sz w:val="17"/>
                <w:szCs w:val="17"/>
              </w:rPr>
              <w:t xml:space="preserve">PLAN DE MITIGACIÓN</w:t>
            </w:r>
          </w:p>
        </w:tc>
        <w:tc>
          <w:tcPr>
            <w:tcBorders>
              <w:top w:val="none" w:color="FFFFFF" w:sz="0"/>
              <w:left w:val="none" w:color="FFFFFF" w:sz="0"/>
              <w:bottom w:val="none" w:color="FFFFFF" w:sz="0"/>
              <w:right w:val="none" w:color="FFFFFF" w:sz="0"/>
            </w:tcBorders>
            <w:shd w:fill="0D1F2D" w:val="clear"/>
            <w:tcMar>
              <w:top w:type="dxa" w:w="80"/>
              <w:left w:type="dxa" w:w="140"/>
              <w:bottom w:type="dxa" w:w="80"/>
              <w:right w:type="dxa" w:w="80"/>
            </w:tcMar>
          </w:tcPr>
          <w:p>
            <w:r>
              <w:rPr>
                <w:rFonts w:ascii="Arial" w:cs="Arial" w:eastAsia="Arial" w:hAnsi="Arial"/>
                <w:b/>
                <w:bCs/>
                <w:color w:val="C8922A"/>
                <w:sz w:val="17"/>
                <w:szCs w:val="17"/>
              </w:rPr>
              <w:t xml:space="preserve">NIVEL</w:t>
            </w:r>
          </w:p>
        </w:tc>
      </w:tr>
      <w:tr>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b/>
                <w:bCs/>
                <w:color w:val="0B2447"/>
                <w:sz w:val="20"/>
                <w:szCs w:val="20"/>
              </w:rPr>
              <w:t xml:space="preserve">Cambio regulatorio TARIC</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r>
              <w:rPr>
                <w:rFonts w:ascii="Arial" w:cs="Arial" w:eastAsia="Arial" w:hAnsi="Arial"/>
                <w:color w:val="4A5568"/>
                <w:sz w:val="19"/>
                <w:szCs w:val="19"/>
              </w:rPr>
              <w:t xml:space="preserve">Modificaciones en la nomenclatura combinada o en el proceso de clasificación en la UE</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color w:val="4A5568"/>
                <w:sz w:val="19"/>
                <w:szCs w:val="19"/>
              </w:rPr>
              <w:t xml:space="preserve">Arquitectura modular que permite actualizar fuentes de datos de forma independiente. Monitorización automática de cambios en EUR-Lex y TARIC UE</w:t>
            </w:r>
          </w:p>
        </w:tc>
        <w:tc>
          <w:tcPr>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ALTO</w:t>
            </w:r>
          </w:p>
        </w:tc>
      </w:tr>
      <w:tr>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b/>
                <w:bCs/>
                <w:color w:val="0B2447"/>
                <w:sz w:val="20"/>
                <w:szCs w:val="20"/>
              </w:rPr>
              <w:t xml:space="preserve">Entrada de competidor directo al mercado español</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r>
              <w:rPr>
                <w:rFonts w:ascii="Arial" w:cs="Arial" w:eastAsia="Arial" w:hAnsi="Arial"/>
                <w:color w:val="4A5568"/>
                <w:sz w:val="19"/>
                <w:szCs w:val="19"/>
              </w:rPr>
              <w:t xml:space="preserve">Una empresa como Digicust o un player nuevo desarrolla una solución equivalente específica para España</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color w:val="4A5568"/>
                <w:sz w:val="19"/>
                <w:szCs w:val="19"/>
              </w:rPr>
              <w:t xml:space="preserve">Acelerar la captación de los primeros 50 clientes como barrera de entrada. La red de contactos del advisor es una ventaja difícil de replicar</w:t>
            </w:r>
          </w:p>
        </w:tc>
        <w:tc>
          <w:tcPr>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ALTO</w:t>
            </w:r>
          </w:p>
        </w:tc>
      </w:tr>
      <w:tr>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b/>
                <w:bCs/>
                <w:color w:val="0B2447"/>
                <w:sz w:val="20"/>
                <w:szCs w:val="20"/>
              </w:rPr>
              <w:t xml:space="preserve">Precisión del clasificador por debajo del objetivo</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r>
              <w:rPr>
                <w:rFonts w:ascii="Arial" w:cs="Arial" w:eastAsia="Arial" w:hAnsi="Arial"/>
                <w:color w:val="4A5568"/>
                <w:sz w:val="19"/>
                <w:szCs w:val="19"/>
              </w:rPr>
              <w:t xml:space="preserve">Reclamaciones de clientes, pérdida de confianza y alto churn si la precisión cae por debajo del 90%</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color w:val="4A5568"/>
                <w:sz w:val="19"/>
                <w:szCs w:val="19"/>
              </w:rPr>
              <w:t xml:space="preserve">Sistema de validación humana en bucle para los primeros 6 meses. Feedback de los pilotos integrado en el modelo. KPI de precisión visible para el equipo</w:t>
            </w:r>
          </w:p>
        </w:tc>
        <w:tc>
          <w:tcPr>
            <w:tcBorders>
              <w:top w:val="none" w:color="FFFFFF" w:sz="0"/>
              <w:left w:val="none" w:color="FFFFFF" w:sz="0"/>
              <w:bottom w:val="none" w:color="FFFFFF" w:sz="0"/>
              <w:right w:val="none" w:color="FFFFFF" w:sz="0"/>
            </w:tcBorders>
            <w:shd w:fill="1B4DA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MEDIO</w:t>
            </w:r>
          </w:p>
        </w:tc>
      </w:tr>
      <w:tr>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b/>
                <w:bCs/>
                <w:color w:val="0B2447"/>
                <w:sz w:val="20"/>
                <w:szCs w:val="20"/>
              </w:rPr>
              <w:t xml:space="preserve">Dependencia de APIs de terceros</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r>
              <w:rPr>
                <w:rFonts w:ascii="Arial" w:cs="Arial" w:eastAsia="Arial" w:hAnsi="Arial"/>
                <w:color w:val="4A5568"/>
                <w:sz w:val="19"/>
                <w:szCs w:val="19"/>
              </w:rPr>
              <w:t xml:space="preserve">Interrupciones o cambios en los servicios de IA subyacentes que afecten la disponibilidad del producto</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color w:val="4A5568"/>
                <w:sz w:val="19"/>
                <w:szCs w:val="19"/>
              </w:rPr>
              <w:t xml:space="preserve">Arquitectura multi-proveedor para las funciones críticas. Caché de consultas frecuentes. SLA de disponibilidad con clientes en el contrato</w:t>
            </w:r>
          </w:p>
        </w:tc>
        <w:tc>
          <w:tcPr>
            <w:tcBorders>
              <w:top w:val="none" w:color="FFFFFF" w:sz="0"/>
              <w:left w:val="none" w:color="FFFFFF" w:sz="0"/>
              <w:bottom w:val="none" w:color="FFFFFF" w:sz="0"/>
              <w:right w:val="none" w:color="FFFFFF" w:sz="0"/>
            </w:tcBorders>
            <w:shd w:fill="1B4DA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MEDIO</w:t>
            </w:r>
          </w:p>
        </w:tc>
      </w:tr>
      <w:tr>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b/>
                <w:bCs/>
                <w:color w:val="0B2447"/>
                <w:sz w:val="20"/>
                <w:szCs w:val="20"/>
              </w:rPr>
              <w:t xml:space="preserve">Captación de clientes más lenta de lo esperado</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r>
              <w:rPr>
                <w:rFonts w:ascii="Arial" w:cs="Arial" w:eastAsia="Arial" w:hAnsi="Arial"/>
                <w:color w:val="4A5568"/>
                <w:sz w:val="19"/>
                <w:szCs w:val="19"/>
              </w:rPr>
              <w:t xml:space="preserve">El ciclo de ventas B2B en el sector aduanero puede ser más largo si la validación técnica tarda</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color w:val="4A5568"/>
                <w:sz w:val="19"/>
                <w:szCs w:val="19"/>
              </w:rPr>
              <w:t xml:space="preserve">El programa piloto gratuito reduce la barrera de adopción inicial. El advisor abre puertas directamente. Meta revisada si el pipeline no se llena en Mes 2</w:t>
            </w:r>
          </w:p>
        </w:tc>
        <w:tc>
          <w:tcPr>
            <w:tcBorders>
              <w:top w:val="none" w:color="FFFFFF" w:sz="0"/>
              <w:left w:val="none" w:color="FFFFFF" w:sz="0"/>
              <w:bottom w:val="none" w:color="FFFFFF" w:sz="0"/>
              <w:right w:val="none" w:color="FFFFFF" w:sz="0"/>
            </w:tcBorders>
            <w:shd w:fill="1B4DA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MEDIO</w:t>
            </w:r>
          </w:p>
        </w:tc>
      </w:tr>
      <w:tr>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b/>
                <w:bCs/>
                <w:color w:val="0B2447"/>
                <w:sz w:val="20"/>
                <w:szCs w:val="20"/>
              </w:rPr>
              <w:t xml:space="preserve">Ciberseguridad y cumplimiento RGPD</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r>
              <w:rPr>
                <w:rFonts w:ascii="Arial" w:cs="Arial" w:eastAsia="Arial" w:hAnsi="Arial"/>
                <w:color w:val="4A5568"/>
                <w:sz w:val="19"/>
                <w:szCs w:val="19"/>
              </w:rPr>
              <w:t xml:space="preserve">Brechas de seguridad o incumplimientos de protección de datos que afecten a clientes y a la reputación</w:t>
            </w:r>
          </w:p>
        </w:tc>
        <w:tc>
          <w:tcPr>
            <w:tcBorders>
              <w:top w:val="none" w:color="FFFFFF" w:sz="0"/>
              <w:left w:val="none" w:color="FFFFFF" w:sz="0"/>
              <w:bottom w:val="none" w:color="FFFFFF" w:sz="0"/>
              <w:right w:val="none" w:color="FFFFFF" w:sz="0"/>
            </w:tcBorders>
            <w:shd w:fill="F4F6F9" w:val="clear"/>
            <w:tcMar>
              <w:top w:type="dxa" w:w="80"/>
              <w:left w:type="dxa" w:w="160"/>
              <w:bottom w:type="dxa" w:w="80"/>
              <w:right w:type="dxa" w:w="100"/>
            </w:tcMar>
          </w:tcPr>
          <w:p>
            <w:r>
              <w:rPr>
                <w:rFonts w:ascii="Arial" w:cs="Arial" w:eastAsia="Arial" w:hAnsi="Arial"/>
                <w:color w:val="4A5568"/>
                <w:sz w:val="19"/>
                <w:szCs w:val="19"/>
              </w:rPr>
              <w:t xml:space="preserve">Privacy by Design desde Mes 1. DPA firmado con todos los pilotos. Seguro de responsabilidad civil profesional y cyber desde M6. Revisión SOC2</w:t>
            </w:r>
          </w:p>
        </w:tc>
        <w:tc>
          <w:tcPr>
            <w:tcBorders>
              <w:top w:val="none" w:color="FFFFFF" w:sz="0"/>
              <w:left w:val="none" w:color="FFFFFF" w:sz="0"/>
              <w:bottom w:val="none" w:color="FFFFFF" w:sz="0"/>
              <w:right w:val="none" w:color="FFFFFF" w:sz="0"/>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BAJO</w:t>
            </w:r>
          </w:p>
        </w:tc>
      </w:tr>
    </w:tbl>
    <w:p>
      <w:pPr>
        <w:spacing w:before="100" w:after="0"/>
      </w:pPr>
      <w:r>
        <w:t xml:space="preserve"/>
      </w:r>
    </w:p>
    <w:p>
      <w:pPr>
        <w:pBdr>
          <w:bottom w:val="single" w:color="E2E8F0" w:sz="4" w:space="2"/>
        </w:pBdr>
        <w:spacing w:before="100" w:after="100"/>
      </w:pPr>
      <w:r>
        <w:t xml:space="preserve"/>
      </w:r>
    </w:p>
    <w:p>
      <w:pPr>
        <w:spacing w:before="200" w:after="0"/>
      </w:pPr>
      <w:r>
        <w:t xml:space="preserve"/>
      </w:r>
    </w:p>
    <w:p>
      <w:pPr>
        <w:pBdr>
          <w:bottom w:val="single" w:color="19A7A0" w:sz="12" w:space="5"/>
        </w:pBdr>
        <w:spacing w:before="0" w:after="0"/>
      </w:pPr>
      <w:r>
        <w:rPr>
          <w:rFonts w:ascii="Arial" w:cs="Arial" w:eastAsia="Arial" w:hAnsi="Arial"/>
          <w:b/>
          <w:bCs/>
          <w:color w:val="19A7A0"/>
          <w:sz w:val="30"/>
          <w:szCs w:val="30"/>
        </w:rPr>
        <w:t xml:space="preserve">11  </w:t>
      </w:r>
      <w:r>
        <w:rPr>
          <w:rFonts w:ascii="Arial" w:cs="Arial" w:eastAsia="Arial" w:hAnsi="Arial"/>
          <w:b/>
          <w:bCs/>
          <w:color w:val="0B2447"/>
          <w:sz w:val="30"/>
          <w:szCs w:val="30"/>
        </w:rPr>
        <w:t xml:space="preserve">MARCO LEGAL Y REGULATORIO</w:t>
      </w:r>
    </w:p>
    <w:p>
      <w:pPr>
        <w:spacing w:before="100" w:after="0"/>
      </w:pPr>
      <w:r>
        <w:t xml:space="preserve"/>
      </w:r>
    </w:p>
    <w:p>
      <w:pPr>
        <w:spacing w:before="220" w:after="80"/>
      </w:pPr>
      <w:r>
        <w:rPr>
          <w:rFonts w:ascii="Arial" w:cs="Arial" w:eastAsia="Arial" w:hAnsi="Arial"/>
          <w:b/>
          <w:bCs/>
          <w:color w:val="0B2447"/>
          <w:sz w:val="26"/>
          <w:szCs w:val="26"/>
        </w:rPr>
        <w:t xml:space="preserve">Estructura societaria</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Forma jurídica</w:t>
      </w:r>
      <w:r>
        <w:rPr>
          <w:rFonts w:ascii="Arial" w:cs="Arial" w:eastAsia="Arial" w:hAnsi="Arial"/>
          <w:color w:val="4A5568"/>
          <w:sz w:val="22"/>
          <w:szCs w:val="22"/>
        </w:rPr>
        <w:t xml:space="preserve">:  Sociedad de Responsabilidad Limitada (SL Unipersonal) — Madrid, España</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Founders</w:t>
      </w:r>
      <w:r>
        <w:rPr>
          <w:rFonts w:ascii="Arial" w:cs="Arial" w:eastAsia="Arial" w:hAnsi="Arial"/>
          <w:color w:val="4A5568"/>
          <w:sz w:val="22"/>
          <w:szCs w:val="22"/>
        </w:rPr>
        <w:t xml:space="preserve">:  Kevin Daniel Suárez Largo (CEO, España) · Anderson de Jesús Escorcia Hernández (CTO, Colombia)</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Pacto de socios</w:t>
      </w:r>
      <w:r>
        <w:rPr>
          <w:rFonts w:ascii="Arial" w:cs="Arial" w:eastAsia="Arial" w:hAnsi="Arial"/>
          <w:color w:val="4A5568"/>
          <w:sz w:val="22"/>
          <w:szCs w:val="22"/>
        </w:rPr>
        <w:t xml:space="preserve">:  En elaboración. Incluirá cláusulas de anti-dilución, drag-along, tag-along y vesting a 4 años con cliff de 1 año</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b/>
          <w:bCs/>
          <w:color w:val="0B2447"/>
          <w:sz w:val="22"/>
          <w:szCs w:val="22"/>
        </w:rPr>
        <w:t xml:space="preserve">Marca registrada</w:t>
      </w:r>
      <w:r>
        <w:rPr>
          <w:rFonts w:ascii="Arial" w:cs="Arial" w:eastAsia="Arial" w:hAnsi="Arial"/>
          <w:color w:val="4A5568"/>
          <w:sz w:val="22"/>
          <w:szCs w:val="22"/>
        </w:rPr>
        <w:t xml:space="preserve">:  Solicitud de registro "TaricAI" en OEPM (Oficina Española de Patentes y Marcas), clase 42</w:t>
      </w:r>
    </w:p>
    <w:p>
      <w:pPr>
        <w:spacing w:before="50" w:after="0"/>
      </w:pPr>
      <w:r>
        <w:t xml:space="preserve"/>
      </w:r>
    </w:p>
    <w:p>
      <w:pPr>
        <w:spacing w:before="220" w:after="80"/>
      </w:pPr>
      <w:r>
        <w:rPr>
          <w:rFonts w:ascii="Arial" w:cs="Arial" w:eastAsia="Arial" w:hAnsi="Arial"/>
          <w:b/>
          <w:bCs/>
          <w:color w:val="0B2447"/>
          <w:sz w:val="26"/>
          <w:szCs w:val="26"/>
        </w:rPr>
        <w:t xml:space="preserve">Ley de Startups 28/2022</w:t>
      </w:r>
    </w:p>
    <w:p>
      <w:pPr>
        <w:spacing w:before="60" w:after="100" w:line="276" w:lineRule="auto"/>
        <w:jc w:val="both"/>
      </w:pPr>
      <w:r>
        <w:rPr>
          <w:rFonts w:ascii="Arial" w:cs="Arial" w:eastAsia="Arial" w:hAnsi="Arial"/>
          <w:b w:val="false"/>
          <w:bCs w:val="false"/>
          <w:i w:val="false"/>
          <w:iCs w:val="false"/>
          <w:color w:val="4A5568"/>
          <w:sz w:val="22"/>
          <w:szCs w:val="22"/>
        </w:rPr>
        <w:t xml:space="preserve">TaricAI tiene previsto solicitar el reconocimiento como empresa emergente al amparo de la Ley de Startups 28/2022 (Ley de Fomento del Ecosistema de las Empresas Emergentes). Los principales beneficios aplicables son:</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Tipo reducido del 15% en el Impuesto sobre Sociedades durante los primeros 4 años con base imponible positiva (frente al 25% general)</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Aplazamiento del Impuesto sobre Sociedades durante los dos primeros ejercicios con base imponible positiva</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Deducción para inversores personas físicas del 50% de la inversión, hasta €100.000 de base de deducción por ejercicio</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Opciones sobre acciones (stock options) con tratamiento fiscal favorable para la retención de talento</w:t>
      </w:r>
    </w:p>
    <w:p>
      <w:pPr>
        <w:spacing w:before="50" w:after="0"/>
      </w:pPr>
      <w:r>
        <w:t xml:space="preserve"/>
      </w:r>
    </w:p>
    <w:p>
      <w:pPr>
        <w:spacing w:before="220" w:after="80"/>
      </w:pPr>
      <w:r>
        <w:rPr>
          <w:rFonts w:ascii="Arial" w:cs="Arial" w:eastAsia="Arial" w:hAnsi="Arial"/>
          <w:b/>
          <w:bCs/>
          <w:color w:val="0B2447"/>
          <w:sz w:val="26"/>
          <w:szCs w:val="26"/>
        </w:rPr>
        <w:t xml:space="preserve">Protección de datos — RGPD</w:t>
      </w:r>
    </w:p>
    <w:p>
      <w:pPr>
        <w:spacing w:before="60" w:after="100" w:line="276" w:lineRule="auto"/>
        <w:jc w:val="both"/>
      </w:pPr>
      <w:r>
        <w:rPr>
          <w:rFonts w:ascii="Arial" w:cs="Arial" w:eastAsia="Arial" w:hAnsi="Arial"/>
          <w:b w:val="false"/>
          <w:bCs w:val="false"/>
          <w:i w:val="false"/>
          <w:iCs w:val="false"/>
          <w:color w:val="4A5568"/>
          <w:sz w:val="22"/>
          <w:szCs w:val="22"/>
        </w:rPr>
        <w:t xml:space="preserve">TaricAI opera bajo los principios de Privacy by Design y Privacy by Default desde la fase de desarrollo. Las medidas principales incluyen:</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Acuerdo de Tratamiento de Datos (DPA) firmado con cada cliente desde el acceso piloto</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Los datos de operaciones de clasificación se procesan con propósito único y no son utilizados para entrenar modelos de terceros sin consentimiento explícito</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Cifrado en tránsito (TLS 1.3) y en reposo. Acceso autenticado con MFA para todos los usuarios</w:t>
      </w:r>
    </w:p>
    <w:p>
      <w:pPr>
        <w:spacing w:before="40" w:after="60" w:line="259" w:lineRule="auto"/>
        <w:ind w:left="360" w:hanging="220"/>
      </w:pPr>
      <w:r>
        <w:rPr>
          <w:rFonts w:ascii="Arial" w:cs="Arial" w:eastAsia="Arial" w:hAnsi="Arial"/>
          <w:b/>
          <w:bCs/>
          <w:color w:val="19A7A0"/>
          <w:sz w:val="22"/>
          <w:szCs w:val="22"/>
        </w:rPr>
        <w:t xml:space="preserve">›  </w:t>
      </w:r>
      <w:r>
        <w:rPr>
          <w:rFonts w:ascii="Arial" w:cs="Arial" w:eastAsia="Arial" w:hAnsi="Arial"/>
          <w:color w:val="4A5568"/>
          <w:sz w:val="22"/>
          <w:szCs w:val="22"/>
        </w:rPr>
        <w:t xml:space="preserve">Delegado de Protección de Datos designado desde el Mes 6 de operaciones</w:t>
      </w:r>
    </w:p>
    <w:p>
      <w:pPr>
        <w:spacing w:before="50" w:after="0"/>
      </w:pPr>
      <w:r>
        <w:t xml:space="preserve"/>
      </w:r>
    </w:p>
    <w:p>
      <w:pPr>
        <w:spacing w:before="220" w:after="80"/>
      </w:pPr>
      <w:r>
        <w:rPr>
          <w:rFonts w:ascii="Arial" w:cs="Arial" w:eastAsia="Arial" w:hAnsi="Arial"/>
          <w:b/>
          <w:bCs/>
          <w:color w:val="0B2447"/>
          <w:sz w:val="26"/>
          <w:szCs w:val="26"/>
        </w:rPr>
        <w:t xml:space="preserve">Propiedad intelectual</w:t>
      </w:r>
    </w:p>
    <w:p>
      <w:pPr>
        <w:spacing w:before="60" w:after="100" w:line="276" w:lineRule="auto"/>
        <w:jc w:val="both"/>
      </w:pPr>
      <w:r>
        <w:rPr>
          <w:rFonts w:ascii="Arial" w:cs="Arial" w:eastAsia="Arial" w:hAnsi="Arial"/>
          <w:b w:val="false"/>
          <w:bCs w:val="false"/>
          <w:i w:val="false"/>
          <w:iCs w:val="false"/>
          <w:color w:val="4A5568"/>
          <w:sz w:val="22"/>
          <w:szCs w:val="22"/>
        </w:rPr>
        <w:t xml:space="preserve">El motor de clasificación, los algoritmos de procesamiento de documentos aduaneros y la arquitectura del agente conversacional son desarrollados íntegramente por el equipo de TaricAI y constituyen activos propietarios de la empresa. El código fuente está bajo control de versiones privado. Se evaluará la solicitud de patente sobre el método específico de clasificación combinada una vez validado el producto.</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F2D" w:val="clear"/>
            <w:tcMar>
              <w:top w:type="dxa" w:w="140"/>
              <w:left w:type="dxa" w:w="480"/>
              <w:bottom w:type="dxa" w:w="140"/>
              <w:right w:type="dxa" w:w="480"/>
            </w:tcMar>
          </w:tcPr>
          <w:p>
            <w:pPr>
              <w:spacing w:before="0" w:after="30"/>
              <w:jc w:val="center"/>
            </w:pPr>
            <w:r>
              <w:rPr>
                <w:rFonts w:ascii="Arial" w:cs="Arial" w:eastAsia="Arial" w:hAnsi="Arial"/>
                <w:b/>
                <w:bCs/>
                <w:i/>
                <w:iCs/>
                <w:color w:val="C8922A"/>
                <w:sz w:val="21"/>
                <w:szCs w:val="21"/>
              </w:rPr>
              <w:t xml:space="preserve">"El comercio exterior español maneja €400.000 millones en importaciones anuales. Toda esa actividad necesita clasificación arancelaria. Hoy se hace a mano. TaricAI la automatiza."</w:t>
            </w:r>
          </w:p>
          <w:p>
            <w:pPr>
              <w:pBdr>
                <w:bottom w:val="single" w:color="2D4A5A" w:sz="4" w:space="2"/>
              </w:pBdr>
              <w:spacing w:before="100" w:after="100"/>
            </w:pPr>
            <w:r>
              <w:t xml:space="preserve"/>
            </w:r>
          </w:p>
          <w:p>
            <w:pPr>
              <w:spacing w:before="40" w:after="20"/>
              <w:jc w:val="center"/>
            </w:pPr>
            <w:r>
              <w:rPr>
                <w:rFonts w:ascii="Arial" w:cs="Arial" w:eastAsia="Arial" w:hAnsi="Arial"/>
                <w:b/>
                <w:bCs/>
                <w:color w:val="19A7A0"/>
                <w:sz w:val="19"/>
                <w:szCs w:val="19"/>
              </w:rPr>
              <w:t xml:space="preserve">Kevin Daniel Suárez Largo  ·  CEO &amp; Founder  ·  TaricAI</w:t>
            </w:r>
          </w:p>
          <w:p>
            <w:pPr>
              <w:spacing w:before="0" w:after="0"/>
              <w:jc w:val="center"/>
            </w:pPr>
            <w:r>
              <w:rPr>
                <w:rFonts w:ascii="Arial" w:cs="Arial" w:eastAsia="Arial" w:hAnsi="Arial"/>
                <w:color w:val="94A3B8"/>
                <w:sz w:val="17"/>
                <w:szCs w:val="17"/>
              </w:rPr>
              <w:t xml:space="preserve">hola@taricai.es   ·   taricai.es   ·   Madrid, España</w:t>
            </w:r>
          </w:p>
        </w:tc>
      </w:tr>
    </w:tbl>
    <w:sectPr>
      <w:footerReference w:type="default" r:id="rId6"/>
      <w:pgSz w:w="11906" w:h="16838" w:orient="portrait"/>
      <w:pgMar w:top="1250" w:right="1250" w:bottom="14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Arial" w:cs="Arial" w:eastAsia="Arial" w:hAnsi="Arial"/>
        <w:color w:val="A0AEC0"/>
        <w:sz w:val="16"/>
        <w:szCs w:val="16"/>
      </w:rPr>
      <w:t xml:space="preserve">TaricAI — Plan de Negocio 2026   ·   hola@taricai.es   ·   Pág. </w:t>
    </w:r>
    <w:r>
      <w:rPr>
        <w:rFonts w:ascii="Arial" w:cs="Arial" w:eastAsia="Arial" w:hAnsi="Arial"/>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2026-03-11T23:01:25.053Z</dcterms:created>
  <dcterms:modified xsi:type="dcterms:W3CDTF">2026-03-11T23:01:25.055Z</dcterms:modified>
</cp:coreProperties>
</file>

<file path=docProps/custom.xml><?xml version="1.0" encoding="utf-8"?>
<Properties xmlns="http://schemas.openxmlformats.org/officeDocument/2006/custom-properties" xmlns:vt="http://schemas.openxmlformats.org/officeDocument/2006/docPropsVTypes"/>
</file>