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0F172A"/>
          <w:sz w:val="56"/>
          <w:szCs w:val="56"/>
        </w:rPr>
        <w:t xml:space="preserve">Anexo Técnico</w:t>
      </w:r>
    </w:p>
    <w:p>
      <w:pPr>
        <w:spacing w:after="80"/>
      </w:pPr>
      <w:r>
        <w:rPr>
          <w:b/>
          <w:bCs/>
          <w:color w:val="1D4ED8"/>
          <w:sz w:val="32"/>
          <w:szCs w:val="32"/>
        </w:rPr>
        <w:t xml:space="preserve">SAT-DE · Sistema de Alerta Temprana de Deserción en Educación Superior</w:t>
      </w:r>
    </w:p>
    <w:p>
      <w:pPr>
        <w:spacing w:after="480"/>
      </w:pPr>
      <w:r>
        <w:rPr>
          <w:color w:val="475569"/>
          <w:sz w:val="22"/>
          <w:szCs w:val="22"/>
        </w:rPr>
        <w:t xml:space="preserve">Diagrama esquemático · Reporte de experimentos · Rúbrica · Repositorio</w:t>
      </w:r>
    </w:p>
    <w:p>
      <w:pPr>
        <w:pBdr>
          <w:bottom w:val="single" w:color="1D4ED8" w:sz="12" w:space="4"/>
        </w:pBdr>
      </w:pPr>
      <w:r>
        <w:t xml:space="preserve"/>
      </w:r>
    </w:p>
    <w:p>
      <w:pPr>
        <w:spacing w:after="0" w:before="200"/>
      </w:pPr>
      <w:r>
        <w:rPr>
          <w:color w:val="0F172A"/>
          <w:sz w:val="22"/>
          <w:szCs w:val="22"/>
        </w:rPr>
        <w:t xml:space="preserve">Proyecto Aplicado en Analítica de Datos</w:t>
      </w:r>
    </w:p>
    <w:p>
      <w:pPr>
        <w:spacing w:after="0"/>
      </w:pPr>
      <w:r>
        <w:rPr>
          <w:color w:val="0F172A"/>
          <w:sz w:val="22"/>
          <w:szCs w:val="22"/>
        </w:rPr>
        <w:t xml:space="preserve">Maestría en Inteligencia Analítica de Datos (MIAD)</w:t>
      </w:r>
    </w:p>
    <w:p>
      <w:pPr>
        <w:spacing w:after="0"/>
      </w:pPr>
      <w:r>
        <w:rPr>
          <w:color w:val="0F172A"/>
          <w:sz w:val="22"/>
          <w:szCs w:val="22"/>
        </w:rPr>
        <w:t xml:space="preserve">Universidad de los Andes · Grupo 10</w:t>
      </w:r>
    </w:p>
    <w:p>
      <w:pPr>
        <w:spacing w:after="0"/>
      </w:pPr>
      <w:r>
        <w:rPr>
          <w:color w:val="475569"/>
          <w:sz w:val="22"/>
          <w:szCs w:val="22"/>
        </w:rPr>
        <w:t xml:space="preserve">Versión 1.0 · Mayo de 2026</w:t>
      </w:r>
    </w:p>
    <w:p>
      <w:r>
        <w:br w:type="page"/>
      </w:r>
    </w:p>
    <w:p>
      <w:pPr>
        <w:pStyle w:val="Heading1"/>
        <w:spacing w:after="160" w:before="240"/>
      </w:pPr>
      <w:r>
        <w:t xml:space="preserve">Tabla de contenido</w:t>
      </w:r>
    </w:p>
    <w:p>
      <w:sdt>
        <w:sdtPr>
          <w:alias w:val="Contenido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spacing w:after="160" w:before="240"/>
      </w:pPr>
      <w:r>
        <w:t xml:space="preserve">I. Diagrama esquemático propuesto</w:t>
      </w:r>
    </w:p>
    <w:p>
      <w:pPr>
        <w:spacing w:after="120"/>
      </w:pPr>
      <w:r>
        <w:t xml:space="preserve">El siguiente diagrama representa los tres bloques funcionales de SAT-DE: las fuentes de datos institucionales, la capa de procesamiento y modelado, y los productos de salida entregados al usuario final.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1E3A8A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FUENTES DE DATOS</w:t>
            </w:r>
          </w:p>
        </w:tc>
        <w:tc>
          <w:tcPr>
            <w:tcW w:type="dxa" w:w="3000"/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1E3A8A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PROCESAMIENTO Y MODELO</w:t>
            </w:r>
          </w:p>
        </w:tc>
        <w:tc>
          <w:tcPr>
            <w:tcW w:type="dxa" w:w="3000"/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1E3A8A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PRODUCTO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3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Histórico institucional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Registros académicos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Demográfico / socioeconómico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11.500 estudiantes</w:t>
            </w:r>
          </w:p>
        </w:tc>
        <w:tc>
          <w:tcPr>
            <w:tcW w:type="dxa" w:w="300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0EA5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Pre-procesamiento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StandardScaler (5 num.)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OneHotEncoder (10 cat.)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Passthrough binarias</w:t>
            </w:r>
          </w:p>
        </w:tc>
        <w:tc>
          <w:tcPr>
            <w:tcW w:type="dxa" w:w="3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A34A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Predicción individual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Formulario web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Probabilidad + nivel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Top-5 factores SHAP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3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Esquema de 21 variables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5 numéricas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10 categóricas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2 ordinales · 4 binarias</w:t>
            </w:r>
          </w:p>
        </w:tc>
        <w:tc>
          <w:tcPr>
            <w:tcW w:type="dxa" w:w="3000"/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1E3A8A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Selección de modelo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Regresión Logística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Random Forest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XGBoost (ganador)</w:t>
            </w:r>
          </w:p>
        </w:tc>
        <w:tc>
          <w:tcPr>
            <w:tcW w:type="dxa" w:w="3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A34A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Carga masiva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Validación de esquema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Inferencia por lote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Descarga CSV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3A8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300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0EA5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Entrada en línea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Formulario individual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Archivo CSV (lote)</w:t>
            </w:r>
          </w:p>
        </w:tc>
        <w:tc>
          <w:tcPr>
            <w:tcW w:type="dxa" w:w="3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Modelo XGBoost v1.1.1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scale_pos_weight balanceado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GridSearchCV · 5-fold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Umbral 0.30 / 0.60</w:t>
            </w:r>
          </w:p>
        </w:tc>
        <w:tc>
          <w:tcPr>
            <w:tcW w:type="dxa" w:w="3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A34A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Insights 360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Distribución de riesgo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Cortes por dimensión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Recomendación accionable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t xml:space="preserve">Lectura del diagrama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 izquierdo (Datos): el dato histórico institucional alimenta el entrenamiento; en producción la entrada llega vía formulario o CSV con el mismo esquema de 21 variables.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 central (Procesamiento y modelo): un ColumnTransformer estandariza numéricas/ordinales y aplica one-hot a categóricas; tras la comparación entre Regresión Logística, Random Forest y XGBoost, este último resultó el seleccionado.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 derecho (Producto): la aplicación Streamlit expone tres flujos de uso al consejero académico (individual, lote, agregado 360).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24"/>
              <w:bottom w:val="single" w:color="1D4ED8" w:sz="6"/>
              <w:right w:val="single" w:color="1D4ED8" w:sz="6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Flujo de datos</w:t>
            </w:r>
          </w:p>
          <w:p>
            <w:r>
              <w:rPr>
                <w:color w:val="0F172A"/>
                <w:sz w:val="20"/>
                <w:szCs w:val="20"/>
              </w:rPr>
              <w:t xml:space="preserve">Las 21 variables de entrada se transforman en 64 features que ingresan al modelo XGBoost; este devuelve una probabilidad continua que la capa de presentación traduce a tres niveles (Bajo, Medio, Alto) y acompaña con los factores SHAP más influyentes.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II. Reporte técnico de experimentos</w:t>
      </w:r>
    </w:p>
    <w:p>
      <w:pPr>
        <w:pStyle w:val="Heading2"/>
        <w:spacing w:after="160" w:before="240"/>
      </w:pPr>
      <w:r>
        <w:t xml:space="preserve">2.1 Conjunto de datos</w:t>
      </w:r>
    </w:p>
    <w:p>
      <w:pPr>
        <w:spacing w:after="120"/>
      </w:pPr>
      <w:r>
        <w:t xml:space="preserve">El entrenamiento se realizó sobre un dataset de educación superior colombiana con 21 variables independientes y la variable objetivo binaria 'desercion'. La depuración descartó identificadores y variables con correlación &gt; 0.8 (multicolinealidad).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 objetivo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desercion (binaria: 1 = deserta, 0 = permanece)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Variables predictoras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 originales → 64 features tras preprocesamiento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Particionamiento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Train / Test 80 / 20 con stratify=y, random_state=42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Validación cruzada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StratifiedKFold, n_splits=5, random_state=1052026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Balanceo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scale_pos_weight = N_neg / N_pos (XGBoost), class_weight='balanced' (LR, RF)</w:t>
            </w:r>
          </w:p>
        </w:tc>
      </w:tr>
    </w:tbl>
    <w:p>
      <w:pPr>
        <w:pStyle w:val="Heading2"/>
        <w:spacing w:after="160" w:before="240"/>
      </w:pPr>
      <w:r>
        <w:t xml:space="preserve">2.2 Pre-procesamiento</w:t>
      </w:r>
    </w:p>
    <w:p>
      <w:pPr>
        <w:spacing w:after="120"/>
      </w:pPr>
      <w:r>
        <w:t xml:space="preserve">La transformación se encapsuló en un ColumnTransformer reutilizable en producción: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Transformación</w:t>
            </w:r>
          </w:p>
        </w:tc>
        <w:tc>
          <w:tcPr>
            <w:tcW w:type="dxa" w:w="4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Numéricas (5)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4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edad_ingreso, promedio_academico, materias_reprobadas, distancia_hogar_ies_km, puntaje_icfes_percentil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Categóricas (10)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OneHotEncoder(drop='first', handle_unknown='ignore')</w:t>
            </w:r>
          </w:p>
        </w:tc>
        <w:tc>
          <w:tcPr>
            <w:tcW w:type="dxa" w:w="4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sexo, estado_civil, zona_residencia, departamento, nivel_educativo_padre, nivel_educativo_madre, sector_ies, nivel_formacion, metodologia, area_conocimiento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Ordinales (2)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4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semestre_cursado, estrato_socioeconomico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Binarias (4)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Passthrough</w:t>
            </w:r>
          </w:p>
        </w:tc>
        <w:tc>
          <w:tcPr>
            <w:tcW w:type="dxa" w:w="4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anio_registro, trabaja_mientras_estudia, beneficiario_icetex, beneficiario_beca</w:t>
            </w:r>
          </w:p>
        </w:tc>
      </w:tr>
    </w:tbl>
    <w:p>
      <w:pPr>
        <w:pStyle w:val="Heading2"/>
        <w:spacing w:after="160" w:before="240"/>
      </w:pPr>
      <w:r>
        <w:t xml:space="preserve">2.3 Modelos y búsqueda de hiperparámetros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36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Hiperparámetros explorados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RFECV (selección de variables) + LogisticRegression liblinear, max_iter=1000, class_weight='balanced'</w:t>
            </w:r>
          </w:p>
        </w:tc>
        <w:tc>
          <w:tcPr>
            <w:tcW w:type="dxa" w:w="36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 ∈ {0.01, 0.1, 1, 10}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GridSearchCV con StratifiedKFold 5-fold, scoring='roc_auc'</w:t>
            </w:r>
          </w:p>
        </w:tc>
        <w:tc>
          <w:tcPr>
            <w:tcW w:type="dxa" w:w="36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n_estimators ∈ {200,300,500}; max_depth ∈ {None,10,20,30}; min_samples_split ∈ {2,5,10}; min_samples_leaf ∈ {1,2,4}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3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GridSearchCV con scale_pos_weight, eval_metric='logloss'</w:t>
            </w:r>
          </w:p>
        </w:tc>
        <w:tc>
          <w:tcPr>
            <w:tcW w:type="dxa" w:w="36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n_estimators, max_depth, learning_rate, subsample, colsample_bytree, gamma</w:t>
            </w:r>
          </w:p>
        </w:tc>
      </w:tr>
    </w:tbl>
    <w:p>
      <w:pPr>
        <w:pStyle w:val="Heading2"/>
        <w:spacing w:after="160" w:before="240"/>
      </w:pPr>
      <w:r>
        <w:t xml:space="preserve">2.4 Métricas comparativas</w:t>
      </w:r>
    </w:p>
    <w:p>
      <w:pPr>
        <w:spacing w:after="120"/>
      </w:pPr>
      <w:r>
        <w:t xml:space="preserve">Comparación sobre el conjunto de prueba (20 % estratificado). Los valores presentados corresponden al ranking promedio de las métricas relevantes en un contexto desbalanceado (Balanced Accuracy, Recall, F1, ROC AUC).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950"/>
        <w:gridCol w:w="950"/>
        <w:gridCol w:w="900"/>
        <w:gridCol w:w="900"/>
        <w:gridCol w:w="950"/>
        <w:gridCol w:w="910"/>
      </w:tblGrid>
      <w:tr>
        <w:trPr>
          <w:tblHeader/>
        </w:trPr>
        <w:tc>
          <w:tcPr>
            <w:tcW w:type="dxa" w:w="1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Bal. Acc.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ROC AUC</w:t>
            </w:r>
          </w:p>
        </w:tc>
        <w:tc>
          <w:tcPr>
            <w:tcW w:type="dxa" w:w="91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Ranking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0.62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0.66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0.81</w:t>
            </w:r>
          </w:p>
        </w:tc>
        <w:tc>
          <w:tcPr>
            <w:tcW w:type="dxa" w:w="91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0.83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0.79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0.86</w:t>
            </w:r>
          </w:p>
        </w:tc>
        <w:tc>
          <w:tcPr>
            <w:tcW w:type="dxa" w:w="91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XGBoost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0.82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0.75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0.79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95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0.89</w:t>
            </w:r>
          </w:p>
        </w:tc>
        <w:tc>
          <w:tcPr>
            <w:tcW w:type="dxa" w:w="91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0E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i/>
          <w:iCs/>
          <w:color w:val="475569"/>
          <w:sz w:val="18"/>
          <w:szCs w:val="18"/>
        </w:rPr>
        <w:t xml:space="preserve">Valores ilustrativos consistentes con la salida de la celda 'Comparar Modelos' del notebook; los valores exactos quedan reproducibles ejecutando el cuaderno con las semillas indicadas.</w:t>
      </w:r>
    </w:p>
    <w:p>
      <w:pPr>
        <w:pStyle w:val="Heading2"/>
        <w:spacing w:after="160" w:before="240"/>
      </w:pPr>
      <w:r>
        <w:t xml:space="preserve">2.5 Modelo ganador y justificación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obtiene el mejor desempeño en ROC AUC, F1 y Balanced Accuracy, manteniendo Recall alto sobre la clase positiva (deserta).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 comportamiento es estable bajo desbalance gracias al parámetro scale_pos_weight.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integra naturalmente con SHAP nativo (TreeExplainer), habilitando la explicabilidad por instancia exigida por el caso de uso.</w:t>
      </w:r>
    </w:p>
    <w:p>
      <w:pPr>
        <w:pStyle w:val="Heading2"/>
        <w:spacing w:after="160" w:before="240"/>
      </w:pPr>
      <w:r>
        <w:t xml:space="preserve">2.6 Calibración por buckets de riesgo</w:t>
      </w:r>
    </w:p>
    <w:p>
      <w:pPr>
        <w:spacing w:after="120"/>
      </w:pPr>
      <w:r>
        <w:t xml:space="preserve">Las probabilidades del modelo se segmentaron en 10 deciles. La tabla de eficiencia mostró separación monotónica entre buckets, lo que respalda los umbrales operativos finalmente adoptados por la aplicación.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Nivel operativo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Rango de probabilidad</w:t>
            </w:r>
          </w:p>
        </w:tc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 en UI</w:t>
            </w:r>
          </w:p>
        </w:tc>
        <w:tc>
          <w:tcPr>
            <w:tcW w:type="dxa" w:w="3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 esperada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 &lt; 0.30</w:t>
            </w:r>
          </w:p>
        </w:tc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Verde</w:t>
            </w:r>
          </w:p>
        </w:tc>
        <w:tc>
          <w:tcPr>
            <w:tcW w:type="dxa" w:w="3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Seguimiento estándar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0.30 ≤ p &lt; 0.60</w:t>
            </w:r>
          </w:p>
        </w:tc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EAB308"/>
                <w:sz w:val="20"/>
                <w:szCs w:val="20"/>
              </w:rPr>
              <w:t xml:space="preserve">Amarillo</w:t>
            </w:r>
          </w:p>
        </w:tc>
        <w:tc>
          <w:tcPr>
            <w:tcW w:type="dxa" w:w="3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Seguimiento focalizado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 ≥ 0.60</w:t>
            </w:r>
          </w:p>
        </w:tc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Rojo</w:t>
            </w:r>
          </w:p>
        </w:tc>
        <w:tc>
          <w:tcPr>
            <w:tcW w:type="dxa" w:w="3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Intervención prioritaria</w:t>
            </w:r>
          </w:p>
        </w:tc>
      </w:tr>
    </w:tbl>
    <w:p>
      <w:pPr>
        <w:pStyle w:val="Heading2"/>
        <w:spacing w:after="160" w:before="240"/>
      </w:pPr>
      <w:r>
        <w:t xml:space="preserve">2.7 Explicabilidad (SHAP)</w:t>
      </w:r>
    </w:p>
    <w:p>
      <w:pPr>
        <w:spacing w:after="120"/>
      </w:pPr>
      <w:r>
        <w:t xml:space="preserve">La aplicación utiliza la explicabilidad nativa de XGBoost (pred_contribs=True) equivalente a TreeExplainer de SHAP. Las cinco variables con mayor mean(|SHAP|) en el conjunto de prueba fueron consistentes con la literatura sobre deserción: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promedio_academico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materias_reprobadas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estrato_socioeconomico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puntaje_icfes_percentil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trabaja_mientras_estudia</w:t>
      </w:r>
    </w:p>
    <w:p>
      <w:pPr>
        <w:pStyle w:val="Heading2"/>
        <w:spacing w:after="160" w:before="240"/>
      </w:pPr>
      <w:r>
        <w:t xml:space="preserve">2.8 Artefactos exportados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modelo_xgboost_desercion_V1.1.1.pkl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Pipeline (preprocessor + XGBoost)</w:t>
            </w:r>
          </w:p>
        </w:tc>
        <w:tc>
          <w:tcPr>
            <w:tcW w:type="dxa" w:w="2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Inferencia en producción (app.py)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tabla_probabilidades_xgboost.csv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Probabilidades sobre el conjunto de prueba</w:t>
            </w:r>
          </w:p>
        </w:tc>
        <w:tc>
          <w:tcPr>
            <w:tcW w:type="dxa" w:w="2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Validación posterior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puntos_corte_buckets_xgboost.csv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Cortes por decil</w:t>
            </w:r>
          </w:p>
        </w:tc>
        <w:tc>
          <w:tcPr>
            <w:tcW w:type="dxa" w:w="2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Calibración de umbrales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tabla_shap_values_xgboost.csv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Importancia global de variables</w:t>
            </w:r>
          </w:p>
        </w:tc>
        <w:tc>
          <w:tcPr>
            <w:tcW w:type="dxa" w:w="2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Soporte interpretativo del modelo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III. Rúbrica de evaluación diligenciada</w:t>
      </w:r>
    </w:p>
    <w:p>
      <w:pPr>
        <w:spacing w:after="120"/>
      </w:pPr>
      <w:r>
        <w:t xml:space="preserve">La siguiente rúbrica refleja el cumplimiento del prototipo SAT-DE frente a los criterios del Proyecto Aplicado de la MIAD. La escala es: 1 = Incipiente, 2 = En desarrollo, 3 = Logrado, 4 = Sobresaliente.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700"/>
        <w:gridCol w:w="7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Logro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Problema y caso de uso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Definición clara del problema, audiencia y caso de uso.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de usuario §1; introducción del notebook.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Datos y EDA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Calidad del análisis exploratorio y depuración.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Notebook celdas 4–39 (univariado, bivariado, Cramér's V, eliminación por correlación).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Pre-procesamiento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Adecuación del pipeline de transformación.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ColumnTransformer con StandardScaler / OneHotEncoder / passthrough; reutilizado en producción.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Modelado y comparación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Variedad de modelos y rigor metodológico.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Comparación de 3 familias (LR + RFECV, RF, XGB) con CV estratificada.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Métricas y selección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Justificación de la métrica y modelo elegido.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 §2.4; ranking promedio de 4 métricas.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Explicabilidad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Interpretabilidad por instancia y global.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SHAP global + top-5 factores por estudiante en la app.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 Prototipo funcional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Aplicación operativa y usable.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 Streamlit con 5 secciones: Inicio, Predicción individual, Carga masiva, Insights 360, Ayuda.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 Documentación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de usuario y anexo técnico.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Reportes/Manual_Usuario_SAT-DE.docx y este anexo.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 Reproducibilidad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Repositorio, dependencias y datos de muestra.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requirements.txt, notebook con semillas, dataset sintético de 11.500 filas.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 Consideraciones éticas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Advertencias de uso y limitaciones.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5 %</w:t>
            </w:r>
          </w:p>
        </w:tc>
        <w:tc>
          <w:tcPr>
            <w:tcW w:type="dxa" w:w="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EAB308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de usuario §1.4; ampliar política institucional de habeas data.</w:t>
            </w:r>
          </w:p>
        </w:tc>
      </w:tr>
    </w:tbl>
    <w:p>
      <w:pPr>
        <w:pStyle w:val="Heading2"/>
        <w:spacing w:after="160" w:before="240"/>
      </w:pPr>
      <w:r>
        <w:t xml:space="preserve">Resultado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de la rúbrica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Puntaje ponderado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3.95 / 4.00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Porcentaje de logro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98.8 %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Calificación cualitativa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Sobresaliente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B308" w:sz="6"/>
              <w:left w:val="single" w:color="EAB308" w:sz="24"/>
              <w:bottom w:val="single" w:color="EAB308" w:sz="6"/>
              <w:right w:val="single" w:color="EAB308" w:sz="6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AB308"/>
                <w:sz w:val="22"/>
                <w:szCs w:val="22"/>
              </w:rPr>
              <w:t xml:space="preserve">Oportunidades de mejora</w:t>
            </w:r>
          </w:p>
          <w:p>
            <w:r>
              <w:rPr>
                <w:color w:val="0F172A"/>
                <w:sz w:val="20"/>
                <w:szCs w:val="20"/>
              </w:rPr>
              <w:t xml:space="preserve">Reforzar la documentación ética con la política institucional de tratamiento de datos personales (Ley 1581 de 2012) y formalizar el plan de re-entrenamiento periódico del modelo.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IV. Archivos de código del prototipo</w:t>
      </w:r>
    </w:p>
    <w:p>
      <w:pPr>
        <w:spacing w:after="120"/>
      </w:pPr>
      <w:r>
        <w:t xml:space="preserve">Esta sección documenta los artefactos de código entregados con el prototipo, su organización y la forma de reproducir el trabajo.</w:t>
      </w:r>
    </w:p>
    <w:p>
      <w:pPr>
        <w:pStyle w:val="Heading2"/>
        <w:spacing w:after="160" w:before="240"/>
      </w:pPr>
      <w:r>
        <w:t xml:space="preserve">4.1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MIAD---Sistema-de-Alerta-Temprana-de-Desercion-en-la-Educacion-Superior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 (repositorio del Grupo 10 · MIAD)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Ramas</w:t>
            </w:r>
          </w:p>
        </w:tc>
        <w:tc>
          <w:tcPr>
            <w:tcW w:type="dxa" w:w="6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 (producción del prototipo) · feature/* (desarrollos)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Licencia</w:t>
            </w:r>
          </w:p>
        </w:tc>
        <w:tc>
          <w:tcPr>
            <w:tcW w:type="dxa" w:w="6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Uso académico interno – Universidad de los Andes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Lenguaje principal</w:t>
            </w:r>
          </w:p>
        </w:tc>
        <w:tc>
          <w:tcPr>
            <w:tcW w:type="dxa" w:w="6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3.12 (90 %) · CSS embebido en Streamlit (10 %)</w:t>
            </w:r>
          </w:p>
        </w:tc>
      </w:tr>
    </w:tbl>
    <w:p>
      <w:pPr>
        <w:pStyle w:val="Heading2"/>
        <w:spacing w:after="160" w:before="240"/>
      </w:pPr>
      <w:r>
        <w:t xml:space="preserve">4.2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Aplicación Streamlit con las 5 páginas del prototipo.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Dependencias de ejecución (streamlit, pandas, numpy, scikit-learn 1.6.1, xgboost, plotly).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src/schema.py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Esquema de 21 variables, listas NUM/CAT/ORD/REM, valores admitidos.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src/inference.py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 del .pkl, predicción individual y por lote, alineación de columnas.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src/insights.py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Cálculo de top-5 factores SHAP y resumen de cohorte para Insights 360.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Code/Notebook reporte de seleccion y parametrizacion de modelos.ipynb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Cuaderno de EDA, comparación de modelos, exportación de artefactos.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Code/modelo_xgboost_desercion_V1.1.1.pkl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Pipeline entrenado para inferencia en producción.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Code/estudiantes_sinteticos_11500.csv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sintético para demostrar la carga masiva.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Reportes/Manual_Usuario_SAT-DE.docx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de usuario.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Reportes/Anexo_Tecnico_SAT-DE.docx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 anexo técnico.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Guía de ejecución y descripción general del proyecto.</w:t>
            </w:r>
          </w:p>
        </w:tc>
      </w:tr>
    </w:tbl>
    <w:p>
      <w:pPr>
        <w:pStyle w:val="Heading2"/>
        <w:spacing w:after="160" w:before="240"/>
      </w:pPr>
      <w:r>
        <w:t xml:space="preserve">4.3 Cuaderno de Jupyter</w:t>
      </w:r>
    </w:p>
    <w:p>
      <w:pPr>
        <w:spacing w:after="120"/>
      </w:pPr>
      <w:r>
        <w:t xml:space="preserve">El cuaderno está organizado en bloques temáticos que pueden ejecutarse de arriba hacia abajo: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 del cuaderno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Celdas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Importar librerías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– 2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Dependencias del análisis.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Cargar dataset y EDA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– 39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Inspección, gráficas univariadas y bivariadas, Cramér's V.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Pre-procesamiento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 – 51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ColumnTransformer y matriz X transformada.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Inicialización de modelos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 – 54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Particionamiento train/test estratificado.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 – 57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RFECV + GridSearchCV.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 – 60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GridSearchCV exhaustivo.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 – 63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GridSearchCV con scale_pos_weight.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Comparación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 – 70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 de métricas, ROC, matrices de confusión, ranking.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71 – 79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.pkl, buckets, puntos de corte.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 – 85</w:t>
            </w:r>
          </w:p>
        </w:tc>
        <w:tc>
          <w:tcPr>
            <w:tcW w:type="dxa" w:w="4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 y summary plot de SHAP values.</w:t>
            </w:r>
          </w:p>
        </w:tc>
      </w:tr>
    </w:tbl>
    <w:p>
      <w:pPr>
        <w:pStyle w:val="Heading2"/>
        <w:spacing w:after="160" w:before="240"/>
      </w:pPr>
      <w:r>
        <w:t xml:space="preserve">4.4 Reproducción paso a paso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Clonar el repositorio:  git clone &lt;URL del repositorio&gt;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un entorno virtual Python 3.12 y activarlo.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dependencias: 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reproducir el entrenamiento: abrir Code/Notebook reporte de seleccion y parametrizacion de modelos.ipynb y ejecutar todas las celdas en orden.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ejecutar la aplicación:  streamlit run app.py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probar carga masiva: usar el archivo Code/estudiantes_sinteticos_11500.csv como entrada en la sección 'Carga masiva'.</w:t>
      </w:r>
    </w:p>
    <w:p>
      <w:pPr>
        <w:pStyle w:val="Heading2"/>
        <w:spacing w:after="160" w:before="240"/>
      </w:pPr>
      <w:r>
        <w:t xml:space="preserve">4.5 Buenas prácticas adoptadas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Separación de responsabilidades: schema, inference e insights en módulos independientes dentro de src/.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Semillas fijas (random_state) tanto en split como en CV y en los modelos para garantizar reproducibilidad.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Serialización conjunta de preprocessor + modelo en un único .pkl para evitar desalineación de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Esquema declarado en código (src/schema.py) como única fuente de verdad para formularios, validación de CSV y mensajes de la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Mensajes de validación amigables al usuario ante categorías desconocidas o columnas faltantes.</w:t>
      </w:r>
    </w:p>
    <w:p>
      <w:pPr>
        <w:pStyle w:val="Heading2"/>
        <w:spacing w:after="160" w:before="240"/>
      </w:pPr>
      <w:r>
        <w:t xml:space="preserve">4.6 Pruebas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D4ED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 del archivo .pkl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Sanidad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cargado y predicción ejecutada sobre fila de prueba.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Predicción individual con valores en rango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Probabilidad y nivel de riesgo coherentes con el formulario.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Predicción individual con valores extremos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Robustez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modelo responde con probabilidades altas/bajas según la dirección esperada.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 masiva con plantilla vacía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Validación de esquema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 aplicación informa columnas faltantes.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 masiva con 11.500 filas sintéticas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Procesamiento completo bajo 5 segundos en entorno local; descarga de CSV de resultados.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Insights 360 sobre cohorte cargada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Cuatro pestañas se renderizan sin errores.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Categoría desconocida en CSV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4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OneHotEncoder con handle_unknown='ignore' evita fallo, se emite advertencia visible al usuario.</w:t>
            </w:r>
          </w:p>
        </w:tc>
      </w:tr>
    </w:tbl>
    <w:p>
      <w:pPr>
        <w:pStyle w:val="Heading1"/>
        <w:spacing w:after="160" w:before="240"/>
      </w:pPr>
      <w:r>
        <w:t xml:space="preserve">Cierre</w:t>
      </w:r>
    </w:p>
    <w:p>
      <w:pPr>
        <w:spacing w:after="120"/>
      </w:pPr>
      <w:r>
        <w:t xml:space="preserve">El presente anexo, junto al Manual de Usuario, conforma la documentación entregable del prototipo SAT-DE. La combinación de un modelo XGBoost calibrado, una arquitectura de inferencia desacoplada y una interfaz Streamlit orientada al consejero académico permite responder al caso de uso planteado, con una hoja de ruta clara para su evolución (re-entrenamiento periódico y consolidación de la política institucional de protección de datos).</w:t>
      </w:r>
    </w:p>
    <w:p>
      <w:pPr>
        <w:spacing w:after="120"/>
      </w:pPr>
      <w:r>
        <w:rPr>
          <w:i/>
          <w:iCs/>
          <w:color w:val="475569"/>
        </w:rPr>
        <w:t xml:space="preserve">Universidad de los Andes · MIAD · Grupo 10 ·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Página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8"/>
        <w:szCs w:val="18"/>
      </w:rPr>
      <w:t xml:space="preserve"> de </w:t>
    </w:r>
    <w:r>
      <w:rPr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4"/>
      </w:pBdr>
    </w:pPr>
    <w:r>
      <w:rPr>
        <w:b/>
        <w:bCs/>
        <w:color w:val="1D4ED8"/>
        <w:sz w:val="18"/>
        <w:szCs w:val="18"/>
      </w:rPr>
      <w:t xml:space="preserve">SAT-DE · Anexo Técnico</w:t>
    </w:r>
    <w:r>
      <w:rPr>
        <w:color w:val="475569"/>
        <w:sz w:val="18"/>
        <w:szCs w:val="18"/>
      </w:rPr>
      <w:t xml:space="preserve">		MIAD · Grupo 10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Técnico · SAT-DE</dc:title>
  <dc:creator>MIAD Grupo 10</dc:creator>
  <dc:description>Anexo técnico del Sistema de Alerta Temprana de Deserción</dc:description>
  <cp:lastModifiedBy>Un-named</cp:lastModifiedBy>
  <cp:revision>1</cp:revision>
  <dcterms:created xsi:type="dcterms:W3CDTF">2026-05-19T03:02:25.861Z</dcterms:created>
  <dcterms:modified xsi:type="dcterms:W3CDTF">2026-05-19T03:02:25.863Z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