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Diagrama de Despliegue</w:t>
      </w:r>
    </w:p>
    <w:p>
      <w:pPr>
        <w:spacing w:after="360"/>
      </w:pPr>
      <w:r>
        <w:rPr>
          <w:i/>
          <w:iCs/>
          <w:color w:val="757575"/>
        </w:rPr>
        <w:t xml:space="preserve">AppTESCHI — Documentación técnica</w:t>
      </w: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Diagrama de Despliegue — AppTESCHI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Topología física actual (entorno de desarrollo). No existe todavía un despliegue institucional definitivo — ver </w:t>
      </w:r>
      <w:r>
        <w:rPr>
          <w:b/>
          <w:bCs/>
          <w:i/>
          <w:iCs/>
          <w:strike w:val="false"/>
        </w:rPr>
        <w:t xml:space="preserve">03_Manual_Tecnico_Instalacion</w:t>
      </w:r>
      <w:r>
        <w:rPr>
          <w:b w:val="false"/>
          <w:bCs w:val="false"/>
          <w:i/>
          <w:iCs/>
          <w:strike w:val="false"/>
        </w:rPr>
        <w:t xml:space="preserve"> para cómo migrar a uno.</w:t>
      </w:r>
      <w:r>
        <w:br/>
      </w:r>
      <w:r>
        <w:rPr>
          <w:b w:val="false"/>
          <w:bCs w:val="false"/>
          <w:i/>
          <w:iCs/>
          <w:strike w:val="false"/>
        </w:rPr>
        <w:t xml:space="preserve"/>
      </w:r>
      <w:r>
        <w:rPr>
          <w:b/>
          <w:bCs/>
          <w:i/>
          <w:iCs/>
          <w:strike w:val="false"/>
        </w:rPr>
        <w:t xml:space="preserve">Relacionado con:</w:t>
      </w:r>
      <w:r>
        <w:rPr>
          <w:b w:val="false"/>
          <w:bCs w:val="false"/>
          <w:i/>
          <w:iCs/>
          <w:strike w:val="false"/>
        </w:rPr>
        <w:t xml:space="preserve"> </w:t>
      </w:r>
      <w:r>
        <w:rPr>
          <w:b/>
          <w:bCs/>
          <w:i/>
          <w:iCs/>
          <w:strike w:val="false"/>
        </w:rPr>
        <w:t xml:space="preserve">04_Diagrama_Componentes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03_Manual_Tecnico_Instalacion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704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Notas de la topología actual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El </w:t>
      </w:r>
      <w:r>
        <w:rPr>
          <w:b/>
          <w:bCs/>
          <w:i w:val="false"/>
          <w:iCs w:val="false"/>
          <w:strike w:val="false"/>
        </w:rPr>
        <w:t xml:space="preserve">túnel de Cloudflare es efímero</w:t>
      </w:r>
      <w:r>
        <w:rPr>
          <w:b w:val="false"/>
          <w:bCs w:val="false"/>
          <w:i w:val="false"/>
          <w:iCs w:val="false"/>
          <w:strike w:val="false"/>
        </w:rPr>
        <w:t xml:space="preserve">: cada vez que se reinicia, genera una URL nueva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https://&lt;palabras-aleatorias&gt;.trycloudflare.com</w:t>
      </w:r>
      <w:r>
        <w:rPr>
          <w:b w:val="false"/>
          <w:bCs w:val="false"/>
          <w:i w:val="false"/>
          <w:iCs w:val="false"/>
          <w:strike w:val="false"/>
        </w:rPr>
        <w:t xml:space="preserve">). Esa URL se configura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local.properties</w:t>
      </w:r>
      <w:r>
        <w:rPr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API_BASE_URL</w:t>
      </w:r>
      <w:r>
        <w:rPr>
          <w:b w:val="false"/>
          <w:bCs w:val="false"/>
          <w:i w:val="false"/>
          <w:iCs w:val="false"/>
          <w:strike w:val="false"/>
        </w:rPr>
        <w:t xml:space="preserve">) y queda </w:t>
      </w:r>
      <w:r>
        <w:rPr>
          <w:b/>
          <w:bCs/>
          <w:i w:val="false"/>
          <w:iCs w:val="false"/>
          <w:strike w:val="false"/>
        </w:rPr>
        <w:t xml:space="preserve">compilada dentro del APK</w:t>
      </w:r>
      <w:r>
        <w:rPr>
          <w:b w:val="false"/>
          <w:bCs w:val="false"/>
          <w:i w:val="false"/>
          <w:iCs w:val="false"/>
          <w:strike w:val="false"/>
        </w:rPr>
        <w:t xml:space="preserve"> — si el túnel cambia, hay que recompilar y reinstalar la app. Ver </w:t>
      </w:r>
      <w:r>
        <w:rPr>
          <w:b/>
          <w:bCs/>
          <w:i w:val="false"/>
          <w:iCs w:val="false"/>
          <w:strike w:val="false"/>
        </w:rPr>
        <w:t xml:space="preserve">03_Manual_Tecnico_Instalacion</w:t>
      </w:r>
      <w:r>
        <w:rPr>
          <w:b w:val="false"/>
          <w:bCs w:val="false"/>
          <w:i w:val="false"/>
          <w:iCs w:val="false"/>
          <w:strike w:val="false"/>
        </w:rPr>
        <w:t xml:space="preserve"> §"Túnel de desarrollo".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SQL Server Express y el proceso Node.js corren en la </w:t>
      </w:r>
      <w:r>
        <w:rPr>
          <w:b/>
          <w:bCs/>
          <w:i w:val="false"/>
          <w:iCs w:val="false"/>
          <w:strike w:val="false"/>
        </w:rPr>
        <w:t xml:space="preserve">misma máquina física</w:t>
      </w:r>
      <w:r>
        <w:rPr>
          <w:b w:val="false"/>
          <w:bCs w:val="false"/>
          <w:i w:val="false"/>
          <w:iCs w:val="false"/>
          <w:strike w:val="false"/>
        </w:rPr>
        <w:t xml:space="preserve"> (la del desarrollador) — no hay separación entre capa de aplicación y capa de datos todavía.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El acceso a SQL Server desde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server.js</w:t>
      </w:r>
      <w:r>
        <w:rPr>
          <w:b w:val="false"/>
          <w:bCs w:val="false"/>
          <w:i w:val="false"/>
          <w:iCs w:val="false"/>
          <w:strike w:val="false"/>
        </w:rPr>
        <w:t xml:space="preserve"> usa el login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appteschi_api</w:t>
      </w:r>
      <w:r>
        <w:rPr>
          <w:b w:val="false"/>
          <w:bCs w:val="false"/>
          <w:i w:val="false"/>
          <w:iCs w:val="false"/>
          <w:strike w:val="false"/>
        </w:rPr>
        <w:t xml:space="preserve">, con permisos limitados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CONNECT</w:t>
      </w:r>
      <w:r>
        <w:rPr>
          <w:b w:val="false"/>
          <w:bCs w:val="false"/>
          <w:i w:val="false"/>
          <w:iCs w:val="false"/>
          <w:strike w:val="false"/>
        </w:rPr>
        <w:t xml:space="preserve">/DML (no puede alterar el esquema) — los cambios de esquema se aplican con un login con privilegios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sysadmin</w:t>
      </w:r>
      <w:r>
        <w:rPr>
          <w:b w:val="false"/>
          <w:bCs w:val="false"/>
          <w:i w:val="false"/>
          <w:iCs w:val="false"/>
          <w:strike w:val="false"/>
        </w:rPr>
        <w:t xml:space="preserve"> vía Windows Authentication, manualmente.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El teléfono </w:t>
      </w:r>
      <w:r>
        <w:rPr>
          <w:b/>
          <w:bCs/>
          <w:i w:val="false"/>
          <w:iCs w:val="false"/>
          <w:strike w:val="false"/>
        </w:rPr>
        <w:t xml:space="preserve">nunca se conecta directamente a SQL Server</w:t>
      </w:r>
      <w:r>
        <w:rPr>
          <w:b w:val="false"/>
          <w:bCs w:val="false"/>
          <w:i w:val="false"/>
          <w:iCs w:val="false"/>
          <w:strike w:val="false"/>
        </w:rPr>
        <w:t xml:space="preserve">: todo pasa por la API, incluso durante scraping al SIIA (que ocurre desde el propio teléfono, no desde el backend).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Camino a producción (no implementado todavía)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Elemento actual (desarrollo)</w:t>
            </w:r>
          </w:p>
        </w:tc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Reemplazo esperado en producción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Túnel Cloudflare efímero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Dominio institucional fijo con certificado TLS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https://api.appteschi.&lt;dominio&gt;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SQL Server Express en la PC del desarrollador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Servidor SQL Server institucional o instancia administrada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.env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con credenciales en texto plano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Gestor de secretos (Azure Key Vault, variables de entorno del hosting, etc.)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APK debug firmado por defecto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APK/AAB firmado con keystore de producción, distribuido por Play Store o MDM institucional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x-api-key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estática compartida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Autenticación por token de sesión (JWT) por usuario administrador</w:t>
            </w:r>
          </w:p>
        </w:tc>
      </w:tr>
    </w:tbl>
    <w:p>
      <w:pPr>
        <w:spacing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a097e6a834020b87f4e5ca2792803e04a3d01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2026-09-09T07:40:46.559Z</dcterms:created>
  <dcterms:modified xsi:type="dcterms:W3CDTF">2026-09-09T07:40:46.560Z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