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Glosario</w:t>
      </w:r>
    </w:p>
    <w:p>
      <w:pPr>
        <w:spacing w:after="360"/>
      </w:pPr>
      <w:r>
        <w:rPr>
          <w:i/>
          <w:iCs/>
          <w:color w:val="757575"/>
        </w:rPr>
        <w:t xml:space="preserve">AppTESCHI — Documentación técnica</w:t>
      </w:r>
    </w:p>
    <w:p>
      <w:pPr>
        <w:pStyle w:val="Heading1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Glosario — AppTESCHI</w:t>
      </w:r>
    </w:p>
    <w:p>
      <w:pPr>
        <w:pBdr>
          <w:left w:val="single" w:color="4C9A2A" w:sz="12" w:space="8"/>
        </w:pBdr>
        <w:spacing w:after="160"/>
        <w:ind w:left="431"/>
      </w:pPr>
      <w:r>
        <w:rPr>
          <w:b w:val="false"/>
          <w:bCs w:val="false"/>
          <w:i/>
          <w:iCs/>
          <w:strike w:val="false"/>
        </w:rPr>
        <w:t xml:space="preserve">Términos del negocio escolar y términos técnicos usados a lo largo de toda la documentación.</w:t>
      </w:r>
      <w:r>
        <w:br/>
      </w:r>
      <w:r>
        <w:rPr>
          <w:b w:val="false"/>
          <w:bCs w:val="false"/>
          <w:i/>
          <w:iCs/>
          <w:strike w:val="false"/>
        </w:rPr>
        <w:t xml:space="preserve"/>
      </w:r>
      <w:r>
        <w:rPr>
          <w:b/>
          <w:bCs/>
          <w:i/>
          <w:iCs/>
          <w:strike w:val="false"/>
        </w:rPr>
        <w:t xml:space="preserve">Relacionado con:</w:t>
      </w:r>
      <w:r>
        <w:rPr>
          <w:b w:val="false"/>
          <w:bCs w:val="false"/>
          <w:i/>
          <w:iCs/>
          <w:strike w:val="false"/>
        </w:rPr>
        <w:t xml:space="preserve"> </w:t>
      </w:r>
      <w:r>
        <w:rPr>
          <w:b/>
          <w:bCs/>
          <w:i/>
          <w:iCs/>
          <w:strike w:val="false"/>
        </w:rPr>
        <w:t xml:space="preserve">MAPA_PROYECTO</w:t>
      </w:r>
    </w:p>
    <w:p>
      <w:pPr>
        <w:pBdr>
          <w:bottom w:val="single" w:color="AAAAAA" w:sz="6" w:space="1"/>
        </w:pBdr>
        <w:spacing w:after="24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Términos del negocio escolar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Término</w:t>
            </w:r>
          </w:p>
        </w:tc>
        <w:tc>
          <w:tcPr>
            <w:tcW w:type="dxa" w:w="504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Definición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Matrícula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Identificador único de un alumno dentro de la institución (ej.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2022452166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). Equivale a la clave primaria de negocio de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Alumnos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.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SIIA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Sistema Institucional de Información Académica del TESCHI — portal ASP.NET donde vive oficialmente la información escolar. No expone API REST.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Retícula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Documento oficial que define qué materias corresponden a cada semestre de una carrera, con sus créditos. Fuente de verdad para sembrar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PlanEstudioMaterias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.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Reinscripción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Trámite semestral mediante el cual un alumno confirma su continuidad, elige grupo/turno (si es irregular) y sube su comprobante de pago.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Tira de materias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Documento/listado de las materias que un alumno debe cursar en el semestre actual.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Kardex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Historial académico completo de un alumno: todas las materias cursadas, su calificación, estatus y promedio.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Intersemestral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Periodo corto entre semestres regulares donde un alumno puede cursar o recursar una materia.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Alumno regular / irregular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Regular: va al corriente con su plan de estudios, el sistema le asigna grupo automáticamente. Irregular: tiene materias pendientes o adelantadas y debe elegir su grupo.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Carrera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Programa educativo (ej. Ingeniería en Sistemas Computacionales). Tiene una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Clave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corta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ISC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) y un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Nombre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completo.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Grupo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Conjunto de alumnos que cursan juntos un semestre/turno de una carrera en un periodo dado. Clave con formato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{semestre}{carrera}{turno}{numero}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(ej.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9ISC23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).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Turno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Matutino o vespertino — parte de la clave del grupo.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Periodo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Ciclo escolar identificado por año + número (ej. 2026, periodo 2).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Estatus de materia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Aprobada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AP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), No aprobó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NA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) o Por cursar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PC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) — deriva de si existe calificación y si es ≥ 6.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Dar de baja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Desactivar a un alumno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Activo = 0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) sin borrar su información — reversible.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Eliminar (alumno)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Borrar permanentemente al alumno y todo su historial asociado — irreversible.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OTP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trike w:val="false"/>
              </w:rPr>
              <w:t xml:space="preserve">One-Time Password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— código numérico de un solo uso enviado por correo como segundo factor de autenticación.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Términos técnicos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Término</w:t>
            </w:r>
          </w:p>
        </w:tc>
        <w:tc>
          <w:tcPr>
            <w:tcW w:type="dxa" w:w="504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Definición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MVVM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trike w:val="false"/>
              </w:rPr>
              <w:t xml:space="preserve">Model-View-ViewModel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— patrón de arquitectura de la app: la Vista (Composable) observa estado del ViewModel, que orquesta la lógica sin conocer detalles de UI.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Jetpack Compose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Framework declarativo de UI de Android usado en todo el proyecto (sin XML layouts).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shd w:fill="F0F0F0" w:val="clear"/>
              </w:rPr>
              <w:t xml:space="preserve">ViewModel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Clase que sobrevive a recomposiciones/rotaciones, expone estado observable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StateFlow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) y orquesta llamadas a servicios.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shd w:fill="F0F0F0" w:val="clear"/>
              </w:rPr>
              <w:t xml:space="preserve">Result&lt;T&gt;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Tipo de Kotlin usado en toda la capa de servicios para representar éxito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Result.success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) o fallo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Result.failure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) sin lanzar excepciones hacia la UI.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Mock / dato simulado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Información generada en el propio cliente (no viene de la base de datos real) — usado en los módulos del alumno que todavía no tienen backend real.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Endpoint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Ruta HTTP expuesta por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AppTeschi.Api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(ej.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POST /api/usuarios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).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shd w:fill="F0F0F0" w:val="clear"/>
              </w:rPr>
              <w:t xml:space="preserve">x-api-key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Cabecera HTTP compartida entre la app y el backend para autorizar operaciones administrativas. No es un esquema de sesión por usuario.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Transacción (SQL)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Conjunto de operaciones que se aplican todas o ninguna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BEGIN TRANSACTION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COMMIT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ROLLBACK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) — usado en la eliminación de alumnos para no dejar datos huérfanos.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Cascada (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shd w:fill="F0F0F0" w:val="clear"/>
              </w:rPr>
              <w:t xml:space="preserve">ON DELETE CASCADE</w:t>
            </w:r>
            <w:r>
              <w:rPr>
                <w:b/>
                <w:bCs/>
                <w:i w:val="false"/>
                <w:iCs w:val="false"/>
                <w:strike w:val="false"/>
              </w:rPr>
              <w:t xml:space="preserve">)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Regla de la base de datos que borra automáticamente filas dependientes cuando se borra la fila principal (ej.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AlumnoCredenciales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al borrar un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Alumno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).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Normalización (3FN)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Diseño de base de datos sin datos duplicados ni dependencias transitivas — cada dato vive en un solo lugar. Ver DEC-014.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Clave foránea (FK)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Columna que referencia la clave primaria de otra tabla, garantizando integridad referencial.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Idempotente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Una operación que produce el mismo resultado sin importar cuántas veces se ejecute — todos los scripts SQL de este proyecto están diseñados así.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Scrypt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Algoritmo de derivación de claves usado para convertir una contraseña en un hash irreversible antes de guardarla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hashPassword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verifyPassword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en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server.js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).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Web scraping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Técnica de extraer datos de un sitio web simulando un navegador (peticiones HTTP + parseo de HTML) — usada para interactuar con el SIIA, que no tiene API.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shd w:fill="F0F0F0" w:val="clear"/>
              </w:rPr>
              <w:t xml:space="preserve">CookieJar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Componente que guarda las cookies de sesión entre peticiones HTTP — en este proyecto, solo en memoria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InMemoryCookieJar.kt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), nunca en disco.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shd w:fill="F0F0F0" w:val="clear"/>
              </w:rPr>
              <w:t xml:space="preserve">__VIEWSTATE</w:t>
            </w:r>
            <w:r>
              <w:rPr>
                <w:b/>
                <w:bCs/>
                <w:i w:val="false"/>
                <w:iCs w:val="false"/>
                <w:strike w:val="false"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shd w:fill="F0F0F0" w:val="clear"/>
              </w:rPr>
              <w:t xml:space="preserve">__EVENTVALIDATION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Campos ocultos que usa ASP.NET Web Forms como estado de formulario y protección anti-CSRF — deben extraerse del HTML antes de cada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POST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al SIIA.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Túnel (Cloudflare)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Proceso que expone un servidor local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localhost:4000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) bajo una URL pública HTTPS, sin necesidad de configurar un dominio o abrir puertos del router.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API key vs. JWT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La API key es una clave estática compartida (usada hoy); un JWT sería un token firmado por usuario con expiración — mejora de seguridad pendiente para producción.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shd w:fill="F0F0F0" w:val="clear"/>
              </w:rPr>
              <w:t xml:space="preserve">BuildConfig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Clase generada por Gradle que expone valores de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local.properties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(URLs, claves) al código Kotlin en tiempo de compilación.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Fake (prueba)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Implementación simplificada de una interfaz (ej.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FakeCuentaAuthService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) usada solo en pruebas unitarias, para no depender de red real.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RF / RNF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Requerimiento Funcional / Requerimiento No Funcional — ver </w:t>
            </w:r>
            <w:r>
              <w:rPr>
                <w:b/>
                <w:bCs/>
                <w:i w:val="false"/>
                <w:iCs w:val="false"/>
                <w:strike w:val="false"/>
              </w:rPr>
              <w:t xml:space="preserve">01_Requerimientos_Funcionales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y </w:t>
            </w:r>
            <w:r>
              <w:rPr>
                <w:b/>
                <w:bCs/>
                <w:i w:val="false"/>
                <w:iCs w:val="false"/>
                <w:strike w:val="false"/>
              </w:rPr>
              <w:t xml:space="preserve">02_Requerimientos_No_Funcionales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.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CU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Caso de Uso — ver </w:t>
            </w:r>
            <w:r>
              <w:rPr>
                <w:b/>
                <w:bCs/>
                <w:i w:val="false"/>
                <w:iCs w:val="false"/>
                <w:strike w:val="false"/>
              </w:rPr>
              <w:t xml:space="preserve">01_Casos_de_Uso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.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CP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Caso de Prueba — ver </w:t>
            </w:r>
            <w:r>
              <w:rPr>
                <w:b/>
                <w:bCs/>
                <w:i w:val="false"/>
                <w:iCs w:val="false"/>
                <w:strike w:val="false"/>
              </w:rPr>
              <w:t xml:space="preserve">02_Catalogo_Casos_de_Prueba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.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DEC-NNN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Identificador de una Decisión Técnica documentada en </w:t>
            </w:r>
            <w:r>
              <w:rPr>
                <w:b/>
                <w:bCs/>
                <w:i w:val="false"/>
                <w:iCs w:val="false"/>
                <w:strike w:val="false"/>
              </w:rPr>
              <w:t xml:space="preserve">DECISIONES_TECNICAS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.</w:t>
            </w:r>
          </w:p>
        </w:tc>
      </w:tr>
    </w:tbl>
    <w:p>
      <w:pPr>
        <w:spacing w:after="16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2026-09-09T07:42:24.677Z</dcterms:created>
  <dcterms:modified xsi:type="dcterms:W3CDTF">2026-09-09T07:42:24.678Z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