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6.png" ContentType="image/png"/>
  <Override PartName="/word/media/rId44.png" ContentType="image/png"/>
  <Override PartName="/word/media/rId39.png" ContentType="image/png"/>
  <Override PartName="/word/media/rId37.png" ContentType="image/png"/>
  <Override PartName="/word/media/rId26.png" ContentType="image/png"/>
  <Override PartName="/word/media/rId45.png" ContentType="image/png"/>
  <Override PartName="/word/media/rId27.png" ContentType="image/png"/>
  <Override PartName="/word/media/rId41.png" ContentType="image/png"/>
  <Override PartName="/word/media/rId43.png" ContentType="image/png"/>
  <Override PartName="/word/media/rId24.jpg" ContentType="image/jpeg"/>
  <Override PartName="/word/media/rId25.jpg" ContentType="image/jpe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Dungeness</w:t>
      </w:r>
      <w:r>
        <w:t xml:space="preserve"> </w:t>
      </w:r>
      <w:r>
        <w:t xml:space="preserve">River</w:t>
      </w:r>
      <w:r>
        <w:t xml:space="preserve"> </w:t>
      </w:r>
      <w:r>
        <w:t xml:space="preserve">Winter</w:t>
      </w:r>
      <w:r>
        <w:t xml:space="preserve"> </w:t>
      </w:r>
      <w:r>
        <w:t xml:space="preserve">Steelhead</w:t>
      </w:r>
      <w:r>
        <w:t xml:space="preserve"> </w:t>
      </w:r>
      <w:r>
        <w:t xml:space="preserve">SONAR-based</w:t>
      </w:r>
      <w:r>
        <w:t xml:space="preserve"> </w:t>
      </w:r>
      <w:r>
        <w:t xml:space="preserve">Escapement</w:t>
      </w:r>
      <w:r>
        <w:t xml:space="preserve"> </w:t>
      </w:r>
      <w:r>
        <w:t xml:space="preserve">Estimates</w:t>
      </w:r>
    </w:p>
    <w:p>
      <w:pPr>
        <w:pStyle w:val="Subtitle"/>
      </w:pPr>
      <w:r>
        <w:t xml:space="preserve">2019</w:t>
      </w:r>
      <w:r>
        <w:t xml:space="preserve"> </w:t>
      </w:r>
      <w:r>
        <w:t xml:space="preserve">-</w:t>
      </w:r>
      <w:r>
        <w:t xml:space="preserve"> </w:t>
      </w:r>
      <w:r>
        <w:t xml:space="preserve">2022</w:t>
      </w:r>
    </w:p>
    <w:p>
      <w:pPr>
        <w:pStyle w:val="Author"/>
      </w:pPr>
      <w:r>
        <w:t xml:space="preserve">Bethany Craig</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Kevin See</w:t>
      </w:r>
      <w:r>
        <w:rPr>
          <w:vertAlign w:val="superscript"/>
        </w:rPr>
        <w:t xml:space="preserve">1</w:t>
      </w:r>
      <w:r>
        <w:t xml:space="preserve">,</w:t>
      </w:r>
      <w:r>
        <w:t xml:space="preserve"> </w:t>
      </w:r>
      <w:r>
        <w:t xml:space="preserve">and</w:t>
      </w:r>
      <w:r>
        <w:t xml:space="preserve"> </w:t>
      </w:r>
      <w:r>
        <w:t xml:space="preserve">Joseph Anderson</w:t>
      </w:r>
      <w:r>
        <w:rPr>
          <w:vertAlign w:val="superscript"/>
        </w:rPr>
        <w:t xml:space="preserve">1</w:t>
      </w:r>
    </w:p>
    <w:p>
      <w:pPr>
        <w:pStyle w:val="Date"/>
      </w:pPr>
      <w:r>
        <w:t xml:space="preserve">September</w:t>
      </w:r>
      <w:r>
        <w:t xml:space="preserve"> </w:t>
      </w:r>
      <w:r>
        <w:t xml:space="preserve">08,</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vertAlign w:val="superscript"/>
        </w:rPr>
        <w:t xml:space="preserve">1</w:t>
      </w:r>
      <w:r>
        <w:t xml:space="preserve"> </w:t>
      </w:r>
      <w:r>
        <w:t xml:space="preserve">Washington Department of Fish &amp; Wildlife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Bethany Craig &lt;</w:t>
        </w:r>
        <w:hyperlink r:id="rId20">
          <w:r>
            <w:rPr>
              <w:rStyle w:val="Hyperlink"/>
            </w:rPr>
            <w:t xml:space="preserve">Bethany.Craig@dfw.wa.gov</w:t>
          </w:r>
        </w:hyperlink>
        <w:r>
          <w:rPr>
            <w:rStyle w:val="Hyperlink"/>
          </w:rPr>
          <w:t xml:space="preserve">&gt;</w:t>
        </w:r>
      </w:hyperlink>
    </w:p>
    <w:p>
      <w:r>
        <w:br w:type="page"/>
      </w:r>
    </w:p>
    <w:bookmarkStart w:id="21" w:name="executive-summary"/>
    <w:p>
      <w:pPr>
        <w:pStyle w:val="Heading1"/>
      </w:pPr>
      <w:r>
        <w:rPr>
          <w:rStyle w:val="SectionNumber"/>
        </w:rPr>
        <w:t xml:space="preserve">1</w:t>
      </w:r>
      <w:r>
        <w:tab/>
      </w:r>
      <w:r>
        <w:t xml:space="preserve">Executive Summary</w:t>
      </w:r>
    </w:p>
    <w:p>
      <w:pPr>
        <w:pStyle w:val="FirstParagraph"/>
      </w:pPr>
      <w:r>
        <w:t xml:space="preserve">This report contains methods and results of SONAR-based escapement estimates for winter steelhead on the Dungeness River from 2019-2022. WDFW deployed a multibeam SONAR unit in the lower Dungeness River during the majority of the steelhead return from either early February or early March through the end of June or July, 2018-2022.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pPr>
        <w:pStyle w:val="BodyText"/>
      </w:pPr>
      <w:r>
        <w:t xml:space="preserve">To exclude similarly sized fish that were not steelhead from our SONAR counts, WDFW conducted weekly species composition sampling in 2021 and 2022 throughout the periods of SONAR operation. The majority of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being a steelhead was greatest during March and April, and least in February and June when more bull trout were present.</w:t>
      </w:r>
    </w:p>
    <w:p>
      <w:pPr>
        <w:pStyle w:val="BodyText"/>
      </w:pPr>
      <w:r>
        <w:t xml:space="preserve">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pPr>
        <w:pStyle w:val="BodyText"/>
      </w:pPr>
      <w:r>
        <w:t xml:space="preserve">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646 (CI 626 – 668) in 2021 to 1,101 (CI 1012 – 1196) in 2020. The SONAR-based estimates were consistently roughly twice the redd-based estimates.</w:t>
      </w:r>
    </w:p>
    <w:p>
      <w:pPr>
        <w:pStyle w:val="BodyText"/>
      </w:pPr>
      <w:r>
        <w:t xml:space="preserve">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Dungeness River steelhead (</w:t>
      </w:r>
      <w:r>
        <w:rPr>
          <w:iCs/>
          <w:i/>
        </w:rPr>
        <w:t xml:space="preserve">Onchorhynchus mykiss</w:t>
      </w:r>
      <w:r>
        <w:t xml:space="preserve">) are part of the Puget Sound Steelhead Distinct Population Segment (DPS), which includes all naturally spawned steelhead below migration barriers in the rivers flowing into the Straight of Juan de Fuca from the Elwha (inclusive) eastward, Hood Canal, and Puget Sound</w:t>
      </w:r>
      <w:r>
        <w:t xml:space="preserve"> </w:t>
      </w:r>
      <w:r>
        <w:t xml:space="preserve">(Myers et al. 2015)</w:t>
      </w:r>
      <w:r>
        <w:t xml:space="preserve">. The Puget Sound steelhead DPS was listed as threatened under the Endangered Species Act (ESA) in May 2007, and subsequent species status reviews have upheld the threatened listing</w:t>
      </w:r>
      <w:r>
        <w:t xml:space="preserve"> </w:t>
      </w:r>
      <w:r>
        <w:t xml:space="preserve">(Ford et al. 2011; Northwest Fisheries Science Center 2015)</w:t>
      </w:r>
      <w:r>
        <w:t xml:space="preserve">.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w:t>
      </w:r>
      <w:r>
        <w:t xml:space="preserve"> </w:t>
      </w:r>
      <w:r>
        <w:t xml:space="preserve">(Myers et al. 2015)</w:t>
      </w:r>
      <w:r>
        <w:t xml:space="preserve">. Steelhead in the Dungeness spawn in the mainstem Dungeness up to a waterfall above Gold Creek (RKM 30), and in the Gray Wolf River up to RKM 15.5.</w:t>
      </w:r>
    </w:p>
    <w:p>
      <w:pPr>
        <w:pStyle w:val="BodyText"/>
      </w:pPr>
      <w:r>
        <w:t xml:space="preserve">The Dungeness River is snowmelt dominated and glacially influenced, with headwaters in the Olympia Mountains</w:t>
      </w:r>
      <w:r>
        <w:t xml:space="preserve"> </w:t>
      </w:r>
      <w:r>
        <w:t xml:space="preserve">(Myers et al. 2015)</w:t>
      </w:r>
      <w:r>
        <w:t xml:space="preserve">.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pPr>
        <w:pStyle w:val="BodyText"/>
      </w:pPr>
      <w:r>
        <w:t xml:space="preserve">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2018-2022 seasons.</w:t>
      </w:r>
    </w:p>
    <w:bookmarkEnd w:id="22"/>
    <w:bookmarkStart w:id="35" w:name="methods"/>
    <w:p>
      <w:pPr>
        <w:pStyle w:val="Heading1"/>
      </w:pPr>
      <w:r>
        <w:rPr>
          <w:rStyle w:val="SectionNumber"/>
        </w:rPr>
        <w:t xml:space="preserve">3</w:t>
      </w:r>
      <w:r>
        <w:tab/>
      </w:r>
      <w:r>
        <w:t xml:space="preserve">Methods</w:t>
      </w:r>
    </w:p>
    <w:bookmarkStart w:id="28" w:name="sonar-operation"/>
    <w:p>
      <w:pPr>
        <w:pStyle w:val="Heading2"/>
      </w:pPr>
      <w:r>
        <w:rPr>
          <w:rStyle w:val="SectionNumber"/>
        </w:rPr>
        <w:t xml:space="preserve">3.1</w:t>
      </w:r>
      <w:r>
        <w:tab/>
      </w:r>
      <w:r>
        <w:t xml:space="preserve">SONAR operation</w:t>
      </w:r>
    </w:p>
    <w:p>
      <w:pPr>
        <w:pStyle w:val="FirstParagraph"/>
      </w:pPr>
      <w:r>
        <w:t xml:space="preserve">We deployed the ARIS 1800 Explorer, manufactured by Sound Metrics, of Bellevue, Washington in the lower Dungeness River during the majority of the steelhead run from 2018 through 2022.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pPr>
        <w:pStyle w:val="BodyText"/>
      </w:pPr>
      <w:r>
        <w:t xml:space="preserve">In 2018 the SONAR unit was deployed at approximately at river mile (RM) 0.2, below the majority of steelhead spawning habitat, and ensonified an approximately 20 meter (m) wide run in the river (Figure</w:t>
      </w:r>
      <w:r>
        <w:t xml:space="preserve"> </w:t>
      </w:r>
      <w:r>
        <w:t xml:space="preserve">3.1</w:t>
      </w:r>
      <w:r>
        <w:t xml:space="preserve">). The SONAR unit was mounted to a pole mount and attached to a reinforced ladder, secured to the river bottom by rebar (Figure</w:t>
      </w:r>
      <w:r>
        <w:t xml:space="preserve"> </w:t>
      </w:r>
      <w:r>
        <w:t xml:space="preserve">3.2</w:t>
      </w:r>
      <w:r>
        <w:t xml:space="preserve">).</w:t>
      </w:r>
    </w:p>
    <w:p>
      <w:pPr>
        <w:pStyle w:val="BodyText"/>
      </w:pPr>
      <w:r>
        <w:t xml:space="preserve">Fish frequently milled or held in front of this SONAR site, which made counting fish passage difficult. As a result, in 2019, the SONAR site was moved upstream to approximately RM 0.3, to a site with higher velocity, past which fish actively migrated (Figure</w:t>
      </w:r>
      <w:r>
        <w:t xml:space="preserve"> </w:t>
      </w:r>
      <w:r>
        <w:t xml:space="preserve">3.3</w:t>
      </w:r>
      <w:r>
        <w:t xml:space="preserve">). This site was easily accessible from the field trailer site, which enabled the unit to be directly connected and powered by trailer power, and any adjustments to the SONAR settings to be accomplished in the dry, safe comfort of the trailer.</w:t>
      </w:r>
    </w:p>
    <w:p>
      <w:pPr>
        <w:pStyle w:val="CaptionedFigure"/>
      </w:pPr>
      <w:r>
        <w:drawing>
          <wp:inline>
            <wp:extent cx="5390147" cy="5130265"/>
            <wp:effectExtent b="0" l="0" r="0" t="0"/>
            <wp:docPr descr="Figure 3.1: Location of the SONAR site in the lower Dungeness River in 2018 (white) and 2019-2022 (striped)." title="" id="1" name="Picture"/>
            <a:graphic>
              <a:graphicData uri="http://schemas.openxmlformats.org/drawingml/2006/picture">
                <pic:pic>
                  <pic:nvPicPr>
                    <pic:cNvPr descr="../images/site_map.png" id="0" name="Picture"/>
                    <pic:cNvPicPr>
                      <a:picLocks noChangeArrowheads="1" noChangeAspect="1"/>
                    </pic:cNvPicPr>
                  </pic:nvPicPr>
                  <pic:blipFill>
                    <a:blip r:embed="rId23"/>
                    <a:stretch>
                      <a:fillRect/>
                    </a:stretch>
                  </pic:blipFill>
                  <pic:spPr bwMode="auto">
                    <a:xfrm>
                      <a:off x="0" y="0"/>
                      <a:ext cx="5390147" cy="5130265"/>
                    </a:xfrm>
                    <a:prstGeom prst="rect">
                      <a:avLst/>
                    </a:prstGeom>
                    <a:noFill/>
                    <a:ln w="9525">
                      <a:noFill/>
                      <a:headEnd/>
                      <a:tailEnd/>
                    </a:ln>
                  </pic:spPr>
                </pic:pic>
              </a:graphicData>
            </a:graphic>
          </wp:inline>
        </w:drawing>
      </w:r>
    </w:p>
    <w:p>
      <w:pPr>
        <w:pStyle w:val="ImageCaption"/>
      </w:pPr>
      <w:r>
        <w:t xml:space="preserve">Figure 3.1: Location of the SONAR site in the lower Dungeness River in 2018 (white) and 2019-2022 (striped).</w:t>
      </w:r>
    </w:p>
    <w:p>
      <w:pPr>
        <w:pStyle w:val="CaptionedFigure"/>
      </w:pPr>
      <w:r>
        <w:drawing>
          <wp:inline>
            <wp:extent cx="3665912" cy="2747356"/>
            <wp:effectExtent b="0" l="0" r="0" t="0"/>
            <wp:docPr descr="Figure 3.2: SONAR unit deployment via a pole mount and ladder system in the Dungeness River in 2018." title="" id="1" name="Picture"/>
            <a:graphic>
              <a:graphicData uri="http://schemas.openxmlformats.org/drawingml/2006/picture">
                <pic:pic>
                  <pic:nvPicPr>
                    <pic:cNvPr descr="../images/setup_2018.jpg" id="0" name="Picture"/>
                    <pic:cNvPicPr>
                      <a:picLocks noChangeArrowheads="1" noChangeAspect="1"/>
                    </pic:cNvPicPr>
                  </pic:nvPicPr>
                  <pic:blipFill>
                    <a:blip r:embed="rId24"/>
                    <a:stretch>
                      <a:fillRect/>
                    </a:stretch>
                  </pic:blipFill>
                  <pic:spPr bwMode="auto">
                    <a:xfrm>
                      <a:off x="0" y="0"/>
                      <a:ext cx="3665912" cy="2747356"/>
                    </a:xfrm>
                    <a:prstGeom prst="rect">
                      <a:avLst/>
                    </a:prstGeom>
                    <a:noFill/>
                    <a:ln w="9525">
                      <a:noFill/>
                      <a:headEnd/>
                      <a:tailEnd/>
                    </a:ln>
                  </pic:spPr>
                </pic:pic>
              </a:graphicData>
            </a:graphic>
          </wp:inline>
        </w:drawing>
      </w:r>
    </w:p>
    <w:p>
      <w:pPr>
        <w:pStyle w:val="ImageCaption"/>
      </w:pPr>
      <w:r>
        <w:t xml:space="preserve">Figure 3.2: SONAR unit deployment via a pole mount and ladder system in the Dungeness River in 2018.</w:t>
      </w:r>
    </w:p>
    <w:p>
      <w:pPr>
        <w:pStyle w:val="BodyText"/>
      </w:pPr>
      <w:r>
        <w:t xml:space="preserve">Midway through the 2019 season the SONAR unit was mounted on a semi-permanent platform along the hardened left bank, in a spot that is protected and retains adequate depth so that the SONAR unit did not need to be shifted laterally to accommodate changing water levels (Figure</w:t>
      </w:r>
      <w:r>
        <w:t xml:space="preserve"> </w:t>
      </w:r>
      <w:r>
        <w:t xml:space="preserve">3.3</w:t>
      </w:r>
      <w:r>
        <w:t xml:space="preserve">).</w:t>
      </w:r>
    </w:p>
    <w:p>
      <w:pPr>
        <w:pStyle w:val="BodyText"/>
      </w:pPr>
      <w:r>
        <w:t xml:space="preserve">In all years, a picket weir was constructed approximately 1 m above upstream of the SONAR unit from the bank, extending out to approximately 1 m past the SONAR, to deflect debris (Figure</w:t>
      </w:r>
      <w:r>
        <w:t xml:space="preserve"> </w:t>
      </w:r>
      <w:r>
        <w:t xml:space="preserve">3.3</w:t>
      </w:r>
      <w:r>
        <w:t xml:space="preserve">). A second picket weir was constructed approximately 1 m below downstream of the SONAR unit to direct migrating fish out in front of the unit.</w:t>
      </w:r>
    </w:p>
    <w:p>
      <w:pPr>
        <w:pStyle w:val="CaptionedFigure"/>
      </w:pPr>
      <w:r>
        <w:drawing>
          <wp:inline>
            <wp:extent cx="4085705" cy="3063240"/>
            <wp:effectExtent b="0" l="0" r="0" t="0"/>
            <wp:docPr descr="Figure 3.3: SONAR unit deployment via a pole mount and platform in the Dungeness River in 2020. Picket weir is the upstream picket weir." title="" id="1" name="Picture"/>
            <a:graphic>
              <a:graphicData uri="http://schemas.openxmlformats.org/drawingml/2006/picture">
                <pic:pic>
                  <pic:nvPicPr>
                    <pic:cNvPr descr="../images/setup_2019.jpg" id="0" name="Picture"/>
                    <pic:cNvPicPr>
                      <a:picLocks noChangeArrowheads="1" noChangeAspect="1"/>
                    </pic:cNvPicPr>
                  </pic:nvPicPr>
                  <pic:blipFill>
                    <a:blip r:embed="rId25"/>
                    <a:stretch>
                      <a:fillRect/>
                    </a:stretch>
                  </pic:blipFill>
                  <pic:spPr bwMode="auto">
                    <a:xfrm>
                      <a:off x="0" y="0"/>
                      <a:ext cx="4085705" cy="3063240"/>
                    </a:xfrm>
                    <a:prstGeom prst="rect">
                      <a:avLst/>
                    </a:prstGeom>
                    <a:noFill/>
                    <a:ln w="9525">
                      <a:noFill/>
                      <a:headEnd/>
                      <a:tailEnd/>
                    </a:ln>
                  </pic:spPr>
                </pic:pic>
              </a:graphicData>
            </a:graphic>
          </wp:inline>
        </w:drawing>
      </w:r>
    </w:p>
    <w:p>
      <w:pPr>
        <w:pStyle w:val="ImageCaption"/>
      </w:pPr>
      <w:r>
        <w:t xml:space="preserve">Figure 3.3: SONAR unit deployment via a pole mount and platform in the Dungeness River in 2020. Picket weir is the upstream picket weir.</w:t>
      </w:r>
    </w:p>
    <w:p>
      <w:pPr>
        <w:pStyle w:val="BodyText"/>
      </w:pPr>
      <w:r>
        <w:t xml:space="preserve">The SONAR was operated from early February or early March through late June or mid- to late July each year (Table</w:t>
      </w:r>
      <w:r>
        <w:t xml:space="preserve"> </w:t>
      </w:r>
      <w:r>
        <w:t xml:space="preserve">3.1</w:t>
      </w:r>
      <w:r>
        <w:t xml:space="preserve">, Figure</w:t>
      </w:r>
      <w:r>
        <w:t xml:space="preserve"> </w:t>
      </w:r>
      <w:r>
        <w:t xml:space="preserve">3.4</w:t>
      </w:r>
      <w:r>
        <w:t xml:space="preserve">). Other than a 22-day suspension in 2020 due to COVID-19 protocols, there were few outages and gaps in data collection (Table</w:t>
      </w:r>
      <w:r>
        <w:t xml:space="preserve"> </w:t>
      </w:r>
      <w:r>
        <w:t xml:space="preserve">3.1</w:t>
      </w:r>
      <w:r>
        <w:t xml:space="preserve">, Figure</w:t>
      </w:r>
      <w:r>
        <w:t xml:space="preserve"> </w:t>
      </w:r>
      <w:r>
        <w:t xml:space="preserve">3.4</w:t>
      </w:r>
      <w:r>
        <w:t xml:space="preserve">). SONAR imagery was reviewed for steelhead passage from the first day of operation through at least June 22nd in each year.</w:t>
      </w:r>
    </w:p>
    <w:p>
      <w:pPr>
        <w:pStyle w:val="TableCaption"/>
      </w:pPr>
      <w:r>
        <w:t xml:space="preserve">Table 3.1: SONAR operational dates on the Dungeness River, 2018 - 2022.</w:t>
      </w:r>
    </w:p>
    <w:tbl>
      <w:tblPr>
        <w:tblStyle w:val="Table"/>
        <w:tblW w:type="auto" w:w="0"/>
        <w:tblLook w:firstRow="1" w:lastRow="0" w:firstColumn="0" w:lastColumn="0" w:noHBand="0" w:noVBand="0" w:val="0020"/>
        <w:tblCaption w:val="Table 3.1: SONAR operational dates on the Dungeness River, 2018 - 2022."/>
      </w:tblPr>
      <w:tblGrid>
        <w:gridCol w:w="2640"/>
        <w:gridCol w:w="2640"/>
        <w:gridCol w:w="2640"/>
      </w:tblGrid>
      <w:tr>
        <w:trPr>
          <w:tblHeader w:val="true"/>
        </w:trPr>
        <w:tc>
          <w:tcPr/>
          <w:p>
            <w:pPr>
              <w:pStyle w:val="Compact"/>
              <w:jc w:val="right"/>
            </w:pPr>
            <w:r>
              <w:t xml:space="preserve">Year</w:t>
            </w:r>
          </w:p>
        </w:tc>
        <w:tc>
          <w:tcPr/>
          <w:p>
            <w:pPr>
              <w:pStyle w:val="Compact"/>
              <w:jc w:val="left"/>
            </w:pPr>
            <w:r>
              <w:t xml:space="preserve">First Date</w:t>
            </w:r>
          </w:p>
        </w:tc>
        <w:tc>
          <w:tcPr/>
          <w:p>
            <w:pPr>
              <w:pStyle w:val="Compact"/>
              <w:jc w:val="left"/>
            </w:pPr>
            <w:r>
              <w:t xml:space="preserve">Last Date</w:t>
            </w:r>
          </w:p>
        </w:tc>
      </w:tr>
      <w:tr>
        <w:tc>
          <w:tcPr/>
          <w:p>
            <w:pPr>
              <w:pStyle w:val="Compact"/>
              <w:jc w:val="right"/>
            </w:pPr>
            <w:r>
              <w:t xml:space="preserve">2018</w:t>
            </w:r>
          </w:p>
        </w:tc>
        <w:tc>
          <w:tcPr/>
          <w:p>
            <w:pPr>
              <w:pStyle w:val="Compact"/>
              <w:jc w:val="left"/>
            </w:pPr>
            <w:r>
              <w:t xml:space="preserve">Feb 28</w:t>
            </w:r>
          </w:p>
        </w:tc>
        <w:tc>
          <w:tcPr/>
          <w:p>
            <w:pPr>
              <w:pStyle w:val="Compact"/>
              <w:jc w:val="left"/>
            </w:pPr>
            <w:r>
              <w:t xml:space="preserve">Jul 03</w:t>
            </w:r>
          </w:p>
        </w:tc>
      </w:tr>
      <w:tr>
        <w:tc>
          <w:tcPr/>
          <w:p>
            <w:pPr>
              <w:pStyle w:val="Compact"/>
              <w:jc w:val="right"/>
            </w:pPr>
            <w:r>
              <w:t xml:space="preserve">2019</w:t>
            </w:r>
          </w:p>
        </w:tc>
        <w:tc>
          <w:tcPr/>
          <w:p>
            <w:pPr>
              <w:pStyle w:val="Compact"/>
              <w:jc w:val="left"/>
            </w:pPr>
            <w:r>
              <w:t xml:space="preserve">Mar 05</w:t>
            </w:r>
          </w:p>
        </w:tc>
        <w:tc>
          <w:tcPr/>
          <w:p>
            <w:pPr>
              <w:pStyle w:val="Compact"/>
              <w:jc w:val="left"/>
            </w:pPr>
            <w:r>
              <w:t xml:space="preserve">Jul 17</w:t>
            </w:r>
          </w:p>
        </w:tc>
      </w:tr>
      <w:tr>
        <w:tc>
          <w:tcPr/>
          <w:p>
            <w:pPr>
              <w:pStyle w:val="Compact"/>
              <w:jc w:val="right"/>
            </w:pPr>
            <w:r>
              <w:t xml:space="preserve">2020</w:t>
            </w:r>
          </w:p>
        </w:tc>
        <w:tc>
          <w:tcPr/>
          <w:p>
            <w:pPr>
              <w:pStyle w:val="Compact"/>
              <w:jc w:val="left"/>
            </w:pPr>
            <w:r>
              <w:t xml:space="preserve">Feb 13</w:t>
            </w:r>
          </w:p>
        </w:tc>
        <w:tc>
          <w:tcPr/>
          <w:p>
            <w:pPr>
              <w:pStyle w:val="Compact"/>
              <w:jc w:val="left"/>
            </w:pPr>
            <w:r>
              <w:t xml:space="preserve">Jul 26</w:t>
            </w:r>
          </w:p>
        </w:tc>
      </w:tr>
      <w:tr>
        <w:tc>
          <w:tcPr/>
          <w:p>
            <w:pPr>
              <w:pStyle w:val="Compact"/>
              <w:jc w:val="right"/>
            </w:pPr>
            <w:r>
              <w:t xml:space="preserve">2021</w:t>
            </w:r>
          </w:p>
        </w:tc>
        <w:tc>
          <w:tcPr/>
          <w:p>
            <w:pPr>
              <w:pStyle w:val="Compact"/>
              <w:jc w:val="left"/>
            </w:pPr>
            <w:r>
              <w:t xml:space="preserve">Feb 01</w:t>
            </w:r>
          </w:p>
        </w:tc>
        <w:tc>
          <w:tcPr/>
          <w:p>
            <w:pPr>
              <w:pStyle w:val="Compact"/>
              <w:jc w:val="left"/>
            </w:pPr>
            <w:r>
              <w:t xml:space="preserve">Jun 22</w:t>
            </w:r>
          </w:p>
        </w:tc>
      </w:tr>
      <w:tr>
        <w:tc>
          <w:tcPr/>
          <w:p>
            <w:pPr>
              <w:pStyle w:val="Compact"/>
              <w:jc w:val="right"/>
            </w:pPr>
            <w:r>
              <w:t xml:space="preserve">2022</w:t>
            </w:r>
          </w:p>
        </w:tc>
        <w:tc>
          <w:tcPr/>
          <w:p>
            <w:pPr>
              <w:pStyle w:val="Compact"/>
              <w:jc w:val="left"/>
            </w:pPr>
            <w:r>
              <w:t xml:space="preserve">Feb 09</w:t>
            </w:r>
          </w:p>
        </w:tc>
        <w:tc>
          <w:tcPr/>
          <w:p>
            <w:pPr>
              <w:pStyle w:val="Compact"/>
              <w:jc w:val="left"/>
            </w:pPr>
            <w:r>
              <w:t xml:space="preserve">Jun 25</w:t>
            </w:r>
          </w:p>
        </w:tc>
      </w:tr>
    </w:tbl>
    <w:p>
      <w:pPr>
        <w:pStyle w:val="CaptionedFigure"/>
      </w:pPr>
      <w:r>
        <w:drawing>
          <wp:inline>
            <wp:extent cx="5943600" cy="3226525"/>
            <wp:effectExtent b="0" l="0" r="0" t="0"/>
            <wp:docPr descr="Figure 3.4: Plot of when SONAR was operational (purple) and not (yellow), from Feb 1 through July 31 each year." title="" id="1" name="Picture"/>
            <a:graphic>
              <a:graphicData uri="http://schemas.openxmlformats.org/drawingml/2006/picture">
                <pic:pic>
                  <pic:nvPicPr>
                    <pic:cNvPr descr="../figures/op-fig-1.png" id="0" name="Picture"/>
                    <pic:cNvPicPr>
                      <a:picLocks noChangeArrowheads="1" noChangeAspect="1"/>
                    </pic:cNvPicPr>
                  </pic:nvPicPr>
                  <pic:blipFill>
                    <a:blip r:embed="rId26"/>
                    <a:stretch>
                      <a:fillRect/>
                    </a:stretch>
                  </pic:blipFill>
                  <pic:spPr bwMode="auto">
                    <a:xfrm>
                      <a:off x="0" y="0"/>
                      <a:ext cx="5943600" cy="3226525"/>
                    </a:xfrm>
                    <a:prstGeom prst="rect">
                      <a:avLst/>
                    </a:prstGeom>
                    <a:noFill/>
                    <a:ln w="9525">
                      <a:noFill/>
                      <a:headEnd/>
                      <a:tailEnd/>
                    </a:ln>
                  </pic:spPr>
                </pic:pic>
              </a:graphicData>
            </a:graphic>
          </wp:inline>
        </w:drawing>
      </w:r>
    </w:p>
    <w:p>
      <w:pPr>
        <w:pStyle w:val="ImageCaption"/>
      </w:pPr>
      <w:r>
        <w:t xml:space="preserve">Figure 3.4: Plot of when SONAR was operational (purple) and not (yellow), from Feb 1 through July 31 each year.</w:t>
      </w:r>
    </w:p>
    <w:p>
      <w:pPr>
        <w:pStyle w:val="CaptionedFigure"/>
      </w:pPr>
      <w:r>
        <w:drawing>
          <wp:inline>
            <wp:extent cx="5943600" cy="3226525"/>
            <wp:effectExtent b="0" l="0" r="0" t="0"/>
            <wp:docPr descr="Figure 3.5: Plot of when SONAR was reviewed (purple) and not (yellow), from Feb 1 through July 31 each year." title="" id="1" name="Picture"/>
            <a:graphic>
              <a:graphicData uri="http://schemas.openxmlformats.org/drawingml/2006/picture">
                <pic:pic>
                  <pic:nvPicPr>
                    <pic:cNvPr descr="../figures/review-fig-1.png" id="0" name="Picture"/>
                    <pic:cNvPicPr>
                      <a:picLocks noChangeArrowheads="1" noChangeAspect="1"/>
                    </pic:cNvPicPr>
                  </pic:nvPicPr>
                  <pic:blipFill>
                    <a:blip r:embed="rId27"/>
                    <a:stretch>
                      <a:fillRect/>
                    </a:stretch>
                  </pic:blipFill>
                  <pic:spPr bwMode="auto">
                    <a:xfrm>
                      <a:off x="0" y="0"/>
                      <a:ext cx="5943600" cy="3226525"/>
                    </a:xfrm>
                    <a:prstGeom prst="rect">
                      <a:avLst/>
                    </a:prstGeom>
                    <a:noFill/>
                    <a:ln w="9525">
                      <a:noFill/>
                      <a:headEnd/>
                      <a:tailEnd/>
                    </a:ln>
                  </pic:spPr>
                </pic:pic>
              </a:graphicData>
            </a:graphic>
          </wp:inline>
        </w:drawing>
      </w:r>
    </w:p>
    <w:p>
      <w:pPr>
        <w:pStyle w:val="ImageCaption"/>
      </w:pPr>
      <w:r>
        <w:t xml:space="preserve">Figure 3.5: Plot of when SONAR was reviewed (purple) and not (yellow), from Feb 1 through July 31 each year.</w:t>
      </w:r>
    </w:p>
    <w:bookmarkEnd w:id="28"/>
    <w:bookmarkStart w:id="29" w:name="data-processing"/>
    <w:p>
      <w:pPr>
        <w:pStyle w:val="Heading2"/>
      </w:pPr>
      <w:r>
        <w:rPr>
          <w:rStyle w:val="SectionNumber"/>
        </w:rPr>
        <w:t xml:space="preserve">3.2</w:t>
      </w:r>
      <w:r>
        <w:tab/>
      </w:r>
      <w:r>
        <w:t xml:space="preserve">Data Processing</w:t>
      </w:r>
    </w:p>
    <w:p>
      <w:pPr>
        <w:pStyle w:val="FirstParagraph"/>
      </w:pPr>
      <w:r>
        <w:t xml:space="preserve">In 2018 we reviewed both 30-minute files in each hour, for a total of 48 files per 24-hour period. Data review for 2018 was time-consuming and onerous due to the number of fish milling in front of the SONAR, and we were only able to review 22% of the recorded SONAR imagery over the season (Table</w:t>
      </w:r>
      <w:r>
        <w:t xml:space="preserve"> </w:t>
      </w:r>
      <w:r>
        <w:t xml:space="preserve">3.2</w:t>
      </w:r>
      <w:r>
        <w:t xml:space="preserve">).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2019 - 2022 the first 30 minutes of each hour were processed and reviewed for fish migration. A subset of days was fully reviewed (60 minutes of each hour) to compare fish migration with subsampled data (first 30 minutes of each hour). Another subset of days was double, or triple, reviewed to compare fish counts and lengths among each year’s 2 or 3 data reviewers. Table</w:t>
      </w:r>
      <w:r>
        <w:t xml:space="preserve"> </w:t>
      </w:r>
      <w:r>
        <w:t xml:space="preserve">3.2</w:t>
      </w:r>
      <w:r>
        <w:t xml:space="preserve"> </w:t>
      </w:r>
      <w:r>
        <w:t xml:space="preserve">shows what percentage of the hours were reviewed each year, and how much of the steelhead migration season was captured by operational SONAR.</w:t>
      </w:r>
    </w:p>
    <w:p>
      <w:pPr>
        <w:pStyle w:val="TableCaption"/>
      </w:pPr>
      <w:r>
        <w:t xml:space="preserve">Table 3.2: Number of hours during winter steelhead migration period (Feb 1 - June 15) and what percentage of those hours the SONAR was operational and what percentage of those hours have been reviewed.</w:t>
      </w:r>
    </w:p>
    <w:tbl>
      <w:tblPr>
        <w:tblStyle w:val="Table"/>
        <w:tblW w:type="auto" w:w="0"/>
        <w:tblLook w:firstRow="1" w:lastRow="0" w:firstColumn="0" w:lastColumn="0" w:noHBand="0" w:noVBand="0" w:val="0020"/>
        <w:tblCaption w:val="Table 3.2: Number of hours during winter steelhead migration period (Feb 1 - June 15) and what percentage of those hours the SONAR was operational and what percentage of those hours have been reviewed."/>
      </w:tblPr>
      <w:tblGrid>
        <w:gridCol w:w="1980"/>
        <w:gridCol w:w="1980"/>
        <w:gridCol w:w="1980"/>
        <w:gridCol w:w="1980"/>
      </w:tblGrid>
      <w:tr>
        <w:trPr>
          <w:tblHeader w:val="true"/>
        </w:trPr>
        <w:tc>
          <w:tcPr/>
          <w:p>
            <w:pPr>
              <w:pStyle w:val="Compact"/>
              <w:jc w:val="left"/>
            </w:pPr>
            <w:r>
              <w:t xml:space="preserve">Year</w:t>
            </w:r>
          </w:p>
        </w:tc>
        <w:tc>
          <w:tcPr/>
          <w:p>
            <w:pPr>
              <w:pStyle w:val="Compact"/>
              <w:jc w:val="right"/>
            </w:pPr>
            <w:r>
              <w:t xml:space="preserve">Hours</w:t>
            </w:r>
          </w:p>
        </w:tc>
        <w:tc>
          <w:tcPr/>
          <w:p>
            <w:pPr>
              <w:pStyle w:val="Compact"/>
              <w:jc w:val="right"/>
            </w:pPr>
            <w:r>
              <w:t xml:space="preserve">Operational (%)</w:t>
            </w:r>
          </w:p>
        </w:tc>
        <w:tc>
          <w:tcPr/>
          <w:p>
            <w:pPr>
              <w:pStyle w:val="Compact"/>
              <w:jc w:val="right"/>
            </w:pPr>
            <w:r>
              <w:t xml:space="preserve">Reviewed (%)</w:t>
            </w:r>
          </w:p>
        </w:tc>
      </w:tr>
      <w:tr>
        <w:tc>
          <w:tcPr/>
          <w:p>
            <w:pPr>
              <w:pStyle w:val="Compact"/>
              <w:jc w:val="left"/>
            </w:pPr>
            <w:r>
              <w:t xml:space="preserve">2018</w:t>
            </w:r>
          </w:p>
        </w:tc>
        <w:tc>
          <w:tcPr/>
          <w:p>
            <w:pPr>
              <w:pStyle w:val="Compact"/>
              <w:jc w:val="right"/>
            </w:pPr>
            <w:r>
              <w:t xml:space="preserve">4,344</w:t>
            </w:r>
          </w:p>
        </w:tc>
        <w:tc>
          <w:tcPr/>
          <w:p>
            <w:pPr>
              <w:pStyle w:val="Compact"/>
              <w:jc w:val="right"/>
            </w:pPr>
            <w:r>
              <w:t xml:space="preserve">62.9</w:t>
            </w:r>
          </w:p>
        </w:tc>
        <w:tc>
          <w:tcPr/>
          <w:p>
            <w:pPr>
              <w:pStyle w:val="Compact"/>
              <w:jc w:val="right"/>
            </w:pPr>
            <w:r>
              <w:t xml:space="preserve">22.1</w:t>
            </w:r>
          </w:p>
        </w:tc>
      </w:tr>
      <w:tr>
        <w:tc>
          <w:tcPr/>
          <w:p>
            <w:pPr>
              <w:pStyle w:val="Compact"/>
              <w:jc w:val="left"/>
            </w:pPr>
            <w:r>
              <w:t xml:space="preserve">2019</w:t>
            </w:r>
          </w:p>
        </w:tc>
        <w:tc>
          <w:tcPr/>
          <w:p>
            <w:pPr>
              <w:pStyle w:val="Compact"/>
              <w:jc w:val="right"/>
            </w:pPr>
            <w:r>
              <w:t xml:space="preserve">4,343</w:t>
            </w:r>
          </w:p>
        </w:tc>
        <w:tc>
          <w:tcPr/>
          <w:p>
            <w:pPr>
              <w:pStyle w:val="Compact"/>
              <w:jc w:val="right"/>
            </w:pPr>
            <w:r>
              <w:t xml:space="preserve">73.5</w:t>
            </w:r>
          </w:p>
        </w:tc>
        <w:tc>
          <w:tcPr/>
          <w:p>
            <w:pPr>
              <w:pStyle w:val="Compact"/>
              <w:jc w:val="right"/>
            </w:pPr>
            <w:r>
              <w:t xml:space="preserve">41.3</w:t>
            </w:r>
          </w:p>
        </w:tc>
      </w:tr>
      <w:tr>
        <w:tc>
          <w:tcPr/>
          <w:p>
            <w:pPr>
              <w:pStyle w:val="Compact"/>
              <w:jc w:val="left"/>
            </w:pPr>
            <w:r>
              <w:t xml:space="preserve">2020</w:t>
            </w:r>
          </w:p>
        </w:tc>
        <w:tc>
          <w:tcPr/>
          <w:p>
            <w:pPr>
              <w:pStyle w:val="Compact"/>
              <w:jc w:val="right"/>
            </w:pPr>
            <w:r>
              <w:t xml:space="preserve">4,367</w:t>
            </w:r>
          </w:p>
        </w:tc>
        <w:tc>
          <w:tcPr/>
          <w:p>
            <w:pPr>
              <w:pStyle w:val="Compact"/>
              <w:jc w:val="right"/>
            </w:pPr>
            <w:r>
              <w:t xml:space="preserve">63.8</w:t>
            </w:r>
          </w:p>
        </w:tc>
        <w:tc>
          <w:tcPr/>
          <w:p>
            <w:pPr>
              <w:pStyle w:val="Compact"/>
              <w:jc w:val="right"/>
            </w:pPr>
            <w:r>
              <w:t xml:space="preserve">36.4</w:t>
            </w:r>
          </w:p>
        </w:tc>
      </w:tr>
      <w:tr>
        <w:tc>
          <w:tcPr/>
          <w:p>
            <w:pPr>
              <w:pStyle w:val="Compact"/>
              <w:jc w:val="left"/>
            </w:pPr>
            <w:r>
              <w:t xml:space="preserve">2021</w:t>
            </w:r>
          </w:p>
        </w:tc>
        <w:tc>
          <w:tcPr/>
          <w:p>
            <w:pPr>
              <w:pStyle w:val="Compact"/>
              <w:jc w:val="right"/>
            </w:pPr>
            <w:r>
              <w:t xml:space="preserve">4,343</w:t>
            </w:r>
          </w:p>
        </w:tc>
        <w:tc>
          <w:tcPr/>
          <w:p>
            <w:pPr>
              <w:pStyle w:val="Compact"/>
              <w:jc w:val="right"/>
            </w:pPr>
            <w:r>
              <w:t xml:space="preserve">73.4</w:t>
            </w:r>
          </w:p>
        </w:tc>
        <w:tc>
          <w:tcPr/>
          <w:p>
            <w:pPr>
              <w:pStyle w:val="Compact"/>
              <w:jc w:val="right"/>
            </w:pPr>
            <w:r>
              <w:t xml:space="preserve">41.9</w:t>
            </w:r>
          </w:p>
        </w:tc>
      </w:tr>
      <w:tr>
        <w:tc>
          <w:tcPr/>
          <w:p>
            <w:pPr>
              <w:pStyle w:val="Compact"/>
              <w:jc w:val="left"/>
            </w:pPr>
            <w:r>
              <w:t xml:space="preserve">2022</w:t>
            </w:r>
          </w:p>
        </w:tc>
        <w:tc>
          <w:tcPr/>
          <w:p>
            <w:pPr>
              <w:pStyle w:val="Compact"/>
              <w:jc w:val="right"/>
            </w:pPr>
            <w:r>
              <w:t xml:space="preserve">4,343</w:t>
            </w:r>
          </w:p>
        </w:tc>
        <w:tc>
          <w:tcPr/>
          <w:p>
            <w:pPr>
              <w:pStyle w:val="Compact"/>
              <w:jc w:val="right"/>
            </w:pPr>
            <w:r>
              <w:t xml:space="preserve">71.0</w:t>
            </w:r>
          </w:p>
        </w:tc>
        <w:tc>
          <w:tcPr/>
          <w:p>
            <w:pPr>
              <w:pStyle w:val="Compact"/>
              <w:jc w:val="right"/>
            </w:pPr>
            <w:r>
              <w:t xml:space="preserve">40.5</w:t>
            </w:r>
          </w:p>
        </w:tc>
      </w:tr>
    </w:tbl>
    <w:p>
      <w:pPr>
        <w:pStyle w:val="BodyText"/>
      </w:pPr>
      <w:r>
        <w:t xml:space="preserve">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w:t>
      </w:r>
      <w:r>
        <w:t xml:space="preserve"> </w:t>
      </w:r>
      <w:r>
        <w:t xml:space="preserve">“</w:t>
      </w:r>
      <w:r>
        <w:t xml:space="preserve">tracks.</w:t>
      </w:r>
      <w:r>
        <w:t xml:space="preserve">”</w:t>
      </w:r>
      <w:r>
        <w:t xml:space="preserve"> </w:t>
      </w:r>
      <w:r>
        <w:t xml:space="preserve">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pPr>
        <w:pStyle w:val="BodyText"/>
      </w:pPr>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pPr>
        <w:numPr>
          <w:ilvl w:val="0"/>
          <w:numId w:val="1001"/>
        </w:numPr>
        <w:pStyle w:val="Compact"/>
      </w:pPr>
      <w:r>
        <w:t xml:space="preserve">Date</w:t>
      </w:r>
    </w:p>
    <w:p>
      <w:pPr>
        <w:numPr>
          <w:ilvl w:val="0"/>
          <w:numId w:val="1001"/>
        </w:numPr>
        <w:pStyle w:val="Compact"/>
      </w:pPr>
      <w:r>
        <w:t xml:space="preserve">Hour of the 30-minute image file (e.g., 14:00, 14:30)</w:t>
      </w:r>
    </w:p>
    <w:p>
      <w:pPr>
        <w:numPr>
          <w:ilvl w:val="0"/>
          <w:numId w:val="1001"/>
        </w:numPr>
        <w:pStyle w:val="Compact"/>
      </w:pPr>
      <w:r>
        <w:t xml:space="preserve">Time</w:t>
      </w:r>
    </w:p>
    <w:p>
      <w:pPr>
        <w:numPr>
          <w:ilvl w:val="0"/>
          <w:numId w:val="1001"/>
        </w:numPr>
        <w:pStyle w:val="Compact"/>
      </w:pPr>
      <w:r>
        <w:t xml:space="preserve">Frame</w:t>
      </w:r>
    </w:p>
    <w:p>
      <w:pPr>
        <w:numPr>
          <w:ilvl w:val="0"/>
          <w:numId w:val="1001"/>
        </w:numPr>
        <w:pStyle w:val="Compact"/>
      </w:pPr>
      <w:r>
        <w:t xml:space="preserve">Direction of travel (upstream or downstream)</w:t>
      </w:r>
    </w:p>
    <w:p>
      <w:pPr>
        <w:numPr>
          <w:ilvl w:val="0"/>
          <w:numId w:val="1001"/>
        </w:numPr>
        <w:pStyle w:val="Compact"/>
      </w:pPr>
      <w:r>
        <w:t xml:space="preserve">Range (distance from the SONAR)</w:t>
      </w:r>
    </w:p>
    <w:p>
      <w:pPr>
        <w:numPr>
          <w:ilvl w:val="0"/>
          <w:numId w:val="1001"/>
        </w:numPr>
        <w:pStyle w:val="Compact"/>
      </w:pPr>
      <w:r>
        <w:t xml:space="preserve">Length of the fish in cm</w:t>
      </w:r>
    </w:p>
    <w:p>
      <w:pPr>
        <w:numPr>
          <w:ilvl w:val="0"/>
          <w:numId w:val="1001"/>
        </w:numPr>
        <w:pStyle w:val="Compact"/>
      </w:pPr>
      <w:r>
        <w:t xml:space="preserve">Data reviewer confidence (1 = extremely confident that the object counted is a fish</w:t>
      </w:r>
      <w:r>
        <w:t xml:space="preserve"> </w:t>
      </w:r>
      <m:oMath>
        <m:r>
          <m:rPr>
            <m:sty m:val="p"/>
          </m:rPr>
          <m:t>≥</m:t>
        </m:r>
      </m:oMath>
      <w:r>
        <w:t xml:space="preserve"> </w:t>
      </w:r>
      <w:r>
        <w:t xml:space="preserve">45 cm, 2 = somewhat confident that the object is a fish</w:t>
      </w:r>
      <w:r>
        <w:t xml:space="preserve"> </w:t>
      </w:r>
      <m:oMath>
        <m:r>
          <m:rPr>
            <m:sty m:val="p"/>
          </m:rPr>
          <m:t>≥</m:t>
        </m:r>
      </m:oMath>
      <w:r>
        <w:t xml:space="preserve"> </w:t>
      </w:r>
      <w:r>
        <w:t xml:space="preserve">45 cm, 3 = object of interest)</w:t>
      </w:r>
    </w:p>
    <w:p>
      <w:pPr>
        <w:pStyle w:val="FirstParagraph"/>
      </w:pPr>
      <w:r>
        <w:t xml:space="preserve">If no fish were observed in the 30-minute image file, a line of data with</w:t>
      </w:r>
      <w:r>
        <w:t xml:space="preserve"> </w:t>
      </w:r>
      <w:r>
        <w:t xml:space="preserve">“</w:t>
      </w:r>
      <w:r>
        <w:t xml:space="preserve">NO FISH</w:t>
      </w:r>
      <w:r>
        <w:t xml:space="preserve">”</w:t>
      </w:r>
      <w:r>
        <w:t xml:space="preserve"> </w:t>
      </w:r>
      <w:r>
        <w:t xml:space="preserve">was recorded to indicate that the file was reviewed for fish, but no fish</w:t>
      </w:r>
      <w:r>
        <w:t xml:space="preserve"> </w:t>
      </w:r>
      <m:oMath>
        <m:r>
          <m:rPr>
            <m:sty m:val="p"/>
          </m:rPr>
          <m:t>≥</m:t>
        </m:r>
      </m:oMath>
      <w:r>
        <w:t xml:space="preserve"> </w:t>
      </w:r>
      <w:r>
        <w:t xml:space="preserve">45 cm were present. Marked fish were automatically saved within the image file for later error checking; data were also recorded within an Excel spreadsheet for data summarization and analysis.</w:t>
      </w:r>
    </w:p>
    <w:bookmarkEnd w:id="29"/>
    <w:bookmarkStart w:id="30" w:name="data-reviewer-comparison"/>
    <w:p>
      <w:pPr>
        <w:pStyle w:val="Heading2"/>
      </w:pPr>
      <w:r>
        <w:rPr>
          <w:rStyle w:val="SectionNumber"/>
        </w:rPr>
        <w:t xml:space="preserve">3.3</w:t>
      </w:r>
      <w:r>
        <w:tab/>
      </w:r>
      <w:r>
        <w:t xml:space="preserve">Data Reviewer Comparison</w:t>
      </w:r>
    </w:p>
    <w:p>
      <w:pPr>
        <w:pStyle w:val="FirstParagraph"/>
      </w:pPr>
      <w:r>
        <w:t xml:space="preserve">In several years (2019 - 2022), a subset of SONAR footage was reviewed by all (two or three) of that years’ observers (Table</w:t>
      </w:r>
      <w:r>
        <w:t xml:space="preserve"> </w:t>
      </w:r>
      <w:r>
        <w:t xml:space="preserve">3.3</w:t>
      </w:r>
      <w:r>
        <w:t xml:space="preserve">).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pPr>
        <w:pStyle w:val="BodyText"/>
      </w:pPr>
      <w:r>
        <w:t xml:space="preserve">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pPr>
        <w:pStyle w:val="TableCaption"/>
      </w:pPr>
      <w:r>
        <w:t xml:space="preserve">Table 3.3: Number of distinct days, hours and individual fish that were double or triple reviewed each year.</w:t>
      </w:r>
    </w:p>
    <w:tbl>
      <w:tblPr>
        <w:tblStyle w:val="Table"/>
        <w:tblW w:type="auto" w:w="0"/>
        <w:tblLook w:firstRow="1" w:lastRow="0" w:firstColumn="0" w:lastColumn="0" w:noHBand="0" w:noVBand="0" w:val="0020"/>
        <w:tblCaption w:val="Table 3.3: Number of distinct days, hours and individual fish that were double or triple reviewed each year."/>
      </w:tblPr>
      <w:tblGrid>
        <w:gridCol w:w="1980"/>
        <w:gridCol w:w="1980"/>
        <w:gridCol w:w="1980"/>
        <w:gridCol w:w="1980"/>
      </w:tblGrid>
      <w:tr>
        <w:trPr>
          <w:tblHeader w:val="true"/>
        </w:trPr>
        <w:tc>
          <w:tcPr/>
          <w:p>
            <w:pPr>
              <w:pStyle w:val="Compact"/>
              <w:jc w:val="right"/>
            </w:pPr>
            <w:r>
              <w:t xml:space="preserve">Year</w:t>
            </w:r>
          </w:p>
        </w:tc>
        <w:tc>
          <w:tcPr/>
          <w:p>
            <w:pPr>
              <w:pStyle w:val="Compact"/>
              <w:jc w:val="right"/>
            </w:pPr>
            <w:r>
              <w:t xml:space="preserve">n Days</w:t>
            </w:r>
          </w:p>
        </w:tc>
        <w:tc>
          <w:tcPr/>
          <w:p>
            <w:pPr>
              <w:pStyle w:val="Compact"/>
              <w:jc w:val="right"/>
            </w:pPr>
            <w:r>
              <w:t xml:space="preserve">n Hours</w:t>
            </w:r>
          </w:p>
        </w:tc>
        <w:tc>
          <w:tcPr/>
          <w:p>
            <w:pPr>
              <w:pStyle w:val="Compact"/>
              <w:jc w:val="right"/>
            </w:pPr>
            <w:r>
              <w:t xml:space="preserve">n Fish</w:t>
            </w:r>
          </w:p>
        </w:tc>
      </w:tr>
      <w:tr>
        <w:tc>
          <w:tcPr/>
          <w:p>
            <w:pPr>
              <w:pStyle w:val="Compact"/>
              <w:jc w:val="right"/>
            </w:pPr>
            <w:r>
              <w:t xml:space="preserve">2019</w:t>
            </w:r>
          </w:p>
        </w:tc>
        <w:tc>
          <w:tcPr/>
          <w:p>
            <w:pPr>
              <w:pStyle w:val="Compact"/>
              <w:jc w:val="right"/>
            </w:pPr>
            <w:r>
              <w:t xml:space="preserve">5</w:t>
            </w:r>
          </w:p>
        </w:tc>
        <w:tc>
          <w:tcPr/>
          <w:p>
            <w:pPr>
              <w:pStyle w:val="Compact"/>
              <w:jc w:val="right"/>
            </w:pPr>
            <w:r>
              <w:t xml:space="preserve">32</w:t>
            </w:r>
          </w:p>
        </w:tc>
        <w:tc>
          <w:tcPr/>
          <w:p>
            <w:pPr>
              <w:pStyle w:val="Compact"/>
              <w:jc w:val="right"/>
            </w:pPr>
            <w:r>
              <w:t xml:space="preserve">54</w:t>
            </w:r>
          </w:p>
        </w:tc>
      </w:tr>
      <w:tr>
        <w:tc>
          <w:tcPr/>
          <w:p>
            <w:pPr>
              <w:pStyle w:val="Compact"/>
              <w:jc w:val="right"/>
            </w:pPr>
            <w:r>
              <w:t xml:space="preserve">2020</w:t>
            </w:r>
          </w:p>
        </w:tc>
        <w:tc>
          <w:tcPr/>
          <w:p>
            <w:pPr>
              <w:pStyle w:val="Compact"/>
              <w:jc w:val="right"/>
            </w:pPr>
            <w:r>
              <w:t xml:space="preserve">6</w:t>
            </w:r>
          </w:p>
        </w:tc>
        <w:tc>
          <w:tcPr/>
          <w:p>
            <w:pPr>
              <w:pStyle w:val="Compact"/>
              <w:jc w:val="right"/>
            </w:pPr>
            <w:r>
              <w:t xml:space="preserve">34</w:t>
            </w:r>
          </w:p>
        </w:tc>
        <w:tc>
          <w:tcPr/>
          <w:p>
            <w:pPr>
              <w:pStyle w:val="Compact"/>
              <w:jc w:val="right"/>
            </w:pPr>
            <w:r>
              <w:t xml:space="preserve">51</w:t>
            </w:r>
          </w:p>
        </w:tc>
      </w:tr>
      <w:tr>
        <w:tc>
          <w:tcPr/>
          <w:p>
            <w:pPr>
              <w:pStyle w:val="Compact"/>
              <w:jc w:val="right"/>
            </w:pPr>
            <w:r>
              <w:t xml:space="preserve">2021</w:t>
            </w:r>
          </w:p>
        </w:tc>
        <w:tc>
          <w:tcPr/>
          <w:p>
            <w:pPr>
              <w:pStyle w:val="Compact"/>
              <w:jc w:val="right"/>
            </w:pPr>
            <w:r>
              <w:t xml:space="preserve">12</w:t>
            </w:r>
          </w:p>
        </w:tc>
        <w:tc>
          <w:tcPr/>
          <w:p>
            <w:pPr>
              <w:pStyle w:val="Compact"/>
              <w:jc w:val="right"/>
            </w:pPr>
            <w:r>
              <w:t xml:space="preserve">65</w:t>
            </w:r>
          </w:p>
        </w:tc>
        <w:tc>
          <w:tcPr/>
          <w:p>
            <w:pPr>
              <w:pStyle w:val="Compact"/>
              <w:jc w:val="right"/>
            </w:pPr>
            <w:r>
              <w:t xml:space="preserve">92</w:t>
            </w:r>
          </w:p>
        </w:tc>
      </w:tr>
      <w:tr>
        <w:tc>
          <w:tcPr/>
          <w:p>
            <w:pPr>
              <w:pStyle w:val="Compact"/>
              <w:jc w:val="right"/>
            </w:pPr>
            <w:r>
              <w:t xml:space="preserve">2022</w:t>
            </w:r>
          </w:p>
        </w:tc>
        <w:tc>
          <w:tcPr/>
          <w:p>
            <w:pPr>
              <w:pStyle w:val="Compact"/>
              <w:jc w:val="right"/>
            </w:pPr>
            <w:r>
              <w:t xml:space="preserve">14</w:t>
            </w:r>
          </w:p>
        </w:tc>
        <w:tc>
          <w:tcPr/>
          <w:p>
            <w:pPr>
              <w:pStyle w:val="Compact"/>
              <w:jc w:val="right"/>
            </w:pPr>
            <w:r>
              <w:t xml:space="preserve">69</w:t>
            </w:r>
          </w:p>
        </w:tc>
        <w:tc>
          <w:tcPr/>
          <w:p>
            <w:pPr>
              <w:pStyle w:val="Compact"/>
              <w:jc w:val="right"/>
            </w:pPr>
            <w:r>
              <w:t xml:space="preserve">116</w:t>
            </w:r>
          </w:p>
        </w:tc>
      </w:tr>
    </w:tbl>
    <w:bookmarkEnd w:id="30"/>
    <w:bookmarkStart w:id="31" w:name="species-composition-sampling"/>
    <w:p>
      <w:pPr>
        <w:pStyle w:val="Heading2"/>
      </w:pPr>
      <w:r>
        <w:rPr>
          <w:rStyle w:val="SectionNumber"/>
        </w:rPr>
        <w:t xml:space="preserve">3.4</w:t>
      </w:r>
      <w:r>
        <w:tab/>
      </w:r>
      <w:r>
        <w:t xml:space="preserve">Species Composition Sampling</w:t>
      </w:r>
    </w:p>
    <w:p>
      <w:pPr>
        <w:pStyle w:val="FirstParagraph"/>
      </w:pPr>
      <w:r>
        <w:t xml:space="preserve">Species composition sampling was conducted weekly, as river conditions allowed, during the period of SONAR operations in 2021 and 2022. A fine monofilament gill net 36 feet wide by 8 feet deep with a 2-inch mesh (4-inch stretch) was drifted through all sampleable habitat in the lower river from RM 3.3 to RM 0.5 (2021) or RM 0.8 (2022). Encountered fish were removed immediately from the net, sedated in a solution of tricaine mesylate (MS-222), and sampled for species, origin, length, sex, scales, and DNA. Captured steelhead were assessed for kelt status.</w:t>
      </w:r>
    </w:p>
    <w:p>
      <w:pPr>
        <w:pStyle w:val="BodyText"/>
      </w:pPr>
      <w:r>
        <w:t xml:space="preserve">No regular species composition sampling was conducted in 2018, 2019, or 2020. In 2019, three sampling efforts targeting bull trout were conducted once per week in June at sites throughout the Dungeness and Gray Wolf rivers.</w:t>
      </w:r>
    </w:p>
    <w:bookmarkEnd w:id="31"/>
    <w:bookmarkStart w:id="32" w:name="determining-species"/>
    <w:p>
      <w:pPr>
        <w:pStyle w:val="Heading2"/>
      </w:pPr>
      <w:r>
        <w:rPr>
          <w:rStyle w:val="SectionNumber"/>
        </w:rPr>
        <w:t xml:space="preserve">3.5</w:t>
      </w:r>
      <w:r>
        <w:tab/>
      </w:r>
      <w:r>
        <w:t xml:space="preserve">Determining Species</w:t>
      </w:r>
    </w:p>
    <w:p>
      <w:pPr>
        <w:pStyle w:val="FirstParagraph"/>
      </w:pPr>
      <w:r>
        <w:t xml:space="preserve">Bull trout are swimming past the sonar unit as well as steelhead, and we needed to parse which fish identified by the sonar were steelhead, and exclude any bull trout. The largest bull trout sampled in any species composition data was 67 cm, so we assumed any fish larger than 67 cm detected on the sonar was a steelhead. We then needed to determine of the fish equal to or less than 67 cm long, which of those are steelhead, and which are something else (e.g. bull trout, rainbow trout).</w:t>
      </w:r>
    </w:p>
    <w:p>
      <w:pPr>
        <w:pStyle w:val="BodyText"/>
      </w:pPr>
      <w:r>
        <w:t xml:space="preserve">We modeled the probability of a fish being a steelhead using fork length and the Julian day of capture from the 2021 and 2022 species composition data. Since we only care about differentiating steelhead from other fish, we grouped resident rainbow and cutthroat trout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pPr>
        <w:pStyle w:val="BodyText"/>
      </w:pPr>
      <w:r>
        <w:t xml:space="preserve">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bookmarkEnd w:id="32"/>
    <w:bookmarkStart w:id="34" w:name="abundance-estimation"/>
    <w:p>
      <w:pPr>
        <w:pStyle w:val="Heading2"/>
      </w:pPr>
      <w:r>
        <w:rPr>
          <w:rStyle w:val="SectionNumber"/>
        </w:rPr>
        <w:t xml:space="preserve">3.6</w:t>
      </w:r>
      <w:r>
        <w:tab/>
      </w:r>
      <w:r>
        <w:t xml:space="preserve">Abundance Estimation</w:t>
      </w:r>
    </w:p>
    <w:p>
      <w:pPr>
        <w:pStyle w:val="FirstParagraph"/>
      </w:pPr>
      <w:r>
        <w:t xml:space="preserve">Although data was collected for the 2018 run year, the data quality was insufficient to estimate a steelhead abundance for that year. Because we observed frequent milling behavior at the SONAR site, counts were much higher than subsequent years, and only 29% of the season was reviewed (Table</w:t>
      </w:r>
      <w:r>
        <w:t xml:space="preserve"> </w:t>
      </w:r>
      <w:r>
        <w:t xml:space="preserve">3.4</w:t>
      </w:r>
      <w:r>
        <w:t xml:space="preserve">), we treated 2018 as a pilot year and did not make an escapement estimate.</w:t>
      </w:r>
    </w:p>
    <w:p>
      <w:pPr>
        <w:pStyle w:val="TableCaption"/>
      </w:pPr>
      <w:r>
        <w:t xml:space="preserve">Table 3.4: Number of half hour periods each year between February and mid-June, how many when the SONAR was operational, how many were reviewed and what percentage it was operational and reviewed, 2018 - 2022.</w:t>
      </w:r>
    </w:p>
    <w:tbl>
      <w:tblPr>
        <w:tblStyle w:val="Table"/>
        <w:tblW w:type="auto" w:w="0"/>
        <w:tblLook w:firstRow="1" w:lastRow="0" w:firstColumn="0" w:lastColumn="0" w:noHBand="0" w:noVBand="0" w:val="0020"/>
        <w:tblCaption w:val="Table 3.4: Number of half hour periods each year between February and mid-June, how many when the SONAR was operational, how many were reviewed and what percentage it was operational and reviewed, 2018 - 2022."/>
      </w:tblPr>
      <w:tblGrid>
        <w:gridCol w:w="990"/>
        <w:gridCol w:w="990"/>
        <w:gridCol w:w="990"/>
        <w:gridCol w:w="990"/>
        <w:gridCol w:w="990"/>
        <w:gridCol w:w="990"/>
        <w:gridCol w:w="990"/>
        <w:gridCol w:w="990"/>
      </w:tblGrid>
      <w:tr>
        <w:trPr>
          <w:tblHeader w:val="true"/>
        </w:trPr>
        <w:tc>
          <w:tcPr/>
          <w:p>
            <w:pPr>
              <w:pStyle w:val="Compact"/>
              <w:jc w:val="left"/>
            </w:pPr>
            <w:r>
              <w:t xml:space="preserve">Year</w:t>
            </w:r>
          </w:p>
        </w:tc>
        <w:tc>
          <w:tcPr/>
          <w:p>
            <w:pPr>
              <w:pStyle w:val="Compact"/>
              <w:jc w:val="left"/>
            </w:pPr>
            <w:r>
              <w:t xml:space="preserve">First Day</w:t>
            </w:r>
          </w:p>
        </w:tc>
        <w:tc>
          <w:tcPr/>
          <w:p>
            <w:pPr>
              <w:pStyle w:val="Compact"/>
              <w:jc w:val="left"/>
            </w:pPr>
            <w:r>
              <w:t xml:space="preserve">Last Day</w:t>
            </w:r>
          </w:p>
        </w:tc>
        <w:tc>
          <w:tcPr/>
          <w:p>
            <w:pPr>
              <w:pStyle w:val="Compact"/>
              <w:jc w:val="right"/>
            </w:pPr>
            <w:r>
              <w:t xml:space="preserve">n Periods</w:t>
            </w:r>
          </w:p>
        </w:tc>
        <w:tc>
          <w:tcPr/>
          <w:p>
            <w:pPr>
              <w:pStyle w:val="Compact"/>
              <w:jc w:val="right"/>
            </w:pPr>
            <w:r>
              <w:t xml:space="preserve">n Operational</w:t>
            </w:r>
          </w:p>
        </w:tc>
        <w:tc>
          <w:tcPr/>
          <w:p>
            <w:pPr>
              <w:pStyle w:val="Compact"/>
              <w:jc w:val="right"/>
            </w:pPr>
            <w:r>
              <w:t xml:space="preserve">n Reviewed</w:t>
            </w:r>
          </w:p>
        </w:tc>
        <w:tc>
          <w:tcPr/>
          <w:p>
            <w:pPr>
              <w:pStyle w:val="Compact"/>
              <w:jc w:val="left"/>
            </w:pPr>
            <w:r>
              <w:t xml:space="preserve">Pct Operational</w:t>
            </w:r>
          </w:p>
        </w:tc>
        <w:tc>
          <w:tcPr/>
          <w:p>
            <w:pPr>
              <w:pStyle w:val="Compact"/>
              <w:jc w:val="left"/>
            </w:pPr>
            <w:r>
              <w:t xml:space="preserve">Pct Reviewed</w:t>
            </w:r>
          </w:p>
        </w:tc>
      </w:tr>
      <w:tr>
        <w:tc>
          <w:tcPr/>
          <w:p>
            <w:pPr>
              <w:pStyle w:val="Compact"/>
              <w:jc w:val="left"/>
            </w:pPr>
            <w:r>
              <w:t xml:space="preserve">2018</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4,711</w:t>
            </w:r>
          </w:p>
        </w:tc>
        <w:tc>
          <w:tcPr/>
          <w:p>
            <w:pPr>
              <w:pStyle w:val="Compact"/>
              <w:jc w:val="right"/>
            </w:pPr>
            <w:r>
              <w:t xml:space="preserve">1,866</w:t>
            </w:r>
          </w:p>
        </w:tc>
        <w:tc>
          <w:tcPr/>
          <w:p>
            <w:pPr>
              <w:pStyle w:val="Compact"/>
              <w:jc w:val="left"/>
            </w:pPr>
            <w:r>
              <w:t xml:space="preserve">72.7%</w:t>
            </w:r>
          </w:p>
        </w:tc>
        <w:tc>
          <w:tcPr/>
          <w:p>
            <w:pPr>
              <w:pStyle w:val="Compact"/>
              <w:jc w:val="left"/>
            </w:pPr>
            <w:r>
              <w:t xml:space="preserve">28.8%</w:t>
            </w:r>
          </w:p>
        </w:tc>
      </w:tr>
      <w:tr>
        <w:tc>
          <w:tcPr/>
          <w:p>
            <w:pPr>
              <w:pStyle w:val="Compact"/>
              <w:jc w:val="left"/>
            </w:pPr>
            <w:r>
              <w:t xml:space="preserve">2019</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4,848</w:t>
            </w:r>
          </w:p>
        </w:tc>
        <w:tc>
          <w:tcPr/>
          <w:p>
            <w:pPr>
              <w:pStyle w:val="Compact"/>
              <w:jc w:val="right"/>
            </w:pPr>
            <w:r>
              <w:t xml:space="preserve">2,724</w:t>
            </w:r>
          </w:p>
        </w:tc>
        <w:tc>
          <w:tcPr/>
          <w:p>
            <w:pPr>
              <w:pStyle w:val="Compact"/>
              <w:jc w:val="left"/>
            </w:pPr>
            <w:r>
              <w:t xml:space="preserve">74.8%</w:t>
            </w:r>
          </w:p>
        </w:tc>
        <w:tc>
          <w:tcPr/>
          <w:p>
            <w:pPr>
              <w:pStyle w:val="Compact"/>
              <w:jc w:val="left"/>
            </w:pPr>
            <w:r>
              <w:t xml:space="preserve">42.1%</w:t>
            </w:r>
          </w:p>
        </w:tc>
      </w:tr>
      <w:tr>
        <w:tc>
          <w:tcPr/>
          <w:p>
            <w:pPr>
              <w:pStyle w:val="Compact"/>
              <w:jc w:val="left"/>
            </w:pPr>
            <w:r>
              <w:t xml:space="preserve">2020</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6,526</w:t>
            </w:r>
          </w:p>
        </w:tc>
        <w:tc>
          <w:tcPr/>
          <w:p>
            <w:pPr>
              <w:pStyle w:val="Compact"/>
              <w:jc w:val="right"/>
            </w:pPr>
            <w:r>
              <w:t xml:space="preserve">4,084</w:t>
            </w:r>
          </w:p>
        </w:tc>
        <w:tc>
          <w:tcPr/>
          <w:p>
            <w:pPr>
              <w:pStyle w:val="Compact"/>
              <w:jc w:val="right"/>
            </w:pPr>
            <w:r>
              <w:t xml:space="preserve">2,506</w:t>
            </w:r>
          </w:p>
        </w:tc>
        <w:tc>
          <w:tcPr/>
          <w:p>
            <w:pPr>
              <w:pStyle w:val="Compact"/>
              <w:jc w:val="left"/>
            </w:pPr>
            <w:r>
              <w:t xml:space="preserve">62.6%</w:t>
            </w:r>
          </w:p>
        </w:tc>
        <w:tc>
          <w:tcPr/>
          <w:p>
            <w:pPr>
              <w:pStyle w:val="Compact"/>
              <w:jc w:val="left"/>
            </w:pPr>
            <w:r>
              <w:t xml:space="preserve">38.4%</w:t>
            </w:r>
          </w:p>
        </w:tc>
      </w:tr>
      <w:tr>
        <w:tc>
          <w:tcPr/>
          <w:p>
            <w:pPr>
              <w:pStyle w:val="Compact"/>
              <w:jc w:val="left"/>
            </w:pPr>
            <w:r>
              <w:t xml:space="preserve">2021</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6,070</w:t>
            </w:r>
          </w:p>
        </w:tc>
        <w:tc>
          <w:tcPr/>
          <w:p>
            <w:pPr>
              <w:pStyle w:val="Compact"/>
              <w:jc w:val="right"/>
            </w:pPr>
            <w:r>
              <w:t xml:space="preserve">3,463</w:t>
            </w:r>
          </w:p>
        </w:tc>
        <w:tc>
          <w:tcPr/>
          <w:p>
            <w:pPr>
              <w:pStyle w:val="Compact"/>
              <w:jc w:val="left"/>
            </w:pPr>
            <w:r>
              <w:t xml:space="preserve">93.7%</w:t>
            </w:r>
          </w:p>
        </w:tc>
        <w:tc>
          <w:tcPr/>
          <w:p>
            <w:pPr>
              <w:pStyle w:val="Compact"/>
              <w:jc w:val="left"/>
            </w:pPr>
            <w:r>
              <w:t xml:space="preserve">53.5%</w:t>
            </w:r>
          </w:p>
        </w:tc>
      </w:tr>
      <w:tr>
        <w:tc>
          <w:tcPr/>
          <w:p>
            <w:pPr>
              <w:pStyle w:val="Compact"/>
              <w:jc w:val="left"/>
            </w:pPr>
            <w:r>
              <w:t xml:space="preserve">2022</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5,738</w:t>
            </w:r>
          </w:p>
        </w:tc>
        <w:tc>
          <w:tcPr/>
          <w:p>
            <w:pPr>
              <w:pStyle w:val="Compact"/>
              <w:jc w:val="right"/>
            </w:pPr>
            <w:r>
              <w:t xml:space="preserve">3,276</w:t>
            </w:r>
          </w:p>
        </w:tc>
        <w:tc>
          <w:tcPr/>
          <w:p>
            <w:pPr>
              <w:pStyle w:val="Compact"/>
              <w:jc w:val="left"/>
            </w:pPr>
            <w:r>
              <w:t xml:space="preserve">88.6%</w:t>
            </w:r>
          </w:p>
        </w:tc>
        <w:tc>
          <w:tcPr/>
          <w:p>
            <w:pPr>
              <w:pStyle w:val="Compact"/>
              <w:jc w:val="left"/>
            </w:pPr>
            <w:r>
              <w:t xml:space="preserve">50.6%</w:t>
            </w:r>
          </w:p>
        </w:tc>
      </w:tr>
    </w:tbl>
    <w:p>
      <w:pPr>
        <w:pStyle w:val="BodyText"/>
      </w:pPr>
      <w:r>
        <w:t xml:space="preserve">For 2019 - 2022, SONAR fish targets that were larger than 67 cm or had a greater than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pPr>
        <w:pStyle w:val="BodyText"/>
      </w:pPr>
      <w:r>
        <w:t xml:space="preserve">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pPr>
        <w:pStyle w:val="BodyText"/>
      </w:pPr>
      <w:r>
        <w:t xml:space="preserve">To combine the upstream and downstream estimates, we made one simplifying assumption related to kelting behavior.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bookmarkStart w:id="33" w:name="comparison-with-redd-based-estimates"/>
    <w:p>
      <w:pPr>
        <w:pStyle w:val="Heading3"/>
      </w:pPr>
      <w:r>
        <w:rPr>
          <w:rStyle w:val="SectionNumber"/>
        </w:rPr>
        <w:t xml:space="preserve">3.6.1</w:t>
      </w:r>
      <w:r>
        <w:tab/>
      </w:r>
      <w:r>
        <w:t xml:space="preserve">Comparison with Redd-Based Estimates</w:t>
      </w:r>
    </w:p>
    <w:p>
      <w:pPr>
        <w:pStyle w:val="FirstParagraph"/>
      </w:pPr>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and 2022. Due to COVID, no redd surveys were conducted in 2020, so no redd-based estimate is available.</w:t>
      </w:r>
    </w:p>
    <w:bookmarkEnd w:id="33"/>
    <w:bookmarkEnd w:id="34"/>
    <w:bookmarkEnd w:id="35"/>
    <w:bookmarkStart w:id="48" w:name="results"/>
    <w:p>
      <w:pPr>
        <w:pStyle w:val="Heading1"/>
      </w:pPr>
      <w:r>
        <w:rPr>
          <w:rStyle w:val="SectionNumber"/>
        </w:rPr>
        <w:t xml:space="preserve">4</w:t>
      </w:r>
      <w:r>
        <w:tab/>
      </w:r>
      <w:r>
        <w:t xml:space="preserve">Results</w:t>
      </w:r>
    </w:p>
    <w:bookmarkStart w:id="38" w:name="data-reviewer-comparison-1"/>
    <w:p>
      <w:pPr>
        <w:pStyle w:val="Heading2"/>
      </w:pPr>
      <w:r>
        <w:rPr>
          <w:rStyle w:val="SectionNumber"/>
        </w:rPr>
        <w:t xml:space="preserve">4.1</w:t>
      </w:r>
      <w:r>
        <w:tab/>
      </w:r>
      <w:r>
        <w:t xml:space="preserve">Data Reviewer Comparison</w:t>
      </w:r>
    </w:p>
    <w:p>
      <w:pPr>
        <w:pStyle w:val="FirstParagraph"/>
      </w:pPr>
      <w:r>
        <w:t xml:space="preserve">After summing the counts across days when each pair of observers reviewed the same footage, Table</w:t>
      </w:r>
      <w:r>
        <w:t xml:space="preserve"> </w:t>
      </w:r>
      <w:r>
        <w:t xml:space="preserve">4.1</w:t>
      </w:r>
      <w:r>
        <w:t xml:space="preserve"> </w:t>
      </w:r>
      <w:r>
        <w:t xml:space="preserve">shows the total counts by year and direction (upstream vs. downstream) for each observer. Generally, the upstream counts are very well aligned, and the downstream counts are close although they show more observer-to-observer variability than upstream counts.</w:t>
      </w:r>
    </w:p>
    <w:p>
      <w:pPr>
        <w:pStyle w:val="TableCaption"/>
      </w:pPr>
      <w:r>
        <w:t xml:space="preserve">Table 4.1: Total counts of steelhead by direction and year for each observer pair during days when both observers were counting.</w:t>
      </w:r>
    </w:p>
    <w:tbl>
      <w:tblPr>
        <w:tblStyle w:val="Table"/>
        <w:tblW w:type="auto" w:w="0"/>
        <w:tblLook w:firstRow="1" w:lastRow="0" w:firstColumn="0" w:lastColumn="0" w:noHBand="0" w:noVBand="0" w:val="0020"/>
        <w:tblCaption w:val="Table 4.1: Total counts of steelhead by direction and year for each observer pair during days when both observers were counting."/>
      </w:tblPr>
      <w:tblGrid>
        <w:gridCol w:w="990"/>
        <w:gridCol w:w="990"/>
        <w:gridCol w:w="990"/>
        <w:gridCol w:w="990"/>
        <w:gridCol w:w="990"/>
        <w:gridCol w:w="990"/>
        <w:gridCol w:w="990"/>
        <w:gridCol w:w="990"/>
      </w:tblGrid>
      <w:tr>
        <w:trPr>
          <w:tblHeader w:val="true"/>
        </w:trPr>
        <w:tc>
          <w:tcPr/>
          <w:p>
            <w:pPr>
              <w:pStyle w:val="Compact"/>
              <w:jc w:val="right"/>
            </w:pPr>
            <w:r>
              <w:t xml:space="preserve">Year</w:t>
            </w:r>
          </w:p>
        </w:tc>
        <w:tc>
          <w:tcPr/>
          <w:p>
            <w:pPr>
              <w:pStyle w:val="Compact"/>
              <w:jc w:val="left"/>
            </w:pPr>
            <w:r>
              <w:t xml:space="preserve">Direction</w:t>
            </w:r>
          </w:p>
        </w:tc>
        <w:tc>
          <w:tcPr/>
          <w:p>
            <w:pPr>
              <w:pStyle w:val="Compact"/>
              <w:jc w:val="right"/>
            </w:pPr>
            <w:r>
              <w:t xml:space="preserve">AS</w:t>
            </w:r>
          </w:p>
        </w:tc>
        <w:tc>
          <w:tcPr/>
          <w:p>
            <w:pPr>
              <w:pStyle w:val="Compact"/>
              <w:jc w:val="right"/>
            </w:pPr>
            <w:r>
              <w:t xml:space="preserve">BC</w:t>
            </w:r>
          </w:p>
        </w:tc>
        <w:tc>
          <w:tcPr/>
          <w:p>
            <w:pPr>
              <w:pStyle w:val="Compact"/>
              <w:jc w:val="right"/>
            </w:pPr>
            <w:r>
              <w:t xml:space="preserve">BT</w:t>
            </w:r>
          </w:p>
        </w:tc>
        <w:tc>
          <w:tcPr/>
          <w:p>
            <w:pPr>
              <w:pStyle w:val="Compact"/>
              <w:jc w:val="right"/>
            </w:pPr>
            <w:r>
              <w:t xml:space="preserve">CS</w:t>
            </w:r>
          </w:p>
        </w:tc>
        <w:tc>
          <w:tcPr/>
          <w:p>
            <w:pPr>
              <w:pStyle w:val="Compact"/>
              <w:jc w:val="right"/>
            </w:pPr>
            <w:r>
              <w:t xml:space="preserve">GB</w:t>
            </w:r>
          </w:p>
        </w:tc>
        <w:tc>
          <w:tcPr/>
          <w:p>
            <w:pPr>
              <w:pStyle w:val="Compact"/>
              <w:jc w:val="right"/>
            </w:pPr>
            <w:r>
              <w:t xml:space="preserve">JG</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38</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37</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37</w:t>
            </w:r>
          </w:p>
        </w:tc>
      </w:tr>
      <w:tr>
        <w:tc>
          <w:tcPr/>
          <w:p>
            <w:pPr>
              <w:pStyle w:val="Compact"/>
              <w:jc w:val="right"/>
            </w:pPr>
            <w:r>
              <w:t xml:space="preserve">2020</w:t>
            </w:r>
          </w:p>
        </w:tc>
        <w:tc>
          <w:tcPr/>
          <w:p>
            <w:pPr>
              <w:pStyle w:val="Compact"/>
              <w:jc w:val="left"/>
            </w:pPr>
            <w:r>
              <w:t xml:space="preserve">Upstream</w:t>
            </w:r>
          </w:p>
        </w:tc>
        <w:tc>
          <w:tcPr/>
          <w:p>
            <w:pPr>
              <w:pStyle w:val="Compact"/>
              <w:jc w:val="right"/>
            </w:pPr>
            <w:r>
              <w:t xml:space="preserve">31</w:t>
            </w:r>
          </w:p>
        </w:tc>
        <w:tc>
          <w:tcPr/>
          <w:p>
            <w:pPr>
              <w:pStyle w:val="Compact"/>
              <w:jc w:val="right"/>
            </w:pPr>
            <w:r>
              <w:t xml:space="preserve">-</w:t>
            </w:r>
          </w:p>
        </w:tc>
        <w:tc>
          <w:tcPr/>
          <w:p>
            <w:pPr>
              <w:pStyle w:val="Compact"/>
              <w:jc w:val="right"/>
            </w:pPr>
            <w:r>
              <w:t xml:space="preserve">32</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14</w:t>
            </w:r>
          </w:p>
        </w:tc>
        <w:tc>
          <w:tcPr/>
          <w:p>
            <w:pPr>
              <w:pStyle w:val="Compact"/>
              <w:jc w:val="right"/>
            </w:pPr>
            <w:r>
              <w:t xml:space="preserve">-</w:t>
            </w:r>
          </w:p>
        </w:tc>
        <w:tc>
          <w:tcPr/>
          <w:p>
            <w:pPr>
              <w:pStyle w:val="Compact"/>
              <w:jc w:val="right"/>
            </w:pPr>
            <w:r>
              <w:t xml:space="preserve">13</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26</w:t>
            </w:r>
          </w:p>
        </w:tc>
        <w:tc>
          <w:tcPr/>
          <w:p>
            <w:pPr>
              <w:pStyle w:val="Compact"/>
              <w:jc w:val="right"/>
            </w:pPr>
            <w:r>
              <w:t xml:space="preserve">-</w:t>
            </w:r>
          </w:p>
        </w:tc>
        <w:tc>
          <w:tcPr/>
          <w:p>
            <w:pPr>
              <w:pStyle w:val="Compact"/>
              <w:jc w:val="right"/>
            </w:pPr>
            <w:r>
              <w:t xml:space="preserve">-</w:t>
            </w:r>
          </w:p>
        </w:tc>
        <w:tc>
          <w:tcPr/>
          <w:p>
            <w:pPr>
              <w:pStyle w:val="Compact"/>
              <w:jc w:val="right"/>
            </w:pPr>
            <w:r>
              <w:t xml:space="preserve">26</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3</w:t>
            </w:r>
          </w:p>
        </w:tc>
        <w:tc>
          <w:tcPr/>
          <w:p>
            <w:pPr>
              <w:pStyle w:val="Compact"/>
              <w:jc w:val="right"/>
            </w:pPr>
            <w:r>
              <w:t xml:space="preserve">3</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Upstream</w:t>
            </w:r>
          </w:p>
        </w:tc>
        <w:tc>
          <w:tcPr/>
          <w:p>
            <w:pPr>
              <w:pStyle w:val="Compact"/>
              <w:jc w:val="right"/>
            </w:pPr>
            <w:r>
              <w:t xml:space="preserve">47</w:t>
            </w:r>
          </w:p>
        </w:tc>
        <w:tc>
          <w:tcPr/>
          <w:p>
            <w:pPr>
              <w:pStyle w:val="Compact"/>
              <w:jc w:val="right"/>
            </w:pPr>
            <w:r>
              <w:t xml:space="preserve">-</w:t>
            </w:r>
          </w:p>
        </w:tc>
        <w:tc>
          <w:tcPr/>
          <w:p>
            <w:pPr>
              <w:pStyle w:val="Compact"/>
              <w:jc w:val="right"/>
            </w:pPr>
            <w:r>
              <w:t xml:space="preserve">-</w:t>
            </w:r>
          </w:p>
        </w:tc>
        <w:tc>
          <w:tcPr/>
          <w:p>
            <w:pPr>
              <w:pStyle w:val="Compact"/>
              <w:jc w:val="right"/>
            </w:pPr>
            <w:r>
              <w:t xml:space="preserve">48</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Upstream</w:t>
            </w:r>
          </w:p>
        </w:tc>
        <w:tc>
          <w:tcPr/>
          <w:p>
            <w:pPr>
              <w:pStyle w:val="Compact"/>
              <w:jc w:val="right"/>
            </w:pPr>
            <w:r>
              <w:t xml:space="preserve">54</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40</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46</w:t>
            </w:r>
          </w:p>
        </w:tc>
        <w:tc>
          <w:tcPr/>
          <w:p>
            <w:pPr>
              <w:pStyle w:val="Compact"/>
              <w:jc w:val="right"/>
            </w:pPr>
            <w:r>
              <w:t xml:space="preserve">32</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6</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5</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9</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r>
      <w:tr>
        <w:tc>
          <w:tcPr/>
          <w:p>
            <w:pPr>
              <w:pStyle w:val="Compact"/>
              <w:jc w:val="right"/>
            </w:pPr>
            <w:r>
              <w:t xml:space="preserve">2020</w:t>
            </w:r>
          </w:p>
        </w:tc>
        <w:tc>
          <w:tcPr/>
          <w:p>
            <w:pPr>
              <w:pStyle w:val="Compact"/>
              <w:jc w:val="left"/>
            </w:pPr>
            <w:r>
              <w:t xml:space="preserve">Downstream</w:t>
            </w:r>
          </w:p>
        </w:tc>
        <w:tc>
          <w:tcPr/>
          <w:p>
            <w:pPr>
              <w:pStyle w:val="Compact"/>
              <w:jc w:val="right"/>
            </w:pPr>
            <w:r>
              <w:t xml:space="preserve">15</w:t>
            </w:r>
          </w:p>
        </w:tc>
        <w:tc>
          <w:tcPr/>
          <w:p>
            <w:pPr>
              <w:pStyle w:val="Compact"/>
              <w:jc w:val="right"/>
            </w:pPr>
            <w:r>
              <w:t xml:space="preserve">-</w:t>
            </w:r>
          </w:p>
        </w:tc>
        <w:tc>
          <w:tcPr/>
          <w:p>
            <w:pPr>
              <w:pStyle w:val="Compact"/>
              <w:jc w:val="right"/>
            </w:pPr>
            <w:r>
              <w:t xml:space="preserve">12</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19</w:t>
            </w:r>
          </w:p>
        </w:tc>
        <w:tc>
          <w:tcPr/>
          <w:p>
            <w:pPr>
              <w:pStyle w:val="Compact"/>
              <w:jc w:val="right"/>
            </w:pPr>
            <w:r>
              <w:t xml:space="preserve">-</w:t>
            </w:r>
          </w:p>
        </w:tc>
        <w:tc>
          <w:tcPr/>
          <w:p>
            <w:pPr>
              <w:pStyle w:val="Compact"/>
              <w:jc w:val="right"/>
            </w:pPr>
            <w:r>
              <w:t xml:space="preserve">19</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24</w:t>
            </w:r>
          </w:p>
        </w:tc>
        <w:tc>
          <w:tcPr/>
          <w:p>
            <w:pPr>
              <w:pStyle w:val="Compact"/>
              <w:jc w:val="right"/>
            </w:pPr>
            <w:r>
              <w:t xml:space="preserve">-</w:t>
            </w:r>
          </w:p>
        </w:tc>
        <w:tc>
          <w:tcPr/>
          <w:p>
            <w:pPr>
              <w:pStyle w:val="Compact"/>
              <w:jc w:val="right"/>
            </w:pPr>
            <w:r>
              <w:t xml:space="preserve">-</w:t>
            </w:r>
          </w:p>
        </w:tc>
        <w:tc>
          <w:tcPr/>
          <w:p>
            <w:pPr>
              <w:pStyle w:val="Compact"/>
              <w:jc w:val="right"/>
            </w:pPr>
            <w:r>
              <w:t xml:space="preserve">20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6</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Downstream</w:t>
            </w:r>
          </w:p>
        </w:tc>
        <w:tc>
          <w:tcPr/>
          <w:p>
            <w:pPr>
              <w:pStyle w:val="Compact"/>
              <w:jc w:val="right"/>
            </w:pPr>
            <w:r>
              <w:t xml:space="preserve">20</w:t>
            </w:r>
          </w:p>
        </w:tc>
        <w:tc>
          <w:tcPr/>
          <w:p>
            <w:pPr>
              <w:pStyle w:val="Compact"/>
              <w:jc w:val="right"/>
            </w:pPr>
            <w:r>
              <w:t xml:space="preserve">-</w:t>
            </w:r>
          </w:p>
        </w:tc>
        <w:tc>
          <w:tcPr/>
          <w:p>
            <w:pPr>
              <w:pStyle w:val="Compact"/>
              <w:jc w:val="right"/>
            </w:pPr>
            <w:r>
              <w:t xml:space="preserve">-</w:t>
            </w:r>
          </w:p>
        </w:tc>
        <w:tc>
          <w:tcPr/>
          <w:p>
            <w:pPr>
              <w:pStyle w:val="Compact"/>
              <w:jc w:val="right"/>
            </w:pPr>
            <w:r>
              <w:t xml:space="preserve">12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Downstream</w:t>
            </w:r>
          </w:p>
        </w:tc>
        <w:tc>
          <w:tcPr/>
          <w:p>
            <w:pPr>
              <w:pStyle w:val="Compact"/>
              <w:jc w:val="right"/>
            </w:pPr>
            <w:r>
              <w:t xml:space="preserve">24</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13</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9</w:t>
            </w:r>
          </w:p>
        </w:tc>
        <w:tc>
          <w:tcPr/>
          <w:p>
            <w:pPr>
              <w:pStyle w:val="Compact"/>
              <w:jc w:val="right"/>
            </w:pPr>
            <w:r>
              <w:t xml:space="preserve">6</w:t>
            </w:r>
          </w:p>
        </w:tc>
        <w:tc>
          <w:tcPr/>
          <w:p>
            <w:pPr>
              <w:pStyle w:val="Compact"/>
              <w:jc w:val="right"/>
            </w:pPr>
            <w:r>
              <w:t xml:space="preserve">-</w:t>
            </w:r>
          </w:p>
        </w:tc>
      </w:tr>
    </w:tbl>
    <w:p>
      <w:pPr>
        <w:pStyle w:val="BodyText"/>
      </w:pPr>
      <w:r>
        <w:t xml:space="preserve">The correlation coefficient between each pair of observers, by direction, is show in Table</w:t>
      </w:r>
      <w:r>
        <w:t xml:space="preserve"> </w:t>
      </w:r>
      <w:r>
        <w:t xml:space="preserve">4.2</w:t>
      </w:r>
      <w:r>
        <w:t xml:space="preserve">. Except for observer GB, Correlations for upstream moving fish were all greater than 0.95, while the correlation coefficients for downstream moving fish ranged from -0.25 to 0.87. Several of the weakest correlations did correspond with lower numbers of observed fish.</w:t>
      </w:r>
    </w:p>
    <w:p>
      <w:pPr>
        <w:pStyle w:val="TableCaption"/>
      </w:pPr>
      <w:r>
        <w:t xml:space="preserve">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
        <w:tblW w:type="auto" w:w="0"/>
        <w:tblLook w:firstRow="1" w:lastRow="0" w:firstColumn="0" w:lastColumn="0" w:noHBand="0" w:noVBand="0" w:val="002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131"/>
        <w:gridCol w:w="1131"/>
        <w:gridCol w:w="1131"/>
        <w:gridCol w:w="1131"/>
        <w:gridCol w:w="1131"/>
        <w:gridCol w:w="1131"/>
        <w:gridCol w:w="1131"/>
      </w:tblGrid>
      <w:tr>
        <w:trPr>
          <w:tblHeader w:val="true"/>
        </w:trPr>
        <w:tc>
          <w:tcPr/>
          <w:p>
            <w:pPr>
              <w:pStyle w:val="Compact"/>
              <w:jc w:val="left"/>
            </w:pPr>
            <w:r>
              <w:t xml:space="preserve">Direction</w:t>
            </w:r>
          </w:p>
        </w:tc>
        <w:tc>
          <w:tcPr/>
          <w:p>
            <w:pPr>
              <w:pStyle w:val="Compact"/>
              <w:jc w:val="left"/>
            </w:pPr>
            <w:r>
              <w:t xml:space="preserve">Obs 1</w:t>
            </w:r>
          </w:p>
        </w:tc>
        <w:tc>
          <w:tcPr/>
          <w:p>
            <w:pPr>
              <w:pStyle w:val="Compact"/>
              <w:jc w:val="left"/>
            </w:pPr>
            <w:r>
              <w:t xml:space="preserve">Obs 2</w:t>
            </w:r>
          </w:p>
        </w:tc>
        <w:tc>
          <w:tcPr/>
          <w:p>
            <w:pPr>
              <w:pStyle w:val="Compact"/>
              <w:jc w:val="right"/>
            </w:pPr>
            <w:r>
              <w:t xml:space="preserve">N Days</w:t>
            </w:r>
          </w:p>
        </w:tc>
        <w:tc>
          <w:tcPr/>
          <w:p>
            <w:pPr>
              <w:pStyle w:val="Compact"/>
              <w:jc w:val="right"/>
            </w:pPr>
            <w:r>
              <w:t xml:space="preserve">Obs 1 Fish</w:t>
            </w:r>
          </w:p>
        </w:tc>
        <w:tc>
          <w:tcPr/>
          <w:p>
            <w:pPr>
              <w:pStyle w:val="Compact"/>
              <w:jc w:val="right"/>
            </w:pPr>
            <w:r>
              <w:t xml:space="preserve">Obs 2 Fish</w:t>
            </w:r>
          </w:p>
        </w:tc>
        <w:tc>
          <w:tcPr/>
          <w:p>
            <w:pPr>
              <w:pStyle w:val="Compact"/>
              <w:jc w:val="right"/>
            </w:pPr>
            <w:r>
              <w:t xml:space="preserve">r</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JG</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37</w:t>
            </w:r>
          </w:p>
        </w:tc>
        <w:tc>
          <w:tcPr/>
          <w:p>
            <w:pPr>
              <w:pStyle w:val="Compact"/>
              <w:jc w:val="right"/>
            </w:pPr>
            <w:r>
              <w:t xml:space="preserve">0.998</w:t>
            </w:r>
          </w:p>
        </w:tc>
      </w:tr>
      <w:tr>
        <w:tc>
          <w:tcPr/>
          <w:p>
            <w:pPr>
              <w:pStyle w:val="Compact"/>
              <w:jc w:val="left"/>
            </w:pPr>
            <w:r>
              <w:t xml:space="preserve">Upstream</w:t>
            </w:r>
          </w:p>
        </w:tc>
        <w:tc>
          <w:tcPr/>
          <w:p>
            <w:pPr>
              <w:pStyle w:val="Compact"/>
              <w:jc w:val="left"/>
            </w:pPr>
            <w:r>
              <w:t xml:space="preserve">BC</w:t>
            </w:r>
          </w:p>
        </w:tc>
        <w:tc>
          <w:tcPr/>
          <w:p>
            <w:pPr>
              <w:pStyle w:val="Compact"/>
              <w:jc w:val="left"/>
            </w:pPr>
            <w:r>
              <w:t xml:space="preserve">JG</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37</w:t>
            </w:r>
          </w:p>
        </w:tc>
        <w:tc>
          <w:tcPr/>
          <w:p>
            <w:pPr>
              <w:pStyle w:val="Compact"/>
              <w:jc w:val="right"/>
            </w:pPr>
            <w:r>
              <w:t xml:space="preserve">0.995</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BC</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38</w:t>
            </w:r>
          </w:p>
        </w:tc>
        <w:tc>
          <w:tcPr/>
          <w:p>
            <w:pPr>
              <w:pStyle w:val="Compact"/>
              <w:jc w:val="right"/>
            </w:pPr>
            <w:r>
              <w:t xml:space="preserve">0.991</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BT</w:t>
            </w:r>
          </w:p>
        </w:tc>
        <w:tc>
          <w:tcPr/>
          <w:p>
            <w:pPr>
              <w:pStyle w:val="Compact"/>
              <w:jc w:val="right"/>
            </w:pPr>
            <w:r>
              <w:t xml:space="preserve">11</w:t>
            </w:r>
          </w:p>
        </w:tc>
        <w:tc>
          <w:tcPr/>
          <w:p>
            <w:pPr>
              <w:pStyle w:val="Compact"/>
              <w:jc w:val="right"/>
            </w:pPr>
            <w:r>
              <w:t xml:space="preserve">45</w:t>
            </w:r>
          </w:p>
        </w:tc>
        <w:tc>
          <w:tcPr/>
          <w:p>
            <w:pPr>
              <w:pStyle w:val="Compact"/>
              <w:jc w:val="right"/>
            </w:pPr>
            <w:r>
              <w:t xml:space="preserve">45</w:t>
            </w:r>
          </w:p>
        </w:tc>
        <w:tc>
          <w:tcPr/>
          <w:p>
            <w:pPr>
              <w:pStyle w:val="Compact"/>
              <w:jc w:val="right"/>
            </w:pPr>
            <w:r>
              <w:t xml:space="preserve">0.976</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CS</w:t>
            </w:r>
          </w:p>
        </w:tc>
        <w:tc>
          <w:tcPr/>
          <w:p>
            <w:pPr>
              <w:pStyle w:val="Compact"/>
              <w:jc w:val="right"/>
            </w:pPr>
            <w:r>
              <w:t xml:space="preserve">15</w:t>
            </w:r>
          </w:p>
        </w:tc>
        <w:tc>
          <w:tcPr/>
          <w:p>
            <w:pPr>
              <w:pStyle w:val="Compact"/>
              <w:jc w:val="right"/>
            </w:pPr>
            <w:r>
              <w:t xml:space="preserve">73</w:t>
            </w:r>
          </w:p>
        </w:tc>
        <w:tc>
          <w:tcPr/>
          <w:p>
            <w:pPr>
              <w:pStyle w:val="Compact"/>
              <w:jc w:val="right"/>
            </w:pPr>
            <w:r>
              <w:t xml:space="preserve">74</w:t>
            </w:r>
          </w:p>
        </w:tc>
        <w:tc>
          <w:tcPr/>
          <w:p>
            <w:pPr>
              <w:pStyle w:val="Compact"/>
              <w:jc w:val="right"/>
            </w:pPr>
            <w:r>
              <w:t xml:space="preserve">0.951</w:t>
            </w:r>
          </w:p>
        </w:tc>
      </w:tr>
      <w:tr>
        <w:tc>
          <w:tcPr/>
          <w:p>
            <w:pPr>
              <w:pStyle w:val="Compact"/>
              <w:jc w:val="left"/>
            </w:pPr>
            <w:r>
              <w:t xml:space="preserve">Upstream</w:t>
            </w:r>
          </w:p>
        </w:tc>
        <w:tc>
          <w:tcPr/>
          <w:p>
            <w:pPr>
              <w:pStyle w:val="Compact"/>
              <w:jc w:val="left"/>
            </w:pPr>
            <w:r>
              <w:t xml:space="preserve">CS</w:t>
            </w:r>
          </w:p>
        </w:tc>
        <w:tc>
          <w:tcPr/>
          <w:p>
            <w:pPr>
              <w:pStyle w:val="Compact"/>
              <w:jc w:val="left"/>
            </w:pPr>
            <w:r>
              <w:t xml:space="preserve">GB</w:t>
            </w:r>
          </w:p>
        </w:tc>
        <w:tc>
          <w:tcPr/>
          <w:p>
            <w:pPr>
              <w:pStyle w:val="Compact"/>
              <w:jc w:val="right"/>
            </w:pPr>
            <w:r>
              <w:t xml:space="preserve">8</w:t>
            </w:r>
          </w:p>
        </w:tc>
        <w:tc>
          <w:tcPr/>
          <w:p>
            <w:pPr>
              <w:pStyle w:val="Compact"/>
              <w:jc w:val="right"/>
            </w:pPr>
            <w:r>
              <w:t xml:space="preserve">46</w:t>
            </w:r>
          </w:p>
        </w:tc>
        <w:tc>
          <w:tcPr/>
          <w:p>
            <w:pPr>
              <w:pStyle w:val="Compact"/>
              <w:jc w:val="right"/>
            </w:pPr>
            <w:r>
              <w:t xml:space="preserve">42</w:t>
            </w:r>
          </w:p>
        </w:tc>
        <w:tc>
          <w:tcPr/>
          <w:p>
            <w:pPr>
              <w:pStyle w:val="Compact"/>
              <w:jc w:val="right"/>
            </w:pPr>
            <w:r>
              <w:t xml:space="preserve">0.495</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GB</w:t>
            </w:r>
          </w:p>
        </w:tc>
        <w:tc>
          <w:tcPr/>
          <w:p>
            <w:pPr>
              <w:pStyle w:val="Compact"/>
              <w:jc w:val="right"/>
            </w:pPr>
            <w:r>
              <w:t xml:space="preserve">10</w:t>
            </w:r>
          </w:p>
        </w:tc>
        <w:tc>
          <w:tcPr/>
          <w:p>
            <w:pPr>
              <w:pStyle w:val="Compact"/>
              <w:jc w:val="right"/>
            </w:pPr>
            <w:r>
              <w:t xml:space="preserve">54</w:t>
            </w:r>
          </w:p>
        </w:tc>
        <w:tc>
          <w:tcPr/>
          <w:p>
            <w:pPr>
              <w:pStyle w:val="Compact"/>
              <w:jc w:val="right"/>
            </w:pPr>
            <w:r>
              <w:t xml:space="preserve">42</w:t>
            </w:r>
          </w:p>
        </w:tc>
        <w:tc>
          <w:tcPr/>
          <w:p>
            <w:pPr>
              <w:pStyle w:val="Compact"/>
              <w:jc w:val="right"/>
            </w:pPr>
            <w:r>
              <w:t xml:space="preserve">0.404</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BC</w:t>
            </w:r>
          </w:p>
        </w:tc>
        <w:tc>
          <w:tcPr/>
          <w:p>
            <w:pPr>
              <w:pStyle w:val="Compact"/>
              <w:jc w:val="right"/>
            </w:pPr>
            <w:r>
              <w:t xml:space="preserve">3</w:t>
            </w:r>
          </w:p>
        </w:tc>
        <w:tc>
          <w:tcPr/>
          <w:p>
            <w:pPr>
              <w:pStyle w:val="Compact"/>
              <w:jc w:val="right"/>
            </w:pPr>
            <w:r>
              <w:t xml:space="preserve">6</w:t>
            </w:r>
          </w:p>
        </w:tc>
        <w:tc>
          <w:tcPr/>
          <w:p>
            <w:pPr>
              <w:pStyle w:val="Compact"/>
              <w:jc w:val="right"/>
            </w:pPr>
            <w:r>
              <w:t xml:space="preserve">7</w:t>
            </w:r>
          </w:p>
        </w:tc>
        <w:tc>
          <w:tcPr/>
          <w:p>
            <w:pPr>
              <w:pStyle w:val="Compact"/>
              <w:jc w:val="right"/>
            </w:pPr>
            <w:r>
              <w:t xml:space="preserve">0.866</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BT</w:t>
            </w:r>
          </w:p>
        </w:tc>
        <w:tc>
          <w:tcPr/>
          <w:p>
            <w:pPr>
              <w:pStyle w:val="Compact"/>
              <w:jc w:val="right"/>
            </w:pPr>
            <w:r>
              <w:t xml:space="preserve">10</w:t>
            </w:r>
          </w:p>
        </w:tc>
        <w:tc>
          <w:tcPr/>
          <w:p>
            <w:pPr>
              <w:pStyle w:val="Compact"/>
              <w:jc w:val="right"/>
            </w:pPr>
            <w:r>
              <w:t xml:space="preserve">34</w:t>
            </w:r>
          </w:p>
        </w:tc>
        <w:tc>
          <w:tcPr/>
          <w:p>
            <w:pPr>
              <w:pStyle w:val="Compact"/>
              <w:jc w:val="right"/>
            </w:pPr>
            <w:r>
              <w:t xml:space="preserve">31</w:t>
            </w:r>
          </w:p>
        </w:tc>
        <w:tc>
          <w:tcPr/>
          <w:p>
            <w:pPr>
              <w:pStyle w:val="Compact"/>
              <w:jc w:val="right"/>
            </w:pPr>
            <w:r>
              <w:t xml:space="preserve">0.863</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CS</w:t>
            </w:r>
          </w:p>
        </w:tc>
        <w:tc>
          <w:tcPr/>
          <w:p>
            <w:pPr>
              <w:pStyle w:val="Compact"/>
              <w:jc w:val="right"/>
            </w:pPr>
            <w:r>
              <w:t xml:space="preserve">14</w:t>
            </w:r>
          </w:p>
        </w:tc>
        <w:tc>
          <w:tcPr/>
          <w:p>
            <w:pPr>
              <w:pStyle w:val="Compact"/>
              <w:jc w:val="right"/>
            </w:pPr>
            <w:r>
              <w:t xml:space="preserve">44</w:t>
            </w:r>
          </w:p>
        </w:tc>
        <w:tc>
          <w:tcPr/>
          <w:p>
            <w:pPr>
              <w:pStyle w:val="Compact"/>
              <w:jc w:val="right"/>
            </w:pPr>
            <w:r>
              <w:t xml:space="preserve">33</w:t>
            </w:r>
          </w:p>
        </w:tc>
        <w:tc>
          <w:tcPr/>
          <w:p>
            <w:pPr>
              <w:pStyle w:val="Compact"/>
              <w:jc w:val="right"/>
            </w:pPr>
            <w:r>
              <w:t xml:space="preserve">0.654</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GB</w:t>
            </w:r>
          </w:p>
        </w:tc>
        <w:tc>
          <w:tcPr/>
          <w:p>
            <w:pPr>
              <w:pStyle w:val="Compact"/>
              <w:jc w:val="right"/>
            </w:pPr>
            <w:r>
              <w:t xml:space="preserve">7</w:t>
            </w:r>
          </w:p>
        </w:tc>
        <w:tc>
          <w:tcPr/>
          <w:p>
            <w:pPr>
              <w:pStyle w:val="Compact"/>
              <w:jc w:val="right"/>
            </w:pPr>
            <w:r>
              <w:t xml:space="preserve">24</w:t>
            </w:r>
          </w:p>
        </w:tc>
        <w:tc>
          <w:tcPr/>
          <w:p>
            <w:pPr>
              <w:pStyle w:val="Compact"/>
              <w:jc w:val="right"/>
            </w:pPr>
            <w:r>
              <w:t xml:space="preserve">13</w:t>
            </w:r>
          </w:p>
        </w:tc>
        <w:tc>
          <w:tcPr/>
          <w:p>
            <w:pPr>
              <w:pStyle w:val="Compact"/>
              <w:jc w:val="right"/>
            </w:pPr>
            <w:r>
              <w:t xml:space="preserve">0.541</w:t>
            </w:r>
          </w:p>
        </w:tc>
      </w:tr>
      <w:tr>
        <w:tc>
          <w:tcPr/>
          <w:p>
            <w:pPr>
              <w:pStyle w:val="Compact"/>
              <w:jc w:val="left"/>
            </w:pPr>
            <w:r>
              <w:t xml:space="preserve">Downstream</w:t>
            </w:r>
          </w:p>
        </w:tc>
        <w:tc>
          <w:tcPr/>
          <w:p>
            <w:pPr>
              <w:pStyle w:val="Compact"/>
              <w:jc w:val="left"/>
            </w:pPr>
            <w:r>
              <w:t xml:space="preserve">BC</w:t>
            </w:r>
          </w:p>
        </w:tc>
        <w:tc>
          <w:tcPr/>
          <w:p>
            <w:pPr>
              <w:pStyle w:val="Compact"/>
              <w:jc w:val="left"/>
            </w:pPr>
            <w:r>
              <w:t xml:space="preserve">JG</w:t>
            </w:r>
          </w:p>
        </w:tc>
        <w:tc>
          <w:tcPr/>
          <w:p>
            <w:pPr>
              <w:pStyle w:val="Compact"/>
              <w:jc w:val="right"/>
            </w:pPr>
            <w:r>
              <w:t xml:space="preserve">3</w:t>
            </w:r>
          </w:p>
        </w:tc>
        <w:tc>
          <w:tcPr/>
          <w:p>
            <w:pPr>
              <w:pStyle w:val="Compact"/>
              <w:jc w:val="right"/>
            </w:pPr>
            <w:r>
              <w:t xml:space="preserve">7</w:t>
            </w:r>
          </w:p>
        </w:tc>
        <w:tc>
          <w:tcPr/>
          <w:p>
            <w:pPr>
              <w:pStyle w:val="Compact"/>
              <w:jc w:val="right"/>
            </w:pPr>
            <w:r>
              <w:t xml:space="preserve">7</w:t>
            </w:r>
          </w:p>
        </w:tc>
        <w:tc>
          <w:tcPr/>
          <w:p>
            <w:pPr>
              <w:pStyle w:val="Compact"/>
              <w:jc w:val="right"/>
            </w:pPr>
            <w:r>
              <w:t xml:space="preserve">0.500</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JG</w:t>
            </w:r>
          </w:p>
        </w:tc>
        <w:tc>
          <w:tcPr/>
          <w:p>
            <w:pPr>
              <w:pStyle w:val="Compact"/>
              <w:jc w:val="right"/>
            </w:pPr>
            <w:r>
              <w:t xml:space="preserve">4</w:t>
            </w:r>
          </w:p>
        </w:tc>
        <w:tc>
          <w:tcPr/>
          <w:p>
            <w:pPr>
              <w:pStyle w:val="Compact"/>
              <w:jc w:val="right"/>
            </w:pPr>
            <w:r>
              <w:t xml:space="preserve">9</w:t>
            </w:r>
          </w:p>
        </w:tc>
        <w:tc>
          <w:tcPr/>
          <w:p>
            <w:pPr>
              <w:pStyle w:val="Compact"/>
              <w:jc w:val="right"/>
            </w:pPr>
            <w:r>
              <w:t xml:space="preserve">7</w:t>
            </w:r>
          </w:p>
        </w:tc>
        <w:tc>
          <w:tcPr/>
          <w:p>
            <w:pPr>
              <w:pStyle w:val="Compact"/>
              <w:jc w:val="right"/>
            </w:pPr>
            <w:r>
              <w:t xml:space="preserve">0.174</w:t>
            </w:r>
          </w:p>
        </w:tc>
      </w:tr>
      <w:tr>
        <w:tc>
          <w:tcPr/>
          <w:p>
            <w:pPr>
              <w:pStyle w:val="Compact"/>
              <w:jc w:val="left"/>
            </w:pPr>
            <w:r>
              <w:t xml:space="preserve">Downstream</w:t>
            </w:r>
          </w:p>
        </w:tc>
        <w:tc>
          <w:tcPr/>
          <w:p>
            <w:pPr>
              <w:pStyle w:val="Compact"/>
              <w:jc w:val="left"/>
            </w:pPr>
            <w:r>
              <w:t xml:space="preserve">CS</w:t>
            </w:r>
          </w:p>
        </w:tc>
        <w:tc>
          <w:tcPr/>
          <w:p>
            <w:pPr>
              <w:pStyle w:val="Compact"/>
              <w:jc w:val="left"/>
            </w:pPr>
            <w:r>
              <w:t xml:space="preserve">GB</w:t>
            </w:r>
          </w:p>
        </w:tc>
        <w:tc>
          <w:tcPr/>
          <w:p>
            <w:pPr>
              <w:pStyle w:val="Compact"/>
              <w:jc w:val="right"/>
            </w:pPr>
            <w:r>
              <w:t xml:space="preserve">5</w:t>
            </w:r>
          </w:p>
        </w:tc>
        <w:tc>
          <w:tcPr/>
          <w:p>
            <w:pPr>
              <w:pStyle w:val="Compact"/>
              <w:jc w:val="right"/>
            </w:pPr>
            <w:r>
              <w:t xml:space="preserve">9</w:t>
            </w:r>
          </w:p>
        </w:tc>
        <w:tc>
          <w:tcPr/>
          <w:p>
            <w:pPr>
              <w:pStyle w:val="Compact"/>
              <w:jc w:val="right"/>
            </w:pPr>
            <w:r>
              <w:t xml:space="preserve">13</w:t>
            </w:r>
          </w:p>
        </w:tc>
        <w:tc>
          <w:tcPr/>
          <w:p>
            <w:pPr>
              <w:pStyle w:val="Compact"/>
              <w:jc w:val="right"/>
            </w:pPr>
            <w:r>
              <w:t xml:space="preserve">-0.250</w:t>
            </w:r>
          </w:p>
        </w:tc>
      </w:tr>
    </w:tbl>
    <w:p>
      <w:pPr>
        <w:pStyle w:val="BodyText"/>
      </w:pPr>
      <w:r>
        <w:t xml:space="preserve">For fish observed by multiple observers, the CVs of those multiple length measurements are displayed in Figure</w:t>
      </w:r>
      <w:r>
        <w:t xml:space="preserve"> </w:t>
      </w:r>
      <w:r>
        <w:t xml:space="preserve">4.1</w:t>
      </w:r>
      <w:r>
        <w:t xml:space="preserve">. The mean CV of length measurements for upstream moving fish was 0.06, while it was 0.09 for downstream moving fish. 95% of the upstream CVs were smaller than 0.15 (considered a reference point for precise measurements), while 84% of the downstream CVs met this criterion.</w:t>
      </w:r>
    </w:p>
    <w:p>
      <w:pPr>
        <w:pStyle w:val="CaptionedFigure"/>
      </w:pPr>
      <w:r>
        <w:drawing>
          <wp:inline>
            <wp:extent cx="5504749" cy="3669832"/>
            <wp:effectExtent b="0" l="0" r="0" t="0"/>
            <wp:docPr descr="Figure 4.1: Coefficient of variation (CV) of length measurements for individual fish across multiple observers, colored by year and faceted by direction of movement. Dashed lines indicate the mean CV for that group, while the solid black line is a reference of 0.15." title="" id="1" name="Picture"/>
            <a:graphic>
              <a:graphicData uri="http://schemas.openxmlformats.org/drawingml/2006/picture">
                <pic:pic>
                  <pic:nvPicPr>
                    <pic:cNvPr descr="../figures/cv-lgth-hist-1.png" id="0" name="Picture"/>
                    <pic:cNvPicPr>
                      <a:picLocks noChangeArrowheads="1" noChangeAspect="1"/>
                    </pic:cNvPicPr>
                  </pic:nvPicPr>
                  <pic:blipFill>
                    <a:blip r:embed="rId36"/>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4.1: Coefficient of variation (CV) of length measurements for individual fish across multiple observers, colored by year and faceted by direction of movement. Dashed lines indicate the mean CV for that group, while the solid black line is a reference of 0.15.</w:t>
      </w:r>
    </w:p>
    <w:p>
      <w:pPr>
        <w:pStyle w:val="BodyText"/>
      </w:pPr>
      <w:r>
        <w:t xml:space="preserve">Histograms of length measurement bias, relative to observer AS, are shown in Figure</w:t>
      </w:r>
      <w:r>
        <w:t xml:space="preserve"> </w:t>
      </w:r>
      <w:r>
        <w:t xml:space="preserve">4.2</w:t>
      </w:r>
      <w:r>
        <w:t xml:space="preserve">. Summary statistics of the same comparison are depicted in Table</w:t>
      </w:r>
      <w:r>
        <w:t xml:space="preserve"> </w:t>
      </w:r>
      <w:r>
        <w:t xml:space="preserve">4.3</w:t>
      </w:r>
      <w:r>
        <w:t xml:space="preserve">. All observers had larger variability in their measurements of downstream moving fish compared to observer AS, as seen in RMSE, MAE and MAPE values. Two observers (BT and GB) had a positive mean bias relative to observer AS for upstream fish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pPr>
        <w:pStyle w:val="BodyText"/>
      </w:pPr>
      <w:r>
        <w:t xml:space="preserve">The mean absolute percent error (MAPE) ranged from 6.7 - 12.3% for upstream moving fish and from 8.9 - 18.2% for downstream moving fish. To put that on the scale of fish lengths (centimeters), the root mean square error (RMSE) ranged from 6.7 - 9.6 cm for upstream moving fish and 6.8 - 17 cm for downstream moving fish.</w:t>
      </w:r>
    </w:p>
    <w:p>
      <w:pPr>
        <w:pStyle w:val="CaptionedFigure"/>
      </w:pPr>
      <w:r>
        <w:drawing>
          <wp:inline>
            <wp:extent cx="5504749" cy="3669832"/>
            <wp:effectExtent b="0" l="0" r="0" t="0"/>
            <wp:docPr descr="Figure 4.2: Histograms and density plots showing the bias of length measurements, relative to observer AS, colored by observer and faceted by direction and year." title="" id="1" name="Picture"/>
            <a:graphic>
              <a:graphicData uri="http://schemas.openxmlformats.org/drawingml/2006/picture">
                <pic:pic>
                  <pic:nvPicPr>
                    <pic:cNvPr descr="../figures/lgth-comp-fig-1.png" id="0" name="Picture"/>
                    <pic:cNvPicPr>
                      <a:picLocks noChangeArrowheads="1" noChangeAspect="1"/>
                    </pic:cNvPicPr>
                  </pic:nvPicPr>
                  <pic:blipFill>
                    <a:blip r:embed="rId37"/>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4.2: Histograms and density plots showing the bias of length measurements, relative to observer AS, colored by observer and faceted by direction and year.</w:t>
      </w:r>
    </w:p>
    <w:p>
      <w:pPr>
        <w:pStyle w:val="TableCaption"/>
      </w:pPr>
      <w:r>
        <w:t xml:space="preserve">Table 4.3: Summary statistics comparing length measurements of different observers with those made by observer AS.</w:t>
      </w:r>
    </w:p>
    <w:tbl>
      <w:tblPr>
        <w:tblStyle w:val="Table"/>
        <w:tblW w:type="auto" w:w="0"/>
        <w:tblLook w:firstRow="1" w:lastRow="0" w:firstColumn="0" w:lastColumn="0" w:noHBand="0" w:noVBand="0" w:val="0020"/>
        <w:tblCaption w:val="Table 4.3: Summary statistics comparing length measurements of different observers with those made by observer AS."/>
      </w:tblPr>
      <w:tblGrid>
        <w:gridCol w:w="1131"/>
        <w:gridCol w:w="1131"/>
        <w:gridCol w:w="1131"/>
        <w:gridCol w:w="1131"/>
        <w:gridCol w:w="1131"/>
        <w:gridCol w:w="1131"/>
        <w:gridCol w:w="1131"/>
      </w:tblGrid>
      <w:tr>
        <w:trPr>
          <w:tblHeader w:val="true"/>
        </w:trPr>
        <w:tc>
          <w:tcPr/>
          <w:p>
            <w:pPr>
              <w:pStyle w:val="Compact"/>
              <w:jc w:val="left"/>
            </w:pPr>
            <w:r>
              <w:t xml:space="preserve">Direction</w:t>
            </w:r>
          </w:p>
        </w:tc>
        <w:tc>
          <w:tcPr/>
          <w:p>
            <w:pPr>
              <w:pStyle w:val="Compact"/>
              <w:jc w:val="left"/>
            </w:pPr>
            <w:r>
              <w:t xml:space="preserve">Observer</w:t>
            </w:r>
          </w:p>
        </w:tc>
        <w:tc>
          <w:tcPr/>
          <w:p>
            <w:pPr>
              <w:pStyle w:val="Compact"/>
              <w:jc w:val="right"/>
            </w:pPr>
            <w:r>
              <w:t xml:space="preserve">N Fish</w:t>
            </w:r>
          </w:p>
        </w:tc>
        <w:tc>
          <w:tcPr/>
          <w:p>
            <w:pPr>
              <w:pStyle w:val="Compact"/>
              <w:jc w:val="right"/>
            </w:pPr>
            <w:r>
              <w:t xml:space="preserve">Mean Bias</w:t>
            </w:r>
          </w:p>
        </w:tc>
        <w:tc>
          <w:tcPr/>
          <w:p>
            <w:pPr>
              <w:pStyle w:val="Compact"/>
              <w:jc w:val="right"/>
            </w:pPr>
            <w:r>
              <w:t xml:space="preserve">RMSE</w:t>
            </w:r>
          </w:p>
        </w:tc>
        <w:tc>
          <w:tcPr/>
          <w:p>
            <w:pPr>
              <w:pStyle w:val="Compact"/>
              <w:jc w:val="right"/>
            </w:pPr>
            <w:r>
              <w:t xml:space="preserve">MAE</w:t>
            </w:r>
          </w:p>
        </w:tc>
        <w:tc>
          <w:tcPr/>
          <w:p>
            <w:pPr>
              <w:pStyle w:val="Compact"/>
              <w:jc w:val="right"/>
            </w:pPr>
            <w:r>
              <w:t xml:space="preserve">MAPE</w:t>
            </w:r>
          </w:p>
        </w:tc>
      </w:tr>
      <w:tr>
        <w:tc>
          <w:tcPr/>
          <w:p>
            <w:pPr>
              <w:pStyle w:val="Compact"/>
              <w:jc w:val="left"/>
            </w:pPr>
            <w:r>
              <w:t xml:space="preserve">Upstream</w:t>
            </w:r>
          </w:p>
        </w:tc>
        <w:tc>
          <w:tcPr/>
          <w:p>
            <w:pPr>
              <w:pStyle w:val="Compact"/>
              <w:jc w:val="left"/>
            </w:pPr>
            <w:r>
              <w:t xml:space="preserve">CS</w:t>
            </w:r>
          </w:p>
        </w:tc>
        <w:tc>
          <w:tcPr/>
          <w:p>
            <w:pPr>
              <w:pStyle w:val="Compact"/>
              <w:jc w:val="right"/>
            </w:pPr>
            <w:r>
              <w:t xml:space="preserve">63</w:t>
            </w:r>
          </w:p>
        </w:tc>
        <w:tc>
          <w:tcPr/>
          <w:p>
            <w:pPr>
              <w:pStyle w:val="Compact"/>
              <w:jc w:val="right"/>
            </w:pPr>
            <w:r>
              <w:t xml:space="preserve">-1.1</w:t>
            </w:r>
          </w:p>
        </w:tc>
        <w:tc>
          <w:tcPr/>
          <w:p>
            <w:pPr>
              <w:pStyle w:val="Compact"/>
              <w:jc w:val="right"/>
            </w:pPr>
            <w:r>
              <w:t xml:space="preserve">7.8</w:t>
            </w:r>
          </w:p>
        </w:tc>
        <w:tc>
          <w:tcPr/>
          <w:p>
            <w:pPr>
              <w:pStyle w:val="Compact"/>
              <w:jc w:val="right"/>
            </w:pPr>
            <w:r>
              <w:t xml:space="preserve">5.7</w:t>
            </w:r>
          </w:p>
        </w:tc>
        <w:tc>
          <w:tcPr/>
          <w:p>
            <w:pPr>
              <w:pStyle w:val="Compact"/>
              <w:jc w:val="right"/>
            </w:pPr>
            <w:r>
              <w:t xml:space="preserve">8.9</w:t>
            </w:r>
          </w:p>
        </w:tc>
      </w:tr>
      <w:tr>
        <w:tc>
          <w:tcPr/>
          <w:p>
            <w:pPr>
              <w:pStyle w:val="Compact"/>
              <w:jc w:val="left"/>
            </w:pPr>
            <w:r>
              <w:t xml:space="preserve">Upstream</w:t>
            </w:r>
          </w:p>
        </w:tc>
        <w:tc>
          <w:tcPr/>
          <w:p>
            <w:pPr>
              <w:pStyle w:val="Compact"/>
              <w:jc w:val="left"/>
            </w:pPr>
            <w:r>
              <w:t xml:space="preserve">BT</w:t>
            </w:r>
          </w:p>
        </w:tc>
        <w:tc>
          <w:tcPr/>
          <w:p>
            <w:pPr>
              <w:pStyle w:val="Compact"/>
              <w:jc w:val="right"/>
            </w:pPr>
            <w:r>
              <w:t xml:space="preserve">41</w:t>
            </w:r>
          </w:p>
        </w:tc>
        <w:tc>
          <w:tcPr/>
          <w:p>
            <w:pPr>
              <w:pStyle w:val="Compact"/>
              <w:jc w:val="right"/>
            </w:pPr>
            <w:r>
              <w:t xml:space="preserve">1.5</w:t>
            </w:r>
          </w:p>
        </w:tc>
        <w:tc>
          <w:tcPr/>
          <w:p>
            <w:pPr>
              <w:pStyle w:val="Compact"/>
              <w:jc w:val="right"/>
            </w:pPr>
            <w:r>
              <w:t xml:space="preserve">8.3</w:t>
            </w:r>
          </w:p>
        </w:tc>
        <w:tc>
          <w:tcPr/>
          <w:p>
            <w:pPr>
              <w:pStyle w:val="Compact"/>
              <w:jc w:val="right"/>
            </w:pPr>
            <w:r>
              <w:t xml:space="preserve">5.7</w:t>
            </w:r>
          </w:p>
        </w:tc>
        <w:tc>
          <w:tcPr/>
          <w:p>
            <w:pPr>
              <w:pStyle w:val="Compact"/>
              <w:jc w:val="right"/>
            </w:pPr>
            <w:r>
              <w:t xml:space="preserve">9.1</w:t>
            </w:r>
          </w:p>
        </w:tc>
      </w:tr>
      <w:tr>
        <w:tc>
          <w:tcPr/>
          <w:p>
            <w:pPr>
              <w:pStyle w:val="Compact"/>
              <w:jc w:val="left"/>
            </w:pPr>
            <w:r>
              <w:t xml:space="preserve">Upstream</w:t>
            </w:r>
          </w:p>
        </w:tc>
        <w:tc>
          <w:tcPr/>
          <w:p>
            <w:pPr>
              <w:pStyle w:val="Compact"/>
              <w:jc w:val="left"/>
            </w:pPr>
            <w:r>
              <w:t xml:space="preserve">JG</w:t>
            </w:r>
          </w:p>
        </w:tc>
        <w:tc>
          <w:tcPr/>
          <w:p>
            <w:pPr>
              <w:pStyle w:val="Compact"/>
              <w:jc w:val="right"/>
            </w:pPr>
            <w:r>
              <w:t xml:space="preserve">37</w:t>
            </w:r>
          </w:p>
        </w:tc>
        <w:tc>
          <w:tcPr/>
          <w:p>
            <w:pPr>
              <w:pStyle w:val="Compact"/>
              <w:jc w:val="right"/>
            </w:pPr>
            <w:r>
              <w:t xml:space="preserve">-6.3</w:t>
            </w:r>
          </w:p>
        </w:tc>
        <w:tc>
          <w:tcPr/>
          <w:p>
            <w:pPr>
              <w:pStyle w:val="Compact"/>
              <w:jc w:val="right"/>
            </w:pPr>
            <w:r>
              <w:t xml:space="preserve">8.3</w:t>
            </w:r>
          </w:p>
        </w:tc>
        <w:tc>
          <w:tcPr/>
          <w:p>
            <w:pPr>
              <w:pStyle w:val="Compact"/>
              <w:jc w:val="right"/>
            </w:pPr>
            <w:r>
              <w:t xml:space="preserve">6.8</w:t>
            </w:r>
          </w:p>
        </w:tc>
        <w:tc>
          <w:tcPr/>
          <w:p>
            <w:pPr>
              <w:pStyle w:val="Compact"/>
              <w:jc w:val="right"/>
            </w:pPr>
            <w:r>
              <w:t xml:space="preserve">9.3</w:t>
            </w:r>
          </w:p>
        </w:tc>
      </w:tr>
      <w:tr>
        <w:tc>
          <w:tcPr/>
          <w:p>
            <w:pPr>
              <w:pStyle w:val="Compact"/>
              <w:jc w:val="left"/>
            </w:pPr>
            <w:r>
              <w:t xml:space="preserve">Upstream</w:t>
            </w:r>
          </w:p>
        </w:tc>
        <w:tc>
          <w:tcPr/>
          <w:p>
            <w:pPr>
              <w:pStyle w:val="Compact"/>
              <w:jc w:val="left"/>
            </w:pPr>
            <w:r>
              <w:t xml:space="preserve">BC</w:t>
            </w:r>
          </w:p>
        </w:tc>
        <w:tc>
          <w:tcPr/>
          <w:p>
            <w:pPr>
              <w:pStyle w:val="Compact"/>
              <w:jc w:val="right"/>
            </w:pPr>
            <w:r>
              <w:t xml:space="preserve">36</w:t>
            </w:r>
          </w:p>
        </w:tc>
        <w:tc>
          <w:tcPr/>
          <w:p>
            <w:pPr>
              <w:pStyle w:val="Compact"/>
              <w:jc w:val="right"/>
            </w:pPr>
            <w:r>
              <w:t xml:space="preserve">-2.3</w:t>
            </w:r>
          </w:p>
        </w:tc>
        <w:tc>
          <w:tcPr/>
          <w:p>
            <w:pPr>
              <w:pStyle w:val="Compact"/>
              <w:jc w:val="right"/>
            </w:pPr>
            <w:r>
              <w:t xml:space="preserve">6.7</w:t>
            </w:r>
          </w:p>
        </w:tc>
        <w:tc>
          <w:tcPr/>
          <w:p>
            <w:pPr>
              <w:pStyle w:val="Compact"/>
              <w:jc w:val="right"/>
            </w:pPr>
            <w:r>
              <w:t xml:space="preserve">4.9</w:t>
            </w:r>
          </w:p>
        </w:tc>
        <w:tc>
          <w:tcPr/>
          <w:p>
            <w:pPr>
              <w:pStyle w:val="Compact"/>
              <w:jc w:val="right"/>
            </w:pPr>
            <w:r>
              <w:t xml:space="preserve">6.7</w:t>
            </w:r>
          </w:p>
        </w:tc>
      </w:tr>
      <w:tr>
        <w:tc>
          <w:tcPr/>
          <w:p>
            <w:pPr>
              <w:pStyle w:val="Compact"/>
              <w:jc w:val="left"/>
            </w:pPr>
            <w:r>
              <w:t xml:space="preserve">Upstream</w:t>
            </w:r>
          </w:p>
        </w:tc>
        <w:tc>
          <w:tcPr/>
          <w:p>
            <w:pPr>
              <w:pStyle w:val="Compact"/>
              <w:jc w:val="left"/>
            </w:pPr>
            <w:r>
              <w:t xml:space="preserve">GB</w:t>
            </w:r>
          </w:p>
        </w:tc>
        <w:tc>
          <w:tcPr/>
          <w:p>
            <w:pPr>
              <w:pStyle w:val="Compact"/>
              <w:jc w:val="right"/>
            </w:pPr>
            <w:r>
              <w:t xml:space="preserve">29</w:t>
            </w:r>
          </w:p>
        </w:tc>
        <w:tc>
          <w:tcPr/>
          <w:p>
            <w:pPr>
              <w:pStyle w:val="Compact"/>
              <w:jc w:val="right"/>
            </w:pPr>
            <w:r>
              <w:t xml:space="preserve">1.9</w:t>
            </w:r>
          </w:p>
        </w:tc>
        <w:tc>
          <w:tcPr/>
          <w:p>
            <w:pPr>
              <w:pStyle w:val="Compact"/>
              <w:jc w:val="right"/>
            </w:pPr>
            <w:r>
              <w:t xml:space="preserve">9.6</w:t>
            </w:r>
          </w:p>
        </w:tc>
        <w:tc>
          <w:tcPr/>
          <w:p>
            <w:pPr>
              <w:pStyle w:val="Compact"/>
              <w:jc w:val="right"/>
            </w:pPr>
            <w:r>
              <w:t xml:space="preserve">7.4</w:t>
            </w:r>
          </w:p>
        </w:tc>
        <w:tc>
          <w:tcPr/>
          <w:p>
            <w:pPr>
              <w:pStyle w:val="Compact"/>
              <w:jc w:val="right"/>
            </w:pPr>
            <w:r>
              <w:t xml:space="preserve">12.3</w:t>
            </w:r>
          </w:p>
        </w:tc>
      </w:tr>
      <w:tr>
        <w:tc>
          <w:tcPr/>
          <w:p>
            <w:pPr>
              <w:pStyle w:val="Compact"/>
              <w:jc w:val="left"/>
            </w:pPr>
            <w:r>
              <w:t xml:space="preserve">Downstream</w:t>
            </w:r>
          </w:p>
        </w:tc>
        <w:tc>
          <w:tcPr/>
          <w:p>
            <w:pPr>
              <w:pStyle w:val="Compact"/>
              <w:jc w:val="left"/>
            </w:pPr>
            <w:r>
              <w:t xml:space="preserve">BT</w:t>
            </w:r>
          </w:p>
        </w:tc>
        <w:tc>
          <w:tcPr/>
          <w:p>
            <w:pPr>
              <w:pStyle w:val="Compact"/>
              <w:jc w:val="right"/>
            </w:pPr>
            <w:r>
              <w:t xml:space="preserve">24</w:t>
            </w:r>
          </w:p>
        </w:tc>
        <w:tc>
          <w:tcPr/>
          <w:p>
            <w:pPr>
              <w:pStyle w:val="Compact"/>
              <w:jc w:val="right"/>
            </w:pPr>
            <w:r>
              <w:t xml:space="preserve">1.5</w:t>
            </w:r>
          </w:p>
        </w:tc>
        <w:tc>
          <w:tcPr/>
          <w:p>
            <w:pPr>
              <w:pStyle w:val="Compact"/>
              <w:jc w:val="right"/>
            </w:pPr>
            <w:r>
              <w:t xml:space="preserve">9.7</w:t>
            </w:r>
          </w:p>
        </w:tc>
        <w:tc>
          <w:tcPr/>
          <w:p>
            <w:pPr>
              <w:pStyle w:val="Compact"/>
              <w:jc w:val="right"/>
            </w:pPr>
            <w:r>
              <w:t xml:space="preserve">7.4</w:t>
            </w:r>
          </w:p>
        </w:tc>
        <w:tc>
          <w:tcPr/>
          <w:p>
            <w:pPr>
              <w:pStyle w:val="Compact"/>
              <w:jc w:val="right"/>
            </w:pPr>
            <w:r>
              <w:t xml:space="preserve">12.6</w:t>
            </w:r>
          </w:p>
        </w:tc>
      </w:tr>
      <w:tr>
        <w:tc>
          <w:tcPr/>
          <w:p>
            <w:pPr>
              <w:pStyle w:val="Compact"/>
              <w:jc w:val="left"/>
            </w:pPr>
            <w:r>
              <w:t xml:space="preserve">Downstream</w:t>
            </w:r>
          </w:p>
        </w:tc>
        <w:tc>
          <w:tcPr/>
          <w:p>
            <w:pPr>
              <w:pStyle w:val="Compact"/>
              <w:jc w:val="left"/>
            </w:pPr>
            <w:r>
              <w:t xml:space="preserve">CS</w:t>
            </w:r>
          </w:p>
        </w:tc>
        <w:tc>
          <w:tcPr/>
          <w:p>
            <w:pPr>
              <w:pStyle w:val="Compact"/>
              <w:jc w:val="right"/>
            </w:pPr>
            <w:r>
              <w:t xml:space="preserve">23</w:t>
            </w:r>
          </w:p>
        </w:tc>
        <w:tc>
          <w:tcPr/>
          <w:p>
            <w:pPr>
              <w:pStyle w:val="Compact"/>
              <w:jc w:val="right"/>
            </w:pPr>
            <w:r>
              <w:t xml:space="preserve">-4.4</w:t>
            </w:r>
          </w:p>
        </w:tc>
        <w:tc>
          <w:tcPr/>
          <w:p>
            <w:pPr>
              <w:pStyle w:val="Compact"/>
              <w:jc w:val="right"/>
            </w:pPr>
            <w:r>
              <w:t xml:space="preserve">6.8</w:t>
            </w:r>
          </w:p>
        </w:tc>
        <w:tc>
          <w:tcPr/>
          <w:p>
            <w:pPr>
              <w:pStyle w:val="Compact"/>
              <w:jc w:val="right"/>
            </w:pPr>
            <w:r>
              <w:t xml:space="preserve">6.0</w:t>
            </w:r>
          </w:p>
        </w:tc>
        <w:tc>
          <w:tcPr/>
          <w:p>
            <w:pPr>
              <w:pStyle w:val="Compact"/>
              <w:jc w:val="right"/>
            </w:pPr>
            <w:r>
              <w:t xml:space="preserve">8.9</w:t>
            </w:r>
          </w:p>
        </w:tc>
      </w:tr>
      <w:tr>
        <w:tc>
          <w:tcPr/>
          <w:p>
            <w:pPr>
              <w:pStyle w:val="Compact"/>
              <w:jc w:val="left"/>
            </w:pPr>
            <w:r>
              <w:t xml:space="preserve">Downstream</w:t>
            </w:r>
          </w:p>
        </w:tc>
        <w:tc>
          <w:tcPr/>
          <w:p>
            <w:pPr>
              <w:pStyle w:val="Compact"/>
              <w:jc w:val="left"/>
            </w:pPr>
            <w:r>
              <w:t xml:space="preserve">GB</w:t>
            </w:r>
          </w:p>
        </w:tc>
        <w:tc>
          <w:tcPr/>
          <w:p>
            <w:pPr>
              <w:pStyle w:val="Compact"/>
              <w:jc w:val="right"/>
            </w:pPr>
            <w:r>
              <w:t xml:space="preserve">7</w:t>
            </w:r>
          </w:p>
        </w:tc>
        <w:tc>
          <w:tcPr/>
          <w:p>
            <w:pPr>
              <w:pStyle w:val="Compact"/>
              <w:jc w:val="right"/>
            </w:pPr>
            <w:r>
              <w:t xml:space="preserve">-2.0</w:t>
            </w:r>
          </w:p>
        </w:tc>
        <w:tc>
          <w:tcPr/>
          <w:p>
            <w:pPr>
              <w:pStyle w:val="Compact"/>
              <w:jc w:val="right"/>
            </w:pPr>
            <w:r>
              <w:t xml:space="preserve">15.1</w:t>
            </w:r>
          </w:p>
        </w:tc>
        <w:tc>
          <w:tcPr/>
          <w:p>
            <w:pPr>
              <w:pStyle w:val="Compact"/>
              <w:jc w:val="right"/>
            </w:pPr>
            <w:r>
              <w:t xml:space="preserve">12.4</w:t>
            </w:r>
          </w:p>
        </w:tc>
        <w:tc>
          <w:tcPr/>
          <w:p>
            <w:pPr>
              <w:pStyle w:val="Compact"/>
              <w:jc w:val="right"/>
            </w:pPr>
            <w:r>
              <w:t xml:space="preserve">18.2</w:t>
            </w:r>
          </w:p>
        </w:tc>
      </w:tr>
      <w:tr>
        <w:tc>
          <w:tcPr/>
          <w:p>
            <w:pPr>
              <w:pStyle w:val="Compact"/>
              <w:jc w:val="left"/>
            </w:pPr>
            <w:r>
              <w:t xml:space="preserve">Downstream</w:t>
            </w:r>
          </w:p>
        </w:tc>
        <w:tc>
          <w:tcPr/>
          <w:p>
            <w:pPr>
              <w:pStyle w:val="Compact"/>
              <w:jc w:val="left"/>
            </w:pPr>
            <w:r>
              <w:t xml:space="preserve">JG</w:t>
            </w:r>
          </w:p>
        </w:tc>
        <w:tc>
          <w:tcPr/>
          <w:p>
            <w:pPr>
              <w:pStyle w:val="Compact"/>
              <w:jc w:val="right"/>
            </w:pPr>
            <w:r>
              <w:t xml:space="preserve">5</w:t>
            </w:r>
          </w:p>
        </w:tc>
        <w:tc>
          <w:tcPr/>
          <w:p>
            <w:pPr>
              <w:pStyle w:val="Compact"/>
              <w:jc w:val="right"/>
            </w:pPr>
            <w:r>
              <w:t xml:space="preserve">-7.4</w:t>
            </w:r>
          </w:p>
        </w:tc>
        <w:tc>
          <w:tcPr/>
          <w:p>
            <w:pPr>
              <w:pStyle w:val="Compact"/>
              <w:jc w:val="right"/>
            </w:pPr>
            <w:r>
              <w:t xml:space="preserve">12.1</w:t>
            </w:r>
          </w:p>
        </w:tc>
        <w:tc>
          <w:tcPr/>
          <w:p>
            <w:pPr>
              <w:pStyle w:val="Compact"/>
              <w:jc w:val="right"/>
            </w:pPr>
            <w:r>
              <w:t xml:space="preserve">10.7</w:t>
            </w:r>
          </w:p>
        </w:tc>
        <w:tc>
          <w:tcPr/>
          <w:p>
            <w:pPr>
              <w:pStyle w:val="Compact"/>
              <w:jc w:val="right"/>
            </w:pPr>
            <w:r>
              <w:t xml:space="preserve">13.0</w:t>
            </w:r>
          </w:p>
        </w:tc>
      </w:tr>
      <w:tr>
        <w:tc>
          <w:tcPr/>
          <w:p>
            <w:pPr>
              <w:pStyle w:val="Compact"/>
              <w:jc w:val="left"/>
            </w:pPr>
            <w:r>
              <w:t xml:space="preserve">Downstream</w:t>
            </w:r>
          </w:p>
        </w:tc>
        <w:tc>
          <w:tcPr/>
          <w:p>
            <w:pPr>
              <w:pStyle w:val="Compact"/>
              <w:jc w:val="left"/>
            </w:pPr>
            <w:r>
              <w:t xml:space="preserve">BC</w:t>
            </w:r>
          </w:p>
        </w:tc>
        <w:tc>
          <w:tcPr/>
          <w:p>
            <w:pPr>
              <w:pStyle w:val="Compact"/>
              <w:jc w:val="right"/>
            </w:pPr>
            <w:r>
              <w:t xml:space="preserve">4</w:t>
            </w:r>
          </w:p>
        </w:tc>
        <w:tc>
          <w:tcPr/>
          <w:p>
            <w:pPr>
              <w:pStyle w:val="Compact"/>
              <w:jc w:val="right"/>
            </w:pPr>
            <w:r>
              <w:t xml:space="preserve">-12.4</w:t>
            </w:r>
          </w:p>
        </w:tc>
        <w:tc>
          <w:tcPr/>
          <w:p>
            <w:pPr>
              <w:pStyle w:val="Compact"/>
              <w:jc w:val="right"/>
            </w:pPr>
            <w:r>
              <w:t xml:space="preserve">17.0</w:t>
            </w:r>
          </w:p>
        </w:tc>
        <w:tc>
          <w:tcPr/>
          <w:p>
            <w:pPr>
              <w:pStyle w:val="Compact"/>
              <w:jc w:val="right"/>
            </w:pPr>
            <w:r>
              <w:t xml:space="preserve">13.0</w:t>
            </w:r>
          </w:p>
        </w:tc>
        <w:tc>
          <w:tcPr/>
          <w:p>
            <w:pPr>
              <w:pStyle w:val="Compact"/>
              <w:jc w:val="right"/>
            </w:pPr>
            <w:r>
              <w:t xml:space="preserve">14.5</w:t>
            </w:r>
          </w:p>
        </w:tc>
      </w:tr>
    </w:tbl>
    <w:bookmarkEnd w:id="38"/>
    <w:bookmarkStart w:id="40" w:name="species-composition"/>
    <w:p>
      <w:pPr>
        <w:pStyle w:val="Heading2"/>
      </w:pPr>
      <w:r>
        <w:rPr>
          <w:rStyle w:val="SectionNumber"/>
        </w:rPr>
        <w:t xml:space="preserve">4.2</w:t>
      </w:r>
      <w:r>
        <w:tab/>
      </w:r>
      <w:r>
        <w:t xml:space="preserve">Species Composition</w:t>
      </w:r>
    </w:p>
    <w:p>
      <w:pPr>
        <w:pStyle w:val="FirstParagraph"/>
      </w:pPr>
      <w:r>
        <w:t xml:space="preserve">Thirty-three species composition sampling events were conducted between early February and late June across 2021 and 2022. Steelhead and bull trout were the primary species encountered during sampling. The majority of captured steelhead were natural-origin; three hatchery-origin steelhead were captured in early April 2021, and three hatchery-origin steelhead were captured in 2022 - two in mid-March and one in late May. Steelhead kelts were encountered starting in early June 2021 and in May 2022 (Table</w:t>
      </w:r>
      <w:r>
        <w:t xml:space="preserve"> </w:t>
      </w:r>
      <w:r>
        <w:t xml:space="preserve">4.4</w:t>
      </w:r>
      <w:r>
        <w:t xml:space="preserve">). From the species composition netting, there are 92 fish to use in this model. The lengths of these fish can be seen in Figure</w:t>
      </w:r>
      <w:r>
        <w:t xml:space="preserve"> </w:t>
      </w:r>
      <w:r>
        <w:t xml:space="preserve">4.3</w:t>
      </w:r>
      <w:r>
        <w:t xml:space="preserve">.</w:t>
      </w:r>
    </w:p>
    <w:p>
      <w:pPr>
        <w:pStyle w:val="TableCaption"/>
      </w:pPr>
      <w:r>
        <w:t xml:space="preserve">Table 4.4: Counts of species encountered during species composition sampling in the lower Dungeness River in 2021 and 2022, differentiating between marked or clipped steelhead (AD) and unmarked steelhead (UM) and including steelhead kelts.</w:t>
      </w:r>
    </w:p>
    <w:tbl>
      <w:tblPr>
        <w:tblStyle w:val="Table"/>
        <w:tblW w:type="auto" w:w="0"/>
        <w:tblLook w:firstRow="1" w:lastRow="0" w:firstColumn="0" w:lastColumn="0" w:noHBand="0" w:noVBand="0" w:val="0020"/>
        <w:tblCaption w:val="Table 4.4: Counts of species encountered during species composition sampling in the lower Dungeness River in 2021 and 2022, differentiating between marked or clipped steelhead (AD) and unmarked steelhead (UM) and including steelhead kelts."/>
      </w:tblPr>
      <w:tblGrid>
        <w:gridCol w:w="990"/>
        <w:gridCol w:w="990"/>
        <w:gridCol w:w="990"/>
        <w:gridCol w:w="990"/>
        <w:gridCol w:w="990"/>
        <w:gridCol w:w="990"/>
        <w:gridCol w:w="990"/>
        <w:gridCol w:w="990"/>
      </w:tblGrid>
      <w:tr>
        <w:trPr>
          <w:tblHeader w:val="true"/>
        </w:trPr>
        <w:tc>
          <w:tcPr/>
          <w:p>
            <w:pPr>
              <w:pStyle w:val="Compact"/>
              <w:jc w:val="center"/>
            </w:pPr>
            <w:r>
              <w:t xml:space="preserve">Year</w:t>
            </w:r>
          </w:p>
        </w:tc>
        <w:tc>
          <w:tcPr/>
          <w:p>
            <w:pPr>
              <w:pStyle w:val="Compact"/>
              <w:jc w:val="center"/>
            </w:pPr>
            <w:r>
              <w:t xml:space="preserve">Date</w:t>
            </w:r>
          </w:p>
        </w:tc>
        <w:tc>
          <w:tcPr/>
          <w:p>
            <w:pPr>
              <w:pStyle w:val="Compact"/>
              <w:jc w:val="center"/>
            </w:pPr>
            <w:r>
              <w:t xml:space="preserve">Bull Trout</w:t>
            </w:r>
          </w:p>
        </w:tc>
        <w:tc>
          <w:tcPr/>
          <w:p>
            <w:pPr>
              <w:pStyle w:val="Compact"/>
              <w:jc w:val="center"/>
            </w:pPr>
            <w:r>
              <w:t xml:space="preserve">Resident Rainbow</w:t>
            </w:r>
          </w:p>
        </w:tc>
        <w:tc>
          <w:tcPr/>
          <w:p>
            <w:pPr>
              <w:pStyle w:val="Compact"/>
              <w:jc w:val="center"/>
            </w:pPr>
            <w:r>
              <w:t xml:space="preserve">Cutthroat</w:t>
            </w:r>
          </w:p>
        </w:tc>
        <w:tc>
          <w:tcPr/>
          <w:p>
            <w:pPr>
              <w:pStyle w:val="Compact"/>
              <w:jc w:val="center"/>
            </w:pPr>
            <w:r>
              <w:t xml:space="preserve">Steelhead (UM)</w:t>
            </w:r>
          </w:p>
        </w:tc>
        <w:tc>
          <w:tcPr/>
          <w:p>
            <w:pPr>
              <w:pStyle w:val="Compact"/>
              <w:jc w:val="center"/>
            </w:pPr>
            <w:r>
              <w:t xml:space="preserve">Steelhead (AD)</w:t>
            </w:r>
          </w:p>
        </w:tc>
        <w:tc>
          <w:tcPr/>
          <w:p>
            <w:pPr>
              <w:pStyle w:val="Compact"/>
              <w:jc w:val="center"/>
            </w:pPr>
            <w:r>
              <w:t xml:space="preserve">Steelhead Kelt</w:t>
            </w:r>
          </w:p>
        </w:tc>
      </w:tr>
      <w:tr>
        <w:tc>
          <w:tcPr/>
          <w:p>
            <w:pPr>
              <w:pStyle w:val="Compact"/>
              <w:jc w:val="center"/>
            </w:pPr>
            <w:r>
              <w:t xml:space="preserve">2021</w:t>
            </w:r>
          </w:p>
        </w:tc>
        <w:tc>
          <w:tcPr/>
          <w:p>
            <w:pPr>
              <w:pStyle w:val="Compact"/>
              <w:jc w:val="center"/>
            </w:pPr>
            <w:r>
              <w:t xml:space="preserve">Feb 17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Feb 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Feb 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Feb 26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03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04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17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18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26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06</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15</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16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28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May 05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Jun 08</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r>
      <w:tr>
        <w:tc>
          <w:tcPr/>
          <w:p>
            <w:pPr>
              <w:pStyle w:val="Compact"/>
              <w:jc w:val="center"/>
            </w:pPr>
            <w:r>
              <w:t xml:space="preserve">2021</w:t>
            </w:r>
          </w:p>
        </w:tc>
        <w:tc>
          <w:tcPr/>
          <w:p>
            <w:pPr>
              <w:pStyle w:val="Compact"/>
              <w:jc w:val="center"/>
            </w:pPr>
            <w:r>
              <w:t xml:space="preserve">Total</w:t>
            </w:r>
          </w:p>
        </w:tc>
        <w:tc>
          <w:tcPr/>
          <w:p>
            <w:pPr>
              <w:pStyle w:val="Compact"/>
              <w:jc w:val="center"/>
            </w:pPr>
            <w:r>
              <w:t xml:space="preserve">13</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26</w:t>
            </w:r>
          </w:p>
        </w:tc>
        <w:tc>
          <w:tcPr/>
          <w:p>
            <w:pPr>
              <w:pStyle w:val="Compact"/>
              <w:jc w:val="center"/>
            </w:pPr>
            <w:r>
              <w:t xml:space="preserve">3</w:t>
            </w:r>
          </w:p>
        </w:tc>
        <w:tc>
          <w:tcPr/>
          <w:p>
            <w:pPr>
              <w:pStyle w:val="Compact"/>
              <w:jc w:val="center"/>
            </w:pPr>
            <w:r>
              <w:t xml:space="preserve">1</w:t>
            </w:r>
          </w:p>
        </w:tc>
      </w:tr>
      <w:tr>
        <w:tc>
          <w:tcPr/>
          <w:p>
            <w:pPr>
              <w:pStyle w:val="Compact"/>
              <w:jc w:val="center"/>
            </w:pPr>
            <w:r>
              <w:t xml:space="preserve">2022</w:t>
            </w:r>
          </w:p>
        </w:tc>
        <w:tc>
          <w:tcPr/>
          <w:p>
            <w:pPr>
              <w:pStyle w:val="Compact"/>
              <w:jc w:val="center"/>
            </w:pPr>
            <w:r>
              <w:t xml:space="preserve">Feb 02</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Feb 15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Feb 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09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23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Apr 07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Apr 19</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May 04</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w:t>
            </w:r>
          </w:p>
        </w:tc>
        <w:tc>
          <w:tcPr/>
          <w:p>
            <w:pPr>
              <w:pStyle w:val="Compact"/>
              <w:jc w:val="center"/>
            </w:pPr>
            <w:r>
              <w:t xml:space="preserve">0</w:t>
            </w:r>
          </w:p>
        </w:tc>
        <w:tc>
          <w:tcPr/>
          <w:p>
            <w:pPr>
              <w:pStyle w:val="Compact"/>
              <w:jc w:val="center"/>
            </w:pPr>
            <w:r>
              <w:t xml:space="preserve">4</w:t>
            </w:r>
          </w:p>
        </w:tc>
      </w:tr>
      <w:tr>
        <w:tc>
          <w:tcPr/>
          <w:p>
            <w:pPr>
              <w:pStyle w:val="Compact"/>
              <w:jc w:val="center"/>
            </w:pPr>
            <w:r>
              <w:t xml:space="preserve">2022</w:t>
            </w:r>
          </w:p>
        </w:tc>
        <w:tc>
          <w:tcPr/>
          <w:p>
            <w:pPr>
              <w:pStyle w:val="Compact"/>
              <w:jc w:val="center"/>
            </w:pPr>
            <w:r>
              <w:t xml:space="preserve">May 20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r>
      <w:tr>
        <w:tc>
          <w:tcPr/>
          <w:p>
            <w:pPr>
              <w:pStyle w:val="Compact"/>
              <w:jc w:val="center"/>
            </w:pPr>
            <w:r>
              <w:t xml:space="preserve">2022</w:t>
            </w:r>
          </w:p>
        </w:tc>
        <w:tc>
          <w:tcPr/>
          <w:p>
            <w:pPr>
              <w:pStyle w:val="Compact"/>
              <w:jc w:val="center"/>
            </w:pPr>
            <w:r>
              <w:t xml:space="preserve">Jun 01</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r>
      <w:tr>
        <w:tc>
          <w:tcPr/>
          <w:p>
            <w:pPr>
              <w:pStyle w:val="Compact"/>
              <w:jc w:val="center"/>
            </w:pPr>
            <w:r>
              <w:t xml:space="preserve">2022</w:t>
            </w:r>
          </w:p>
        </w:tc>
        <w:tc>
          <w:tcPr/>
          <w:p>
            <w:pPr>
              <w:pStyle w:val="Compact"/>
              <w:jc w:val="center"/>
            </w:pPr>
            <w:r>
              <w:t xml:space="preserve">Jun 22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Total</w:t>
            </w:r>
          </w:p>
        </w:tc>
        <w:tc>
          <w:tcPr/>
          <w:p>
            <w:pPr>
              <w:pStyle w:val="Compact"/>
              <w:jc w:val="center"/>
            </w:pPr>
            <w:r>
              <w:t xml:space="preserve">16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27</w:t>
            </w:r>
          </w:p>
        </w:tc>
        <w:tc>
          <w:tcPr/>
          <w:p>
            <w:pPr>
              <w:pStyle w:val="Compact"/>
              <w:jc w:val="center"/>
            </w:pPr>
            <w:r>
              <w:t xml:space="preserve">3</w:t>
            </w:r>
          </w:p>
        </w:tc>
        <w:tc>
          <w:tcPr/>
          <w:p>
            <w:pPr>
              <w:pStyle w:val="Compact"/>
              <w:jc w:val="center"/>
            </w:pPr>
            <w:r>
              <w:t xml:space="preserve">7</w:t>
            </w:r>
          </w:p>
        </w:tc>
      </w:tr>
    </w:tbl>
    <w:p>
      <w:pPr>
        <w:pStyle w:val="CaptionedFigure"/>
      </w:pPr>
      <w:r>
        <w:drawing>
          <wp:inline>
            <wp:extent cx="5504749" cy="3669832"/>
            <wp:effectExtent b="0" l="0" r="0" t="0"/>
            <wp:docPr descr="Figure 4.3: Histogram of forklengths, colored by species. Dashed lines are the overlap range between steelhead and other species." title="" id="1" name="Picture"/>
            <a:graphic>
              <a:graphicData uri="http://schemas.openxmlformats.org/drawingml/2006/picture">
                <pic:pic>
                  <pic:nvPicPr>
                    <pic:cNvPr descr="../figures/fl-hist-1.png" id="0" name="Picture"/>
                    <pic:cNvPicPr>
                      <a:picLocks noChangeArrowheads="1" noChangeAspect="1"/>
                    </pic:cNvPicPr>
                  </pic:nvPicPr>
                  <pic:blipFill>
                    <a:blip r:embed="rId39"/>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4.3: Histogram of forklengths, colored by species. Dashed lines are the overlap range between steelhead and other species.</w:t>
      </w:r>
    </w:p>
    <w:bookmarkEnd w:id="40"/>
    <w:bookmarkStart w:id="42" w:name="determining-species-1"/>
    <w:p>
      <w:pPr>
        <w:pStyle w:val="Heading2"/>
      </w:pPr>
      <w:r>
        <w:rPr>
          <w:rStyle w:val="SectionNumber"/>
        </w:rPr>
        <w:t xml:space="preserve">4.3</w:t>
      </w:r>
      <w:r>
        <w:tab/>
      </w:r>
      <w:r>
        <w:t xml:space="preserve">Determining Species</w:t>
      </w:r>
    </w:p>
    <w:p>
      <w:pPr>
        <w:pStyle w:val="FirstParagraph"/>
      </w:pPr>
      <w:r>
        <w:t xml:space="preserve">The impacts of Julian day and fork length on the probability of a fish being a steelhead are displayed in Figure</w:t>
      </w:r>
      <w:r>
        <w:t xml:space="preserve"> </w:t>
      </w:r>
      <w:r>
        <w:t xml:space="preserve">4.4</w:t>
      </w:r>
      <w:r>
        <w:t xml:space="preserve">. Generally, larger fish have a greater chance of being a steelhead, but the exact break point of length (i.e. 50% probability of being a steelhead) shifts over the course of the season.</w:t>
      </w:r>
    </w:p>
    <w:p>
      <w:pPr>
        <w:pStyle w:val="BodyText"/>
      </w:pPr>
      <w:r>
        <w:t xml:space="preserve">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w:t>
      </w:r>
      <w:r>
        <w:t xml:space="preserve"> </w:t>
      </w:r>
      <w:r>
        <w:t xml:space="preserve">4.5</w:t>
      </w:r>
      <w:r>
        <w:t xml:space="preserve">.</w:t>
      </w:r>
    </w:p>
    <w:p>
      <w:pPr>
        <w:pStyle w:val="CaptionedFigure"/>
      </w:pPr>
      <w:r>
        <w:drawing>
          <wp:inline>
            <wp:extent cx="5504749" cy="5504749"/>
            <wp:effectExtent b="0" l="0" r="0" t="0"/>
            <wp:docPr descr="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 title="" id="1" name="Picture"/>
            <a:graphic>
              <a:graphicData uri="http://schemas.openxmlformats.org/drawingml/2006/picture">
                <pic:pic>
                  <pic:nvPicPr>
                    <pic:cNvPr descr="../figures/spp-pred-1.png" id="0" name="Picture"/>
                    <pic:cNvPicPr>
                      <a:picLocks noChangeArrowheads="1" noChangeAspect="1"/>
                    </pic:cNvPicPr>
                  </pic:nvPicPr>
                  <pic:blipFill>
                    <a:blip r:embed="rId41"/>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w:t>
      </w:r>
    </w:p>
    <w:p>
      <w:pPr>
        <w:pStyle w:val="TableCaption"/>
      </w:pPr>
      <w:r>
        <w:t xml:space="preserve">Table 4.5: Number of fish observed moving downstream or upstream (n Fish), less than or greater than 67 cm, and whether they were likely (&gt; 50% probability) to be a steelhead. Totals within each movement and size group are shown (n Sthd) as well as totals for each year by direction (Total Sthd).</w:t>
      </w:r>
    </w:p>
    <w:tbl>
      <w:tblPr>
        <w:tblStyle w:val="Table"/>
        <w:tblW w:type="auto" w:w="0"/>
        <w:tblLook w:firstRow="1" w:lastRow="0" w:firstColumn="0" w:lastColumn="0" w:noHBand="0" w:noVBand="0" w:val="0020"/>
        <w:tblCaption w:val="Table 4.5: Number of fish observed moving downstream or upstream (n Fish), less than or greater than 67 cm, and whether they were likely (&gt; 50% probability) to be a steelhead. Totals within each movement and size group are shown (n Sthd) as well as totals for each year by direction (Total Sthd)."/>
      </w:tblPr>
      <w:tblGrid>
        <w:gridCol w:w="880"/>
        <w:gridCol w:w="880"/>
        <w:gridCol w:w="880"/>
        <w:gridCol w:w="880"/>
        <w:gridCol w:w="880"/>
        <w:gridCol w:w="880"/>
        <w:gridCol w:w="880"/>
        <w:gridCol w:w="880"/>
        <w:gridCol w:w="880"/>
      </w:tblGrid>
      <w:tr>
        <w:trPr>
          <w:tblHeader w:val="true"/>
        </w:trPr>
        <w:tc>
          <w:tcPr/>
          <w:p>
            <w:pPr>
              <w:pStyle w:val="Compact"/>
              <w:jc w:val="left"/>
            </w:pPr>
            <w:r>
              <w:t xml:space="preserve">Direction</w:t>
            </w:r>
          </w:p>
        </w:tc>
        <w:tc>
          <w:tcPr/>
          <w:p>
            <w:pPr>
              <w:pStyle w:val="Compact"/>
              <w:jc w:val="right"/>
            </w:pPr>
            <w:r>
              <w:t xml:space="preserve">Year</w:t>
            </w:r>
          </w:p>
        </w:tc>
        <w:tc>
          <w:tcPr/>
          <w:p>
            <w:pPr>
              <w:pStyle w:val="Compact"/>
              <w:jc w:val="right"/>
            </w:pPr>
            <w:r>
              <w:t xml:space="preserve">n Fish</w:t>
            </w:r>
          </w:p>
        </w:tc>
        <w:tc>
          <w:tcPr/>
          <w:p>
            <w:pPr>
              <w:pStyle w:val="Compact"/>
              <w:jc w:val="right"/>
            </w:pPr>
            <w:r>
              <w:t xml:space="preserve">Likely Sthd</w:t>
            </w:r>
          </w:p>
        </w:tc>
        <w:tc>
          <w:tcPr/>
          <w:p>
            <w:pPr>
              <w:pStyle w:val="Compact"/>
              <w:jc w:val="right"/>
            </w:pPr>
            <w:r>
              <w:t xml:space="preserve">n Sthd</w:t>
            </w:r>
          </w:p>
        </w:tc>
        <w:tc>
          <w:tcPr/>
          <w:p>
            <w:pPr>
              <w:pStyle w:val="Compact"/>
              <w:jc w:val="right"/>
            </w:pPr>
            <w:r>
              <w:t xml:space="preserve">n Fish</w:t>
            </w:r>
          </w:p>
        </w:tc>
        <w:tc>
          <w:tcPr/>
          <w:p>
            <w:pPr>
              <w:pStyle w:val="Compact"/>
              <w:jc w:val="right"/>
            </w:pPr>
            <w:r>
              <w:t xml:space="preserve">Likely Sthd</w:t>
            </w:r>
          </w:p>
        </w:tc>
        <w:tc>
          <w:tcPr/>
          <w:p>
            <w:pPr>
              <w:pStyle w:val="Compact"/>
              <w:jc w:val="right"/>
            </w:pPr>
            <w:r>
              <w:t xml:space="preserve">n Sthd</w:t>
            </w:r>
          </w:p>
        </w:tc>
        <w:tc>
          <w:tcPr/>
          <w:p>
            <w:pPr>
              <w:pStyle w:val="Compact"/>
              <w:jc w:val="right"/>
            </w:pPr>
            <w:r>
              <w:t xml:space="preserve">Total Sthd</w:t>
            </w:r>
          </w:p>
        </w:tc>
      </w:tr>
      <w:tr>
        <w:tc>
          <w:tcPr/>
          <w:p>
            <w:pPr>
              <w:pStyle w:val="Compact"/>
              <w:jc w:val="left"/>
            </w:pPr>
            <w:r>
              <w:t xml:space="preserve">Upstream</w:t>
            </w:r>
          </w:p>
        </w:tc>
        <w:tc>
          <w:tcPr/>
          <w:p>
            <w:pPr>
              <w:pStyle w:val="Compact"/>
              <w:jc w:val="right"/>
            </w:pPr>
            <w:r>
              <w:t xml:space="preserve">2019</w:t>
            </w:r>
          </w:p>
        </w:tc>
        <w:tc>
          <w:tcPr/>
          <w:p>
            <w:pPr>
              <w:pStyle w:val="Compact"/>
              <w:jc w:val="right"/>
            </w:pPr>
            <w:r>
              <w:t xml:space="preserve">268</w:t>
            </w:r>
          </w:p>
        </w:tc>
        <w:tc>
          <w:tcPr/>
          <w:p>
            <w:pPr>
              <w:pStyle w:val="Compact"/>
              <w:jc w:val="right"/>
            </w:pPr>
            <w:r>
              <w:t xml:space="preserve">136</w:t>
            </w:r>
          </w:p>
        </w:tc>
        <w:tc>
          <w:tcPr/>
          <w:p>
            <w:pPr>
              <w:pStyle w:val="Compact"/>
              <w:jc w:val="right"/>
            </w:pPr>
            <w:r>
              <w:t xml:space="preserve">136</w:t>
            </w:r>
          </w:p>
        </w:tc>
        <w:tc>
          <w:tcPr/>
          <w:p>
            <w:pPr>
              <w:pStyle w:val="Compact"/>
              <w:jc w:val="right"/>
            </w:pPr>
            <w:r>
              <w:t xml:space="preserve">477</w:t>
            </w:r>
          </w:p>
        </w:tc>
        <w:tc>
          <w:tcPr/>
          <w:p>
            <w:pPr>
              <w:pStyle w:val="Compact"/>
              <w:jc w:val="right"/>
            </w:pPr>
            <w:r>
              <w:t xml:space="preserve">477</w:t>
            </w:r>
          </w:p>
        </w:tc>
        <w:tc>
          <w:tcPr/>
          <w:p>
            <w:pPr>
              <w:pStyle w:val="Compact"/>
              <w:jc w:val="right"/>
            </w:pPr>
            <w:r>
              <w:t xml:space="preserve">477</w:t>
            </w:r>
          </w:p>
        </w:tc>
        <w:tc>
          <w:tcPr/>
          <w:p>
            <w:pPr>
              <w:pStyle w:val="Compact"/>
              <w:jc w:val="right"/>
            </w:pPr>
            <w:r>
              <w:t xml:space="preserve">613</w:t>
            </w:r>
          </w:p>
        </w:tc>
      </w:tr>
      <w:tr>
        <w:tc>
          <w:tcPr/>
          <w:p>
            <w:pPr>
              <w:pStyle w:val="Compact"/>
              <w:jc w:val="left"/>
            </w:pPr>
            <w:r>
              <w:t xml:space="preserve">Upstream</w:t>
            </w:r>
          </w:p>
        </w:tc>
        <w:tc>
          <w:tcPr/>
          <w:p>
            <w:pPr>
              <w:pStyle w:val="Compact"/>
              <w:jc w:val="right"/>
            </w:pPr>
            <w:r>
              <w:t xml:space="preserve">2020</w:t>
            </w:r>
          </w:p>
        </w:tc>
        <w:tc>
          <w:tcPr/>
          <w:p>
            <w:pPr>
              <w:pStyle w:val="Compact"/>
              <w:jc w:val="right"/>
            </w:pPr>
            <w:r>
              <w:t xml:space="preserve">416</w:t>
            </w:r>
          </w:p>
        </w:tc>
        <w:tc>
          <w:tcPr/>
          <w:p>
            <w:pPr>
              <w:pStyle w:val="Compact"/>
              <w:jc w:val="right"/>
            </w:pPr>
            <w:r>
              <w:t xml:space="preserve">280</w:t>
            </w:r>
          </w:p>
        </w:tc>
        <w:tc>
          <w:tcPr/>
          <w:p>
            <w:pPr>
              <w:pStyle w:val="Compact"/>
              <w:jc w:val="right"/>
            </w:pPr>
            <w:r>
              <w:t xml:space="preserve">280</w:t>
            </w:r>
          </w:p>
        </w:tc>
        <w:tc>
          <w:tcPr/>
          <w:p>
            <w:pPr>
              <w:pStyle w:val="Compact"/>
              <w:jc w:val="right"/>
            </w:pPr>
            <w:r>
              <w:t xml:space="preserve">414</w:t>
            </w:r>
          </w:p>
        </w:tc>
        <w:tc>
          <w:tcPr/>
          <w:p>
            <w:pPr>
              <w:pStyle w:val="Compact"/>
              <w:jc w:val="right"/>
            </w:pPr>
            <w:r>
              <w:t xml:space="preserve">414</w:t>
            </w:r>
          </w:p>
        </w:tc>
        <w:tc>
          <w:tcPr/>
          <w:p>
            <w:pPr>
              <w:pStyle w:val="Compact"/>
              <w:jc w:val="right"/>
            </w:pPr>
            <w:r>
              <w:t xml:space="preserve">414</w:t>
            </w:r>
          </w:p>
        </w:tc>
        <w:tc>
          <w:tcPr/>
          <w:p>
            <w:pPr>
              <w:pStyle w:val="Compact"/>
              <w:jc w:val="right"/>
            </w:pPr>
            <w:r>
              <w:t xml:space="preserve">694</w:t>
            </w:r>
          </w:p>
        </w:tc>
      </w:tr>
      <w:tr>
        <w:tc>
          <w:tcPr/>
          <w:p>
            <w:pPr>
              <w:pStyle w:val="Compact"/>
              <w:jc w:val="left"/>
            </w:pPr>
            <w:r>
              <w:t xml:space="preserve">Upstream</w:t>
            </w:r>
          </w:p>
        </w:tc>
        <w:tc>
          <w:tcPr/>
          <w:p>
            <w:pPr>
              <w:pStyle w:val="Compact"/>
              <w:jc w:val="right"/>
            </w:pPr>
            <w:r>
              <w:t xml:space="preserve">2021</w:t>
            </w:r>
          </w:p>
        </w:tc>
        <w:tc>
          <w:tcPr/>
          <w:p>
            <w:pPr>
              <w:pStyle w:val="Compact"/>
              <w:jc w:val="right"/>
            </w:pPr>
            <w:r>
              <w:t xml:space="preserve">266</w:t>
            </w:r>
          </w:p>
        </w:tc>
        <w:tc>
          <w:tcPr/>
          <w:p>
            <w:pPr>
              <w:pStyle w:val="Compact"/>
              <w:jc w:val="right"/>
            </w:pPr>
            <w:r>
              <w:t xml:space="preserve">148</w:t>
            </w:r>
          </w:p>
        </w:tc>
        <w:tc>
          <w:tcPr/>
          <w:p>
            <w:pPr>
              <w:pStyle w:val="Compact"/>
              <w:jc w:val="right"/>
            </w:pPr>
            <w:r>
              <w:t xml:space="preserve">148</w:t>
            </w:r>
          </w:p>
        </w:tc>
        <w:tc>
          <w:tcPr/>
          <w:p>
            <w:pPr>
              <w:pStyle w:val="Compact"/>
              <w:jc w:val="right"/>
            </w:pPr>
            <w:r>
              <w:t xml:space="preserve">496</w:t>
            </w:r>
          </w:p>
        </w:tc>
        <w:tc>
          <w:tcPr/>
          <w:p>
            <w:pPr>
              <w:pStyle w:val="Compact"/>
              <w:jc w:val="right"/>
            </w:pPr>
            <w:r>
              <w:t xml:space="preserve">473</w:t>
            </w:r>
          </w:p>
        </w:tc>
        <w:tc>
          <w:tcPr/>
          <w:p>
            <w:pPr>
              <w:pStyle w:val="Compact"/>
              <w:jc w:val="right"/>
            </w:pPr>
            <w:r>
              <w:t xml:space="preserve">496</w:t>
            </w:r>
          </w:p>
        </w:tc>
        <w:tc>
          <w:tcPr/>
          <w:p>
            <w:pPr>
              <w:pStyle w:val="Compact"/>
              <w:jc w:val="right"/>
            </w:pPr>
            <w:r>
              <w:t xml:space="preserve">644</w:t>
            </w:r>
          </w:p>
        </w:tc>
      </w:tr>
      <w:tr>
        <w:tc>
          <w:tcPr/>
          <w:p>
            <w:pPr>
              <w:pStyle w:val="Compact"/>
              <w:jc w:val="left"/>
            </w:pPr>
            <w:r>
              <w:t xml:space="preserve">Upstream</w:t>
            </w:r>
          </w:p>
        </w:tc>
        <w:tc>
          <w:tcPr/>
          <w:p>
            <w:pPr>
              <w:pStyle w:val="Compact"/>
              <w:jc w:val="right"/>
            </w:pPr>
            <w:r>
              <w:t xml:space="preserve">2022</w:t>
            </w:r>
          </w:p>
        </w:tc>
        <w:tc>
          <w:tcPr/>
          <w:p>
            <w:pPr>
              <w:pStyle w:val="Compact"/>
              <w:jc w:val="right"/>
            </w:pPr>
            <w:r>
              <w:t xml:space="preserve">450</w:t>
            </w:r>
          </w:p>
        </w:tc>
        <w:tc>
          <w:tcPr/>
          <w:p>
            <w:pPr>
              <w:pStyle w:val="Compact"/>
              <w:jc w:val="right"/>
            </w:pPr>
            <w:r>
              <w:t xml:space="preserve">292</w:t>
            </w:r>
          </w:p>
        </w:tc>
        <w:tc>
          <w:tcPr/>
          <w:p>
            <w:pPr>
              <w:pStyle w:val="Compact"/>
              <w:jc w:val="right"/>
            </w:pPr>
            <w:r>
              <w:t xml:space="preserve">292</w:t>
            </w:r>
          </w:p>
        </w:tc>
        <w:tc>
          <w:tcPr/>
          <w:p>
            <w:pPr>
              <w:pStyle w:val="Compact"/>
              <w:jc w:val="right"/>
            </w:pPr>
            <w:r>
              <w:t xml:space="preserve">284</w:t>
            </w:r>
          </w:p>
        </w:tc>
        <w:tc>
          <w:tcPr/>
          <w:p>
            <w:pPr>
              <w:pStyle w:val="Compact"/>
              <w:jc w:val="right"/>
            </w:pPr>
            <w:r>
              <w:t xml:space="preserve">281</w:t>
            </w:r>
          </w:p>
        </w:tc>
        <w:tc>
          <w:tcPr/>
          <w:p>
            <w:pPr>
              <w:pStyle w:val="Compact"/>
              <w:jc w:val="right"/>
            </w:pPr>
            <w:r>
              <w:t xml:space="preserve">284</w:t>
            </w:r>
          </w:p>
        </w:tc>
        <w:tc>
          <w:tcPr/>
          <w:p>
            <w:pPr>
              <w:pStyle w:val="Compact"/>
              <w:jc w:val="right"/>
            </w:pPr>
            <w:r>
              <w:t xml:space="preserve">576</w:t>
            </w:r>
          </w:p>
        </w:tc>
      </w:tr>
      <w:tr>
        <w:tc>
          <w:tcPr/>
          <w:p>
            <w:pPr>
              <w:pStyle w:val="Compact"/>
              <w:jc w:val="left"/>
            </w:pPr>
            <w:r>
              <w:t xml:space="preserve">Downstream</w:t>
            </w:r>
          </w:p>
        </w:tc>
        <w:tc>
          <w:tcPr/>
          <w:p>
            <w:pPr>
              <w:pStyle w:val="Compact"/>
              <w:jc w:val="right"/>
            </w:pPr>
            <w:r>
              <w:t xml:space="preserve">2019</w:t>
            </w:r>
          </w:p>
        </w:tc>
        <w:tc>
          <w:tcPr/>
          <w:p>
            <w:pPr>
              <w:pStyle w:val="Compact"/>
              <w:jc w:val="right"/>
            </w:pPr>
            <w:r>
              <w:t xml:space="preserve">95</w:t>
            </w:r>
          </w:p>
        </w:tc>
        <w:tc>
          <w:tcPr/>
          <w:p>
            <w:pPr>
              <w:pStyle w:val="Compact"/>
              <w:jc w:val="right"/>
            </w:pPr>
            <w:r>
              <w:t xml:space="preserve">50</w:t>
            </w:r>
          </w:p>
        </w:tc>
        <w:tc>
          <w:tcPr/>
          <w:p>
            <w:pPr>
              <w:pStyle w:val="Compact"/>
              <w:jc w:val="right"/>
            </w:pPr>
            <w:r>
              <w:t xml:space="preserve">50</w:t>
            </w:r>
          </w:p>
        </w:tc>
        <w:tc>
          <w:tcPr/>
          <w:p>
            <w:pPr>
              <w:pStyle w:val="Compact"/>
              <w:jc w:val="right"/>
            </w:pPr>
            <w:r>
              <w:t xml:space="preserve">207</w:t>
            </w:r>
          </w:p>
        </w:tc>
        <w:tc>
          <w:tcPr/>
          <w:p>
            <w:pPr>
              <w:pStyle w:val="Compact"/>
              <w:jc w:val="right"/>
            </w:pPr>
            <w:r>
              <w:t xml:space="preserve">207</w:t>
            </w:r>
          </w:p>
        </w:tc>
        <w:tc>
          <w:tcPr/>
          <w:p>
            <w:pPr>
              <w:pStyle w:val="Compact"/>
              <w:jc w:val="right"/>
            </w:pPr>
            <w:r>
              <w:t xml:space="preserve">207</w:t>
            </w:r>
          </w:p>
        </w:tc>
        <w:tc>
          <w:tcPr/>
          <w:p>
            <w:pPr>
              <w:pStyle w:val="Compact"/>
              <w:jc w:val="right"/>
            </w:pPr>
            <w:r>
              <w:t xml:space="preserve">257</w:t>
            </w:r>
          </w:p>
        </w:tc>
      </w:tr>
      <w:tr>
        <w:tc>
          <w:tcPr/>
          <w:p>
            <w:pPr>
              <w:pStyle w:val="Compact"/>
              <w:jc w:val="left"/>
            </w:pPr>
            <w:r>
              <w:t xml:space="preserve">Downstream</w:t>
            </w:r>
          </w:p>
        </w:tc>
        <w:tc>
          <w:tcPr/>
          <w:p>
            <w:pPr>
              <w:pStyle w:val="Compact"/>
              <w:jc w:val="right"/>
            </w:pPr>
            <w:r>
              <w:t xml:space="preserve">2020</w:t>
            </w:r>
          </w:p>
        </w:tc>
        <w:tc>
          <w:tcPr/>
          <w:p>
            <w:pPr>
              <w:pStyle w:val="Compact"/>
              <w:jc w:val="right"/>
            </w:pPr>
            <w:r>
              <w:t xml:space="preserve">234</w:t>
            </w:r>
          </w:p>
        </w:tc>
        <w:tc>
          <w:tcPr/>
          <w:p>
            <w:pPr>
              <w:pStyle w:val="Compact"/>
              <w:jc w:val="right"/>
            </w:pPr>
            <w:r>
              <w:t xml:space="preserve">145</w:t>
            </w:r>
          </w:p>
        </w:tc>
        <w:tc>
          <w:tcPr/>
          <w:p>
            <w:pPr>
              <w:pStyle w:val="Compact"/>
              <w:jc w:val="right"/>
            </w:pPr>
            <w:r>
              <w:t xml:space="preserve">145</w:t>
            </w:r>
          </w:p>
        </w:tc>
        <w:tc>
          <w:tcPr/>
          <w:p>
            <w:pPr>
              <w:pStyle w:val="Compact"/>
              <w:jc w:val="right"/>
            </w:pPr>
            <w:r>
              <w:t xml:space="preserve">119</w:t>
            </w:r>
          </w:p>
        </w:tc>
        <w:tc>
          <w:tcPr/>
          <w:p>
            <w:pPr>
              <w:pStyle w:val="Compact"/>
              <w:jc w:val="right"/>
            </w:pPr>
            <w:r>
              <w:t xml:space="preserve">119</w:t>
            </w:r>
          </w:p>
        </w:tc>
        <w:tc>
          <w:tcPr/>
          <w:p>
            <w:pPr>
              <w:pStyle w:val="Compact"/>
              <w:jc w:val="right"/>
            </w:pPr>
            <w:r>
              <w:t xml:space="preserve">119</w:t>
            </w:r>
          </w:p>
        </w:tc>
        <w:tc>
          <w:tcPr/>
          <w:p>
            <w:pPr>
              <w:pStyle w:val="Compact"/>
              <w:jc w:val="right"/>
            </w:pPr>
            <w:r>
              <w:t xml:space="preserve">264</w:t>
            </w:r>
          </w:p>
        </w:tc>
      </w:tr>
      <w:tr>
        <w:tc>
          <w:tcPr/>
          <w:p>
            <w:pPr>
              <w:pStyle w:val="Compact"/>
              <w:jc w:val="left"/>
            </w:pPr>
            <w:r>
              <w:t xml:space="preserve">Downstream</w:t>
            </w:r>
          </w:p>
        </w:tc>
        <w:tc>
          <w:tcPr/>
          <w:p>
            <w:pPr>
              <w:pStyle w:val="Compact"/>
              <w:jc w:val="right"/>
            </w:pPr>
            <w:r>
              <w:t xml:space="preserve">2021</w:t>
            </w:r>
          </w:p>
        </w:tc>
        <w:tc>
          <w:tcPr/>
          <w:p>
            <w:pPr>
              <w:pStyle w:val="Compact"/>
              <w:jc w:val="right"/>
            </w:pPr>
            <w:r>
              <w:t xml:space="preserve">205</w:t>
            </w:r>
          </w:p>
        </w:tc>
        <w:tc>
          <w:tcPr/>
          <w:p>
            <w:pPr>
              <w:pStyle w:val="Compact"/>
              <w:jc w:val="right"/>
            </w:pPr>
            <w:r>
              <w:t xml:space="preserve">110</w:t>
            </w:r>
          </w:p>
        </w:tc>
        <w:tc>
          <w:tcPr/>
          <w:p>
            <w:pPr>
              <w:pStyle w:val="Compact"/>
              <w:jc w:val="right"/>
            </w:pPr>
            <w:r>
              <w:t xml:space="preserve">110</w:t>
            </w:r>
          </w:p>
        </w:tc>
        <w:tc>
          <w:tcPr/>
          <w:p>
            <w:pPr>
              <w:pStyle w:val="Compact"/>
              <w:jc w:val="right"/>
            </w:pPr>
            <w:r>
              <w:t xml:space="preserve">214</w:t>
            </w:r>
          </w:p>
        </w:tc>
        <w:tc>
          <w:tcPr/>
          <w:p>
            <w:pPr>
              <w:pStyle w:val="Compact"/>
              <w:jc w:val="right"/>
            </w:pPr>
            <w:r>
              <w:t xml:space="preserve">210</w:t>
            </w:r>
          </w:p>
        </w:tc>
        <w:tc>
          <w:tcPr/>
          <w:p>
            <w:pPr>
              <w:pStyle w:val="Compact"/>
              <w:jc w:val="right"/>
            </w:pPr>
            <w:r>
              <w:t xml:space="preserve">214</w:t>
            </w:r>
          </w:p>
        </w:tc>
        <w:tc>
          <w:tcPr/>
          <w:p>
            <w:pPr>
              <w:pStyle w:val="Compact"/>
              <w:jc w:val="right"/>
            </w:pPr>
            <w:r>
              <w:t xml:space="preserve">324</w:t>
            </w:r>
          </w:p>
        </w:tc>
      </w:tr>
      <w:tr>
        <w:tc>
          <w:tcPr/>
          <w:p>
            <w:pPr>
              <w:pStyle w:val="Compact"/>
              <w:jc w:val="left"/>
            </w:pPr>
            <w:r>
              <w:t xml:space="preserve">Downstream</w:t>
            </w:r>
          </w:p>
        </w:tc>
        <w:tc>
          <w:tcPr/>
          <w:p>
            <w:pPr>
              <w:pStyle w:val="Compact"/>
              <w:jc w:val="right"/>
            </w:pPr>
            <w:r>
              <w:t xml:space="preserve">2022</w:t>
            </w:r>
          </w:p>
        </w:tc>
        <w:tc>
          <w:tcPr/>
          <w:p>
            <w:pPr>
              <w:pStyle w:val="Compact"/>
              <w:jc w:val="right"/>
            </w:pPr>
            <w:r>
              <w:t xml:space="preserve">198</w:t>
            </w:r>
          </w:p>
        </w:tc>
        <w:tc>
          <w:tcPr/>
          <w:p>
            <w:pPr>
              <w:pStyle w:val="Compact"/>
              <w:jc w:val="right"/>
            </w:pPr>
            <w:r>
              <w:t xml:space="preserve">120</w:t>
            </w:r>
          </w:p>
        </w:tc>
        <w:tc>
          <w:tcPr/>
          <w:p>
            <w:pPr>
              <w:pStyle w:val="Compact"/>
              <w:jc w:val="right"/>
            </w:pPr>
            <w:r>
              <w:t xml:space="preserve">120</w:t>
            </w:r>
          </w:p>
        </w:tc>
        <w:tc>
          <w:tcPr/>
          <w:p>
            <w:pPr>
              <w:pStyle w:val="Compact"/>
              <w:jc w:val="right"/>
            </w:pPr>
            <w:r>
              <w:t xml:space="preserve">109</w:t>
            </w:r>
          </w:p>
        </w:tc>
        <w:tc>
          <w:tcPr/>
          <w:p>
            <w:pPr>
              <w:pStyle w:val="Compact"/>
              <w:jc w:val="right"/>
            </w:pPr>
            <w:r>
              <w:t xml:space="preserve">108</w:t>
            </w:r>
          </w:p>
        </w:tc>
        <w:tc>
          <w:tcPr/>
          <w:p>
            <w:pPr>
              <w:pStyle w:val="Compact"/>
              <w:jc w:val="right"/>
            </w:pPr>
            <w:r>
              <w:t xml:space="preserve">109</w:t>
            </w:r>
          </w:p>
        </w:tc>
        <w:tc>
          <w:tcPr/>
          <w:p>
            <w:pPr>
              <w:pStyle w:val="Compact"/>
              <w:jc w:val="right"/>
            </w:pPr>
            <w:r>
              <w:t xml:space="preserve">229</w:t>
            </w:r>
          </w:p>
        </w:tc>
      </w:tr>
    </w:tbl>
    <w:bookmarkEnd w:id="42"/>
    <w:bookmarkStart w:id="47" w:name="abundance-estimation-1"/>
    <w:p>
      <w:pPr>
        <w:pStyle w:val="Heading2"/>
      </w:pPr>
      <w:r>
        <w:rPr>
          <w:rStyle w:val="SectionNumber"/>
        </w:rPr>
        <w:t xml:space="preserve">4.4</w:t>
      </w:r>
      <w:r>
        <w:tab/>
      </w:r>
      <w:r>
        <w:t xml:space="preserve">Abundance Estimation</w:t>
      </w:r>
    </w:p>
    <w:p>
      <w:pPr>
        <w:pStyle w:val="FirstParagraph"/>
      </w:pPr>
      <w:r>
        <w:t xml:space="preserve">The estimated marginal effects of various covariates on the expected number of upstream and downstream moving fish are shown in Figures</w:t>
      </w:r>
      <w:r>
        <w:t xml:space="preserve"> </w:t>
      </w:r>
      <w:r>
        <w:t xml:space="preserve">4.5</w:t>
      </w:r>
      <w:r>
        <w:t xml:space="preserve"> </w:t>
      </w:r>
      <w:r>
        <w:t xml:space="preserve">and</w:t>
      </w:r>
      <w:r>
        <w:t xml:space="preserve"> </w:t>
      </w:r>
      <w:r>
        <w:t xml:space="preserve">4.6</w:t>
      </w:r>
      <w:r>
        <w:t xml:space="preserve"> </w:t>
      </w:r>
      <w:r>
        <w:t xml:space="preserve">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pPr>
        <w:pStyle w:val="BodyText"/>
      </w:pPr>
      <w:r>
        <w:t xml:space="preserve">Estimates of early, late, and total annual escapement of winter steelhead are shown in Table</w:t>
      </w:r>
      <w:r>
        <w:t xml:space="preserve"> </w:t>
      </w:r>
      <w:r>
        <w:t xml:space="preserve">4.6</w:t>
      </w:r>
      <w:r>
        <w:t xml:space="preserve">.</w:t>
      </w:r>
    </w:p>
    <w:p>
      <w:pPr>
        <w:pStyle w:val="TableCaption"/>
      </w:pPr>
      <w:r>
        <w:t xml:space="preserve">Table 4.6: Annual estimates of winter steelhead in the early (upstream - downstream) and late (upstream only) periods as well as total upstream escapement to the Dungeness River between Feb 1 and June 15.</w:t>
      </w:r>
    </w:p>
    <w:tbl>
      <w:tblPr>
        <w:tblStyle w:val="Table"/>
        <w:tblW w:type="auto" w:w="0"/>
        <w:tblLook w:firstRow="1" w:lastRow="0" w:firstColumn="0" w:lastColumn="0" w:noHBand="0" w:noVBand="0" w:val="0020"/>
        <w:tblCaption w:val="Table 4.6: Annual estimates of winter steelhead in the early (upstream - downstream) and late (upstream only) periods as well as total upstream escapement to the Dungeness River between Feb 1 and June 15."/>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Year</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r>
      <w:tr>
        <w:tc>
          <w:tcPr/>
          <w:p>
            <w:pPr>
              <w:pStyle w:val="Compact"/>
              <w:jc w:val="left"/>
            </w:pPr>
            <w:r>
              <w:t xml:space="preserve">2019</w:t>
            </w:r>
          </w:p>
        </w:tc>
        <w:tc>
          <w:tcPr/>
          <w:p>
            <w:pPr>
              <w:pStyle w:val="Compact"/>
              <w:jc w:val="right"/>
            </w:pPr>
            <w:r>
              <w:t xml:space="preserve">762</w:t>
            </w:r>
          </w:p>
        </w:tc>
        <w:tc>
          <w:tcPr/>
          <w:p>
            <w:pPr>
              <w:pStyle w:val="Compact"/>
              <w:jc w:val="right"/>
            </w:pPr>
            <w:r>
              <w:t xml:space="preserve">146.9</w:t>
            </w:r>
          </w:p>
        </w:tc>
        <w:tc>
          <w:tcPr/>
          <w:p>
            <w:pPr>
              <w:pStyle w:val="Compact"/>
              <w:jc w:val="right"/>
            </w:pPr>
            <w:r>
              <w:t xml:space="preserve">658</w:t>
            </w:r>
          </w:p>
        </w:tc>
        <w:tc>
          <w:tcPr/>
          <w:p>
            <w:pPr>
              <w:pStyle w:val="Compact"/>
              <w:jc w:val="right"/>
            </w:pPr>
            <w:r>
              <w:t xml:space="preserve">1,160</w:t>
            </w:r>
          </w:p>
        </w:tc>
        <w:tc>
          <w:tcPr/>
          <w:p>
            <w:pPr>
              <w:pStyle w:val="Compact"/>
              <w:jc w:val="right"/>
            </w:pPr>
            <w:r>
              <w:t xml:space="preserve">152</w:t>
            </w:r>
          </w:p>
        </w:tc>
        <w:tc>
          <w:tcPr/>
          <w:p>
            <w:pPr>
              <w:pStyle w:val="Compact"/>
              <w:jc w:val="right"/>
            </w:pPr>
            <w:r>
              <w:t xml:space="preserve">7.3</w:t>
            </w:r>
          </w:p>
        </w:tc>
        <w:tc>
          <w:tcPr/>
          <w:p>
            <w:pPr>
              <w:pStyle w:val="Compact"/>
              <w:jc w:val="right"/>
            </w:pPr>
            <w:r>
              <w:t xml:space="preserve">140</w:t>
            </w:r>
          </w:p>
        </w:tc>
        <w:tc>
          <w:tcPr/>
          <w:p>
            <w:pPr>
              <w:pStyle w:val="Compact"/>
              <w:jc w:val="right"/>
            </w:pPr>
            <w:r>
              <w:t xml:space="preserve">168</w:t>
            </w:r>
          </w:p>
        </w:tc>
        <w:tc>
          <w:tcPr/>
          <w:p>
            <w:pPr>
              <w:pStyle w:val="Compact"/>
              <w:jc w:val="right"/>
            </w:pPr>
            <w:r>
              <w:t xml:space="preserve">913</w:t>
            </w:r>
          </w:p>
        </w:tc>
        <w:tc>
          <w:tcPr/>
          <w:p>
            <w:pPr>
              <w:pStyle w:val="Compact"/>
              <w:jc w:val="right"/>
            </w:pPr>
            <w:r>
              <w:t xml:space="preserve">147.2</w:t>
            </w:r>
          </w:p>
        </w:tc>
        <w:tc>
          <w:tcPr/>
          <w:p>
            <w:pPr>
              <w:pStyle w:val="Compact"/>
              <w:jc w:val="right"/>
            </w:pPr>
            <w:r>
              <w:t xml:space="preserve">808</w:t>
            </w:r>
          </w:p>
        </w:tc>
        <w:tc>
          <w:tcPr/>
          <w:p>
            <w:pPr>
              <w:pStyle w:val="Compact"/>
              <w:jc w:val="right"/>
            </w:pPr>
            <w:r>
              <w:t xml:space="preserve">1,317</w:t>
            </w:r>
          </w:p>
        </w:tc>
      </w:tr>
      <w:tr>
        <w:tc>
          <w:tcPr/>
          <w:p>
            <w:pPr>
              <w:pStyle w:val="Compact"/>
              <w:jc w:val="left"/>
            </w:pPr>
            <w:r>
              <w:t xml:space="preserve">2020</w:t>
            </w:r>
          </w:p>
        </w:tc>
        <w:tc>
          <w:tcPr/>
          <w:p>
            <w:pPr>
              <w:pStyle w:val="Compact"/>
              <w:jc w:val="right"/>
            </w:pPr>
            <w:r>
              <w:t xml:space="preserve">961</w:t>
            </w:r>
          </w:p>
        </w:tc>
        <w:tc>
          <w:tcPr/>
          <w:p>
            <w:pPr>
              <w:pStyle w:val="Compact"/>
              <w:jc w:val="right"/>
            </w:pPr>
            <w:r>
              <w:t xml:space="preserve">43.1</w:t>
            </w:r>
          </w:p>
        </w:tc>
        <w:tc>
          <w:tcPr/>
          <w:p>
            <w:pPr>
              <w:pStyle w:val="Compact"/>
              <w:jc w:val="right"/>
            </w:pPr>
            <w:r>
              <w:t xml:space="preserve">878</w:t>
            </w:r>
          </w:p>
        </w:tc>
        <w:tc>
          <w:tcPr/>
          <w:p>
            <w:pPr>
              <w:pStyle w:val="Compact"/>
              <w:jc w:val="right"/>
            </w:pPr>
            <w:r>
              <w:t xml:space="preserve">1,045</w:t>
            </w:r>
          </w:p>
        </w:tc>
        <w:tc>
          <w:tcPr/>
          <w:p>
            <w:pPr>
              <w:pStyle w:val="Compact"/>
              <w:jc w:val="right"/>
            </w:pPr>
            <w:r>
              <w:t xml:space="preserve">140</w:t>
            </w:r>
          </w:p>
        </w:tc>
        <w:tc>
          <w:tcPr/>
          <w:p>
            <w:pPr>
              <w:pStyle w:val="Compact"/>
              <w:jc w:val="right"/>
            </w:pPr>
            <w:r>
              <w:t xml:space="preserve">17.5</w:t>
            </w:r>
          </w:p>
        </w:tc>
        <w:tc>
          <w:tcPr/>
          <w:p>
            <w:pPr>
              <w:pStyle w:val="Compact"/>
              <w:jc w:val="right"/>
            </w:pPr>
            <w:r>
              <w:t xml:space="preserve">112</w:t>
            </w:r>
          </w:p>
        </w:tc>
        <w:tc>
          <w:tcPr/>
          <w:p>
            <w:pPr>
              <w:pStyle w:val="Compact"/>
              <w:jc w:val="right"/>
            </w:pPr>
            <w:r>
              <w:t xml:space="preserve">181</w:t>
            </w:r>
          </w:p>
        </w:tc>
        <w:tc>
          <w:tcPr/>
          <w:p>
            <w:pPr>
              <w:pStyle w:val="Compact"/>
              <w:jc w:val="right"/>
            </w:pPr>
            <w:r>
              <w:t xml:space="preserve">1,101</w:t>
            </w:r>
          </w:p>
        </w:tc>
        <w:tc>
          <w:tcPr/>
          <w:p>
            <w:pPr>
              <w:pStyle w:val="Compact"/>
              <w:jc w:val="right"/>
            </w:pPr>
            <w:r>
              <w:t xml:space="preserve">47.1</w:t>
            </w:r>
          </w:p>
        </w:tc>
        <w:tc>
          <w:tcPr/>
          <w:p>
            <w:pPr>
              <w:pStyle w:val="Compact"/>
              <w:jc w:val="right"/>
            </w:pPr>
            <w:r>
              <w:t xml:space="preserve">1,012</w:t>
            </w:r>
          </w:p>
        </w:tc>
        <w:tc>
          <w:tcPr/>
          <w:p>
            <w:pPr>
              <w:pStyle w:val="Compact"/>
              <w:jc w:val="right"/>
            </w:pPr>
            <w:r>
              <w:t xml:space="preserve">1,196</w:t>
            </w:r>
          </w:p>
        </w:tc>
      </w:tr>
      <w:tr>
        <w:tc>
          <w:tcPr/>
          <w:p>
            <w:pPr>
              <w:pStyle w:val="Compact"/>
              <w:jc w:val="left"/>
            </w:pPr>
            <w:r>
              <w:t xml:space="preserve">2021</w:t>
            </w:r>
          </w:p>
        </w:tc>
        <w:tc>
          <w:tcPr/>
          <w:p>
            <w:pPr>
              <w:pStyle w:val="Compact"/>
              <w:jc w:val="right"/>
            </w:pPr>
            <w:r>
              <w:t xml:space="preserve">579</w:t>
            </w:r>
          </w:p>
        </w:tc>
        <w:tc>
          <w:tcPr/>
          <w:p>
            <w:pPr>
              <w:pStyle w:val="Compact"/>
              <w:jc w:val="right"/>
            </w:pPr>
            <w:r>
              <w:t xml:space="preserve">8.9</w:t>
            </w:r>
          </w:p>
        </w:tc>
        <w:tc>
          <w:tcPr/>
          <w:p>
            <w:pPr>
              <w:pStyle w:val="Compact"/>
              <w:jc w:val="right"/>
            </w:pPr>
            <w:r>
              <w:t xml:space="preserve">562</w:t>
            </w:r>
          </w:p>
        </w:tc>
        <w:tc>
          <w:tcPr/>
          <w:p>
            <w:pPr>
              <w:pStyle w:val="Compact"/>
              <w:jc w:val="right"/>
            </w:pPr>
            <w:r>
              <w:t xml:space="preserve">597</w:t>
            </w:r>
          </w:p>
        </w:tc>
        <w:tc>
          <w:tcPr/>
          <w:p>
            <w:pPr>
              <w:pStyle w:val="Compact"/>
              <w:jc w:val="right"/>
            </w:pPr>
            <w:r>
              <w:t xml:space="preserve">67</w:t>
            </w:r>
          </w:p>
        </w:tc>
        <w:tc>
          <w:tcPr/>
          <w:p>
            <w:pPr>
              <w:pStyle w:val="Compact"/>
              <w:jc w:val="right"/>
            </w:pPr>
            <w:r>
              <w:t xml:space="preserve">4.8</w:t>
            </w:r>
          </w:p>
        </w:tc>
        <w:tc>
          <w:tcPr/>
          <w:p>
            <w:pPr>
              <w:pStyle w:val="Compact"/>
              <w:jc w:val="right"/>
            </w:pPr>
            <w:r>
              <w:t xml:space="preserve">59</w:t>
            </w:r>
          </w:p>
        </w:tc>
        <w:tc>
          <w:tcPr/>
          <w:p>
            <w:pPr>
              <w:pStyle w:val="Compact"/>
              <w:jc w:val="right"/>
            </w:pPr>
            <w:r>
              <w:t xml:space="preserve">78</w:t>
            </w:r>
          </w:p>
        </w:tc>
        <w:tc>
          <w:tcPr/>
          <w:p>
            <w:pPr>
              <w:pStyle w:val="Compact"/>
              <w:jc w:val="right"/>
            </w:pPr>
            <w:r>
              <w:t xml:space="preserve">646</w:t>
            </w:r>
          </w:p>
        </w:tc>
        <w:tc>
          <w:tcPr/>
          <w:p>
            <w:pPr>
              <w:pStyle w:val="Compact"/>
              <w:jc w:val="right"/>
            </w:pPr>
            <w:r>
              <w:t xml:space="preserve">10.8</w:t>
            </w:r>
          </w:p>
        </w:tc>
        <w:tc>
          <w:tcPr/>
          <w:p>
            <w:pPr>
              <w:pStyle w:val="Compact"/>
              <w:jc w:val="right"/>
            </w:pPr>
            <w:r>
              <w:t xml:space="preserve">626</w:t>
            </w:r>
          </w:p>
        </w:tc>
        <w:tc>
          <w:tcPr/>
          <w:p>
            <w:pPr>
              <w:pStyle w:val="Compact"/>
              <w:jc w:val="right"/>
            </w:pPr>
            <w:r>
              <w:t xml:space="preserve">668</w:t>
            </w:r>
          </w:p>
        </w:tc>
      </w:tr>
      <w:tr>
        <w:tc>
          <w:tcPr/>
          <w:p>
            <w:pPr>
              <w:pStyle w:val="Compact"/>
              <w:jc w:val="left"/>
            </w:pPr>
            <w:r>
              <w:t xml:space="preserve">2022</w:t>
            </w:r>
          </w:p>
        </w:tc>
        <w:tc>
          <w:tcPr/>
          <w:p>
            <w:pPr>
              <w:pStyle w:val="Compact"/>
              <w:jc w:val="right"/>
            </w:pPr>
            <w:r>
              <w:t xml:space="preserve">610</w:t>
            </w:r>
          </w:p>
        </w:tc>
        <w:tc>
          <w:tcPr/>
          <w:p>
            <w:pPr>
              <w:pStyle w:val="Compact"/>
              <w:jc w:val="right"/>
            </w:pPr>
            <w:r>
              <w:t xml:space="preserve">11.4</w:t>
            </w:r>
          </w:p>
        </w:tc>
        <w:tc>
          <w:tcPr/>
          <w:p>
            <w:pPr>
              <w:pStyle w:val="Compact"/>
              <w:jc w:val="right"/>
            </w:pPr>
            <w:r>
              <w:t xml:space="preserve">587</w:t>
            </w:r>
          </w:p>
        </w:tc>
        <w:tc>
          <w:tcPr/>
          <w:p>
            <w:pPr>
              <w:pStyle w:val="Compact"/>
              <w:jc w:val="right"/>
            </w:pPr>
            <w:r>
              <w:t xml:space="preserve">629</w:t>
            </w:r>
          </w:p>
        </w:tc>
        <w:tc>
          <w:tcPr/>
          <w:p>
            <w:pPr>
              <w:pStyle w:val="Compact"/>
              <w:jc w:val="right"/>
            </w:pPr>
            <w:r>
              <w:t xml:space="preserve">138</w:t>
            </w:r>
          </w:p>
        </w:tc>
        <w:tc>
          <w:tcPr/>
          <w:p>
            <w:pPr>
              <w:pStyle w:val="Compact"/>
              <w:jc w:val="right"/>
            </w:pPr>
            <w:r>
              <w:t xml:space="preserve">8.3</w:t>
            </w:r>
          </w:p>
        </w:tc>
        <w:tc>
          <w:tcPr/>
          <w:p>
            <w:pPr>
              <w:pStyle w:val="Compact"/>
              <w:jc w:val="right"/>
            </w:pPr>
            <w:r>
              <w:t xml:space="preserve">123</w:t>
            </w:r>
          </w:p>
        </w:tc>
        <w:tc>
          <w:tcPr/>
          <w:p>
            <w:pPr>
              <w:pStyle w:val="Compact"/>
              <w:jc w:val="right"/>
            </w:pPr>
            <w:r>
              <w:t xml:space="preserve">156</w:t>
            </w:r>
          </w:p>
        </w:tc>
        <w:tc>
          <w:tcPr/>
          <w:p>
            <w:pPr>
              <w:pStyle w:val="Compact"/>
              <w:jc w:val="right"/>
            </w:pPr>
            <w:r>
              <w:t xml:space="preserve">747</w:t>
            </w:r>
          </w:p>
        </w:tc>
        <w:tc>
          <w:tcPr/>
          <w:p>
            <w:pPr>
              <w:pStyle w:val="Compact"/>
              <w:jc w:val="right"/>
            </w:pPr>
            <w:r>
              <w:t xml:space="preserve">14.8</w:t>
            </w:r>
          </w:p>
        </w:tc>
        <w:tc>
          <w:tcPr/>
          <w:p>
            <w:pPr>
              <w:pStyle w:val="Compact"/>
              <w:jc w:val="right"/>
            </w:pPr>
            <w:r>
              <w:t xml:space="preserve">719</w:t>
            </w:r>
          </w:p>
        </w:tc>
        <w:tc>
          <w:tcPr/>
          <w:p>
            <w:pPr>
              <w:pStyle w:val="Compact"/>
              <w:jc w:val="right"/>
            </w:pPr>
            <w:r>
              <w:t xml:space="preserve">776</w:t>
            </w:r>
          </w:p>
        </w:tc>
      </w:tr>
    </w:tbl>
    <w:p>
      <w:pPr>
        <w:pStyle w:val="CaptionedFigure"/>
      </w:pPr>
      <w:r>
        <w:drawing>
          <wp:inline>
            <wp:extent cx="5504749" cy="5504749"/>
            <wp:effectExtent b="0" l="0" r="0" t="0"/>
            <wp:docPr descr="Figure 4.5: Marginal effects for upstream-moving fish as estimated by the GAM for hour of day (A), discharge (B), and Julian day of year (C). Shaded areas indicated 95% confidence intervals." title="" id="1" name="Picture"/>
            <a:graphic>
              <a:graphicData uri="http://schemas.openxmlformats.org/drawingml/2006/picture">
                <pic:pic>
                  <pic:nvPicPr>
                    <pic:cNvPr descr="../figures/up-marg-1.png" id="0" name="Picture"/>
                    <pic:cNvPicPr>
                      <a:picLocks noChangeArrowheads="1" noChangeAspect="1"/>
                    </pic:cNvPicPr>
                  </pic:nvPicPr>
                  <pic:blipFill>
                    <a:blip r:embed="rId43"/>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4.5: Marginal effects for upstream-moving fish as estimated by the GAM for hour of day (A), discharge (B), and Julian day of year (C). Shaded areas indicated 95% confidence intervals.</w:t>
      </w:r>
    </w:p>
    <w:p>
      <w:pPr>
        <w:pStyle w:val="CaptionedFigure"/>
      </w:pPr>
      <w:r>
        <w:drawing>
          <wp:inline>
            <wp:extent cx="5504749" cy="5504749"/>
            <wp:effectExtent b="0" l="0" r="0" t="0"/>
            <wp:docPr descr="Figure 4.6: Marginal effects for downstream-moving fish as estimated by the GAM for hour of day (A), discharge (B), and Julian day of year (C). Shaded areas indicated 95% confidence intervals." title="" id="1" name="Picture"/>
            <a:graphic>
              <a:graphicData uri="http://schemas.openxmlformats.org/drawingml/2006/picture">
                <pic:pic>
                  <pic:nvPicPr>
                    <pic:cNvPr descr="../figures/down-marg-1.png" id="0" name="Picture"/>
                    <pic:cNvPicPr>
                      <a:picLocks noChangeArrowheads="1" noChangeAspect="1"/>
                    </pic:cNvPicPr>
                  </pic:nvPicPr>
                  <pic:blipFill>
                    <a:blip r:embed="rId44"/>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4.6: Marginal effects for downstream-moving fish as estimated by the GAM for hour of day (A), discharge (B), and Julian day of year (C). Shaded areas indicated 95% confidence intervals.</w:t>
      </w:r>
    </w:p>
    <w:bookmarkStart w:id="46" w:name="comparison-with-redd-based-estimates-1"/>
    <w:p>
      <w:pPr>
        <w:pStyle w:val="Heading3"/>
      </w:pPr>
      <w:r>
        <w:rPr>
          <w:rStyle w:val="SectionNumber"/>
        </w:rPr>
        <w:t xml:space="preserve">4.4.1</w:t>
      </w:r>
      <w:r>
        <w:tab/>
      </w:r>
      <w:r>
        <w:t xml:space="preserve">Comparison with Redd-Based Estimates</w:t>
      </w:r>
    </w:p>
    <w:p>
      <w:pPr>
        <w:pStyle w:val="FirstParagraph"/>
      </w:pPr>
      <w:r>
        <w:t xml:space="preserve">Comparisons between redd-based estimates and SONAR-based estimates can be seen in Table</w:t>
      </w:r>
      <w:r>
        <w:t xml:space="preserve"> </w:t>
      </w:r>
      <w:r>
        <w:t xml:space="preserve">4.7</w:t>
      </w:r>
      <w:r>
        <w:t xml:space="preserve"> </w:t>
      </w:r>
      <w:r>
        <w:t xml:space="preserve">and Figure</w:t>
      </w:r>
      <w:r>
        <w:t xml:space="preserve"> </w:t>
      </w:r>
      <w:r>
        <w:t xml:space="preserve">4.7</w:t>
      </w:r>
      <w:r>
        <w:t xml:space="preserve">. In the three years with comparable estimates, SONAR-based estimates were significantly higher than redd-based ones each year. In fact, the redd-based estimates were much closer to the number of steelhead counted on SONAR, before accounting for periods when the SONAR was not operating or the footage was not reviewed. The redd-based estimates did not fall within the 95% confidence intervals of the SONAR-based estimates.</w:t>
      </w:r>
    </w:p>
    <w:p>
      <w:pPr>
        <w:pStyle w:val="TableCaption"/>
      </w:pPr>
      <w:r>
        <w:t xml:space="preserve">Table 4.7: Annual estimates of upstream escapement of winter steelhead to the Dungeness River between Feb 1 and June 15, including counts of observed fish (from SONAR) and redd-based estimate of spawners.</w:t>
      </w:r>
    </w:p>
    <w:tbl>
      <w:tblPr>
        <w:tblStyle w:val="Table"/>
        <w:tblW w:type="auto" w:w="0"/>
        <w:tblLook w:firstRow="1" w:lastRow="0" w:firstColumn="0" w:lastColumn="0" w:noHBand="0" w:noVBand="0" w:val="0020"/>
        <w:tblCaption w:val="Table 4.7: Annual estimates of upstream escapement of winter steelhead to the Dungeness River between Feb 1 and June 15, including counts of observed fish (from SONAR) and redd-based estimate of spawners."/>
      </w:tblPr>
      <w:tblGrid>
        <w:gridCol w:w="1131"/>
        <w:gridCol w:w="1131"/>
        <w:gridCol w:w="1131"/>
        <w:gridCol w:w="1131"/>
        <w:gridCol w:w="1131"/>
        <w:gridCol w:w="1131"/>
        <w:gridCol w:w="1131"/>
      </w:tblGrid>
      <w:tr>
        <w:trPr>
          <w:tblHeader w:val="true"/>
        </w:trPr>
        <w:tc>
          <w:tcPr/>
          <w:p>
            <w:pPr>
              <w:pStyle w:val="Compact"/>
              <w:jc w:val="left"/>
            </w:pPr>
            <w:r>
              <w:t xml:space="preserve">Year</w:t>
            </w:r>
          </w:p>
        </w:tc>
        <w:tc>
          <w:tcPr/>
          <w:p>
            <w:pPr>
              <w:pStyle w:val="Compact"/>
              <w:jc w:val="right"/>
            </w:pPr>
            <w:r>
              <w:t xml:space="preserve">SONAR Est.</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SONAR Obs Sthd.</w:t>
            </w:r>
          </w:p>
        </w:tc>
        <w:tc>
          <w:tcPr/>
          <w:p>
            <w:pPr>
              <w:pStyle w:val="Compact"/>
              <w:jc w:val="right"/>
            </w:pPr>
            <w:r>
              <w:t xml:space="preserve">Redd Est.</w:t>
            </w:r>
          </w:p>
        </w:tc>
      </w:tr>
      <w:tr>
        <w:tc>
          <w:tcPr/>
          <w:p>
            <w:pPr>
              <w:pStyle w:val="Compact"/>
              <w:jc w:val="left"/>
            </w:pPr>
            <w:r>
              <w:t xml:space="preserve">2019</w:t>
            </w:r>
          </w:p>
        </w:tc>
        <w:tc>
          <w:tcPr/>
          <w:p>
            <w:pPr>
              <w:pStyle w:val="Compact"/>
              <w:jc w:val="right"/>
            </w:pPr>
            <w:r>
              <w:t xml:space="preserve">913</w:t>
            </w:r>
          </w:p>
        </w:tc>
        <w:tc>
          <w:tcPr/>
          <w:p>
            <w:pPr>
              <w:pStyle w:val="Compact"/>
              <w:jc w:val="right"/>
            </w:pPr>
            <w:r>
              <w:t xml:space="preserve">147</w:t>
            </w:r>
          </w:p>
        </w:tc>
        <w:tc>
          <w:tcPr/>
          <w:p>
            <w:pPr>
              <w:pStyle w:val="Compact"/>
              <w:jc w:val="right"/>
            </w:pPr>
            <w:r>
              <w:t xml:space="preserve">807.9</w:t>
            </w:r>
          </w:p>
        </w:tc>
        <w:tc>
          <w:tcPr/>
          <w:p>
            <w:pPr>
              <w:pStyle w:val="Compact"/>
              <w:jc w:val="right"/>
            </w:pPr>
            <w:r>
              <w:t xml:space="preserve">1,317</w:t>
            </w:r>
          </w:p>
        </w:tc>
        <w:tc>
          <w:tcPr/>
          <w:p>
            <w:pPr>
              <w:pStyle w:val="Compact"/>
              <w:jc w:val="right"/>
            </w:pPr>
            <w:r>
              <w:t xml:space="preserve">420</w:t>
            </w:r>
          </w:p>
        </w:tc>
        <w:tc>
          <w:tcPr/>
          <w:p>
            <w:pPr>
              <w:pStyle w:val="Compact"/>
              <w:jc w:val="right"/>
            </w:pPr>
            <w:r>
              <w:t xml:space="preserve">467</w:t>
            </w:r>
          </w:p>
        </w:tc>
      </w:tr>
      <w:tr>
        <w:tc>
          <w:tcPr/>
          <w:p>
            <w:pPr>
              <w:pStyle w:val="Compact"/>
              <w:jc w:val="left"/>
            </w:pPr>
            <w:r>
              <w:t xml:space="preserve">2020</w:t>
            </w:r>
          </w:p>
        </w:tc>
        <w:tc>
          <w:tcPr/>
          <w:p>
            <w:pPr>
              <w:pStyle w:val="Compact"/>
              <w:jc w:val="right"/>
            </w:pPr>
            <w:r>
              <w:t xml:space="preserve">1,101</w:t>
            </w:r>
          </w:p>
        </w:tc>
        <w:tc>
          <w:tcPr/>
          <w:p>
            <w:pPr>
              <w:pStyle w:val="Compact"/>
              <w:jc w:val="right"/>
            </w:pPr>
            <w:r>
              <w:t xml:space="preserve">47</w:t>
            </w:r>
          </w:p>
        </w:tc>
        <w:tc>
          <w:tcPr/>
          <w:p>
            <w:pPr>
              <w:pStyle w:val="Compact"/>
              <w:jc w:val="right"/>
            </w:pPr>
            <w:r>
              <w:t xml:space="preserve">1,012.2</w:t>
            </w:r>
          </w:p>
        </w:tc>
        <w:tc>
          <w:tcPr/>
          <w:p>
            <w:pPr>
              <w:pStyle w:val="Compact"/>
              <w:jc w:val="right"/>
            </w:pPr>
            <w:r>
              <w:t xml:space="preserve">1,196</w:t>
            </w:r>
          </w:p>
        </w:tc>
        <w:tc>
          <w:tcPr/>
          <w:p>
            <w:pPr>
              <w:pStyle w:val="Compact"/>
              <w:jc w:val="right"/>
            </w:pPr>
            <w:r>
              <w:t xml:space="preserve">453</w:t>
            </w:r>
          </w:p>
        </w:tc>
        <w:tc>
          <w:tcPr/>
          <w:p>
            <w:pPr>
              <w:pStyle w:val="Compact"/>
              <w:jc w:val="right"/>
            </w:pPr>
            <w:r>
              <w:t xml:space="preserve">-</w:t>
            </w:r>
          </w:p>
        </w:tc>
      </w:tr>
      <w:tr>
        <w:tc>
          <w:tcPr/>
          <w:p>
            <w:pPr>
              <w:pStyle w:val="Compact"/>
              <w:jc w:val="left"/>
            </w:pPr>
            <w:r>
              <w:t xml:space="preserve">2021</w:t>
            </w:r>
          </w:p>
        </w:tc>
        <w:tc>
          <w:tcPr/>
          <w:p>
            <w:pPr>
              <w:pStyle w:val="Compact"/>
              <w:jc w:val="right"/>
            </w:pPr>
            <w:r>
              <w:t xml:space="preserve">646</w:t>
            </w:r>
          </w:p>
        </w:tc>
        <w:tc>
          <w:tcPr/>
          <w:p>
            <w:pPr>
              <w:pStyle w:val="Compact"/>
              <w:jc w:val="right"/>
            </w:pPr>
            <w:r>
              <w:t xml:space="preserve">11</w:t>
            </w:r>
          </w:p>
        </w:tc>
        <w:tc>
          <w:tcPr/>
          <w:p>
            <w:pPr>
              <w:pStyle w:val="Compact"/>
              <w:jc w:val="right"/>
            </w:pPr>
            <w:r>
              <w:t xml:space="preserve">626.4</w:t>
            </w:r>
          </w:p>
        </w:tc>
        <w:tc>
          <w:tcPr/>
          <w:p>
            <w:pPr>
              <w:pStyle w:val="Compact"/>
              <w:jc w:val="right"/>
            </w:pPr>
            <w:r>
              <w:t xml:space="preserve">668</w:t>
            </w:r>
          </w:p>
        </w:tc>
        <w:tc>
          <w:tcPr/>
          <w:p>
            <w:pPr>
              <w:pStyle w:val="Compact"/>
              <w:jc w:val="right"/>
            </w:pPr>
            <w:r>
              <w:t xml:space="preserve">356</w:t>
            </w:r>
          </w:p>
        </w:tc>
        <w:tc>
          <w:tcPr/>
          <w:p>
            <w:pPr>
              <w:pStyle w:val="Compact"/>
              <w:jc w:val="right"/>
            </w:pPr>
            <w:r>
              <w:t xml:space="preserve">329</w:t>
            </w:r>
          </w:p>
        </w:tc>
      </w:tr>
      <w:tr>
        <w:tc>
          <w:tcPr/>
          <w:p>
            <w:pPr>
              <w:pStyle w:val="Compact"/>
              <w:jc w:val="left"/>
            </w:pPr>
            <w:r>
              <w:t xml:space="preserve">2022</w:t>
            </w:r>
          </w:p>
        </w:tc>
        <w:tc>
          <w:tcPr/>
          <w:p>
            <w:pPr>
              <w:pStyle w:val="Compact"/>
              <w:jc w:val="right"/>
            </w:pPr>
            <w:r>
              <w:t xml:space="preserve">747</w:t>
            </w:r>
          </w:p>
        </w:tc>
        <w:tc>
          <w:tcPr/>
          <w:p>
            <w:pPr>
              <w:pStyle w:val="Compact"/>
              <w:jc w:val="right"/>
            </w:pPr>
            <w:r>
              <w:t xml:space="preserve">15</w:t>
            </w:r>
          </w:p>
        </w:tc>
        <w:tc>
          <w:tcPr/>
          <w:p>
            <w:pPr>
              <w:pStyle w:val="Compact"/>
              <w:jc w:val="right"/>
            </w:pPr>
            <w:r>
              <w:t xml:space="preserve">718.7</w:t>
            </w:r>
          </w:p>
        </w:tc>
        <w:tc>
          <w:tcPr/>
          <w:p>
            <w:pPr>
              <w:pStyle w:val="Compact"/>
              <w:jc w:val="right"/>
            </w:pPr>
            <w:r>
              <w:t xml:space="preserve">776</w:t>
            </w:r>
          </w:p>
        </w:tc>
        <w:tc>
          <w:tcPr/>
          <w:p>
            <w:pPr>
              <w:pStyle w:val="Compact"/>
              <w:jc w:val="right"/>
            </w:pPr>
            <w:r>
              <w:t xml:space="preserve">405</w:t>
            </w:r>
          </w:p>
        </w:tc>
        <w:tc>
          <w:tcPr/>
          <w:p>
            <w:pPr>
              <w:pStyle w:val="Compact"/>
              <w:jc w:val="right"/>
            </w:pPr>
            <w:r>
              <w:t xml:space="preserve">386</w:t>
            </w:r>
          </w:p>
        </w:tc>
      </w:tr>
    </w:tbl>
    <w:p>
      <w:pPr>
        <w:pStyle w:val="CaptionedFigure"/>
      </w:pPr>
      <w:r>
        <w:drawing>
          <wp:inline>
            <wp:extent cx="5504749" cy="3669832"/>
            <wp:effectExtent b="0" l="0" r="0" t="0"/>
            <wp:docPr descr="Figure 4.7: Annual estimates of upstream escapement of winter steelhead to the Dungeness River between Feb 1 and June 15, including counts of observed fish (from SONAR) and redd-based estimate of spawners." title="" id="1" name="Picture"/>
            <a:graphic>
              <a:graphicData uri="http://schemas.openxmlformats.org/drawingml/2006/picture">
                <pic:pic>
                  <pic:nvPicPr>
                    <pic:cNvPr descr="../figures/redd-fig-1.png" id="0" name="Picture"/>
                    <pic:cNvPicPr>
                      <a:picLocks noChangeArrowheads="1" noChangeAspect="1"/>
                    </pic:cNvPicPr>
                  </pic:nvPicPr>
                  <pic:blipFill>
                    <a:blip r:embed="rId45"/>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4.7: Annual estimates of upstream escapement of winter steelhead to the Dungeness River between Feb 1 and June 15, including counts of observed fish (from SONAR) and redd-based estimate of spawners.</w:t>
      </w:r>
    </w:p>
    <w:bookmarkEnd w:id="46"/>
    <w:bookmarkEnd w:id="47"/>
    <w:bookmarkEnd w:id="48"/>
    <w:bookmarkStart w:id="50" w:name="discussion"/>
    <w:p>
      <w:pPr>
        <w:pStyle w:val="Heading1"/>
      </w:pPr>
      <w:r>
        <w:rPr>
          <w:rStyle w:val="SectionNumber"/>
        </w:rPr>
        <w:t xml:space="preserve">5</w:t>
      </w:r>
      <w:r>
        <w:tab/>
      </w:r>
      <w:r>
        <w:t xml:space="preserve">Discussion</w:t>
      </w:r>
    </w:p>
    <w:p>
      <w:pPr>
        <w:pStyle w:val="FirstParagraph"/>
      </w:pPr>
      <w:r>
        <w:t xml:space="preserve">We used SONAR to make annual estimates of winter steelhead on the Dungeness River for spawn years 2019 - 2022.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pPr>
        <w:pStyle w:val="BodyText"/>
      </w:pPr>
      <w:r>
        <w:t xml:space="preserve">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2019-2022 site is also located on WDFW property, enabling a direct power source, and an on-site staff trailer for security and comfort in bad weather.</w:t>
      </w:r>
    </w:p>
    <w:p>
      <w:pPr>
        <w:pStyle w:val="BodyText"/>
      </w:pPr>
      <w:r>
        <w:t xml:space="preserve">In addition to the location, several factors in 2018 led to unrealistic estimates of escapement. The amount of SONAR imagery that was not reviewed in 2018 was much higher than in other years (Figures</w:t>
      </w:r>
      <w:r>
        <w:t xml:space="preserve"> </w:t>
      </w:r>
      <w:r>
        <w:t xml:space="preserve">3.4</w:t>
      </w:r>
      <w:r>
        <w:t xml:space="preserve"> </w:t>
      </w:r>
      <w:r>
        <w:t xml:space="preserve">and</w:t>
      </w:r>
      <w:r>
        <w:t xml:space="preserve"> </w:t>
      </w:r>
      <w:r>
        <w:t xml:space="preserve">3.5</w:t>
      </w:r>
      <w:r>
        <w:t xml:space="preserve"> </w:t>
      </w:r>
      <w:r>
        <w:t xml:space="preserve">and Table</w:t>
      </w:r>
      <w:r>
        <w:t xml:space="preserve"> </w:t>
      </w:r>
      <w:r>
        <w:t xml:space="preserve">3.4</w:t>
      </w:r>
      <w:r>
        <w:t xml:space="preserve">). Additionally, the counts of both upstream and downstream moving fish were much higher in 2018, presumably due in part to more milling behavior at that site. The mean count of upstream moving fish in 2018 in a half-hour period was 1.02, while it ranged from 0.24 - 0.35 in 2019 - 2022. For downstream moving fish it was a mean of 0.70 in 2018, and a range of 0.1 - 0.15 in 2019 - 2022. Due to these reasons, we made the decision to treat 2018 as a pilot year and did not make a SONAR-based escapement estimate, and instead utilize the lessons learned from that year to improve operations in subsequent years.</w:t>
      </w:r>
    </w:p>
    <w:p>
      <w:pPr>
        <w:pStyle w:val="BodyText"/>
      </w:pPr>
      <w:r>
        <w:t xml:space="preserve">Second, the variability between observers was relatively small. The total counts between pairs of observers each year were very similar, especially for upstream moving fish (Table</w:t>
      </w:r>
      <w:r>
        <w:t xml:space="preserve"> </w:t>
      </w:r>
      <w:r>
        <w:t xml:space="preserve">4.1</w:t>
      </w:r>
      <w:r>
        <w:t xml:space="preserve">).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w:t>
      </w:r>
      <w:r>
        <w:t xml:space="preserve"> </w:t>
      </w:r>
      <w:r>
        <w:t xml:space="preserve">4.2</w:t>
      </w:r>
      <w:r>
        <w:t xml:space="preserve"> </w:t>
      </w:r>
      <w:r>
        <w:t xml:space="preserve">suggests that there are differences in length measurements in both the positive and negative direction, so the impact on steelhead counts should be minimal.</w:t>
      </w:r>
    </w:p>
    <w:p>
      <w:pPr>
        <w:pStyle w:val="BodyText"/>
      </w:pPr>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would not like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 pattern that could guide what that equilibrium date should be.</w:t>
      </w:r>
    </w:p>
    <w:p>
      <w:pPr>
        <w:pStyle w:val="BodyText"/>
      </w:pPr>
      <w:r>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In addition, the current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pPr>
        <w:pStyle w:val="BodyText"/>
      </w:pPr>
      <w:r>
        <w:t xml:space="preserve">The SONAR-based estimates of steelhead escapement were significantly greater than redd-based estimates for the three years we could makes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 and often observed imperfectly</w:t>
      </w:r>
      <w:r>
        <w:t xml:space="preserve"> </w:t>
      </w:r>
      <w:r>
        <w:t xml:space="preserve">(Murdoch et al. 2018)</w:t>
      </w:r>
      <w:r>
        <w:t xml:space="preserve">,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this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consistently tracked the redd-based estimates (redd-based estimates were on average 51.2 % of the SONAR-based estimates), suggesting a consistent bias between the two.</w:t>
      </w:r>
    </w:p>
    <w:bookmarkStart w:id="49" w:name="recommendations"/>
    <w:p>
      <w:pPr>
        <w:pStyle w:val="Heading2"/>
      </w:pPr>
      <w:r>
        <w:rPr>
          <w:rStyle w:val="SectionNumber"/>
        </w:rPr>
        <w:t xml:space="preserve">5.1</w:t>
      </w:r>
      <w:r>
        <w:tab/>
      </w:r>
      <w:r>
        <w:t xml:space="preserve">Recommendations</w:t>
      </w:r>
    </w:p>
    <w:p>
      <w:pPr>
        <w:pStyle w:val="FirstParagraph"/>
      </w:pPr>
      <w:r>
        <w:t xml:space="preserve">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of deploying quite early, we may begin to move that deployment date later with a firmer understanding of when the run starts.</w:t>
      </w:r>
    </w:p>
    <w:p>
      <w:pPr>
        <w:pStyle w:val="BodyText"/>
      </w:pPr>
      <w:r>
        <w:t xml:space="preserve">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pPr>
        <w:pStyle w:val="BodyText"/>
      </w:pPr>
      <w:r>
        <w:t xml:space="preserve">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w:t>
      </w:r>
    </w:p>
    <w:bookmarkEnd w:id="49"/>
    <w:bookmarkEnd w:id="50"/>
    <w:bookmarkStart w:id="51" w:name="acknowledgements"/>
    <w:p>
      <w:pPr>
        <w:pStyle w:val="Heading1"/>
      </w:pPr>
      <w:r>
        <w:rPr>
          <w:rStyle w:val="SectionNumber"/>
        </w:rPr>
        <w:t xml:space="preserve">6</w:t>
      </w:r>
      <w:r>
        <w:tab/>
      </w:r>
      <w:r>
        <w:t xml:space="preserve">Acknowledgements</w:t>
      </w:r>
    </w:p>
    <w:p>
      <w:pPr>
        <w:pStyle w:val="FirstParagraph"/>
      </w:pPr>
      <w:r>
        <w:t xml:space="preserve">Andrew Simmons, Dan Gorze, Jayson Gallatin, Brent Trim, and Greg Boecker of WDFW operated, maintained, and reviewed SONAR imagery data. Calvin Stokes also reviewed SONAR imagery. Peter Topping provided project support and advice. Kathryn Sutton led weekly species composition sampling with the help of many volunteers including Calvin Stokes,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bookmarkEnd w:id="51"/>
    <w:bookmarkStart w:id="57" w:name="literature-cited"/>
    <w:p>
      <w:pPr>
        <w:pStyle w:val="Heading1"/>
      </w:pPr>
      <w:r>
        <w:rPr>
          <w:rStyle w:val="SectionNumber"/>
        </w:rPr>
        <w:t xml:space="preserve">7</w:t>
      </w:r>
      <w:r>
        <w:tab/>
      </w:r>
      <w:r>
        <w:t xml:space="preserve">Literature Cited</w:t>
      </w:r>
    </w:p>
    <w:bookmarkStart w:id="56" w:name="refs"/>
    <w:bookmarkStart w:id="52" w:name="ref-Ford2011"/>
    <w:p>
      <w:pPr>
        <w:pStyle w:val="Bibliography"/>
      </w:pPr>
      <w:r>
        <w:t xml:space="preserve">Ford, M. J., A. Albaugh, K. Barnas, T. D. Cooney, J. Cowen, J. J. Hard, R. G. Kope, M. M. McClure, P. McElhany, J. M. Myers, and others. 2011. Status review update for</w:t>
      </w:r>
      <w:r>
        <w:t xml:space="preserve"> </w:t>
      </w:r>
      <w:r>
        <w:t xml:space="preserve">Pacific</w:t>
      </w:r>
      <w:r>
        <w:t xml:space="preserve"> </w:t>
      </w:r>
      <w:r>
        <w:t xml:space="preserve">salmon and steelhead listed under the</w:t>
      </w:r>
      <w:r>
        <w:t xml:space="preserve"> </w:t>
      </w:r>
      <w:r>
        <w:t xml:space="preserve">Endangered Species Act</w:t>
      </w:r>
      <w:r>
        <w:t xml:space="preserve">:</w:t>
      </w:r>
      <w:r>
        <w:t xml:space="preserve"> </w:t>
      </w:r>
      <w:r>
        <w:t xml:space="preserve">Pacific Northwest</w:t>
      </w:r>
      <w:r>
        <w:t xml:space="preserve">.</w:t>
      </w:r>
      <w:r>
        <w:t xml:space="preserve"> </w:t>
      </w:r>
      <w:r>
        <w:t xml:space="preserve">NOAA Fisheries</w:t>
      </w:r>
      <w:r>
        <w:t xml:space="preserve">, NMFS-NWFSC-113,</w:t>
      </w:r>
      <w:r>
        <w:t xml:space="preserve"> </w:t>
      </w:r>
      <w:r>
        <w:t xml:space="preserve">Northwest Fisheries Science Center Seattle</w:t>
      </w:r>
      <w:r>
        <w:t xml:space="preserve">.</w:t>
      </w:r>
    </w:p>
    <w:bookmarkEnd w:id="52"/>
    <w:bookmarkStart w:id="53" w:name="ref-Murdoch2018"/>
    <w:p>
      <w:pPr>
        <w:pStyle w:val="Bibliography"/>
      </w:pPr>
      <w:r>
        <w:t xml:space="preserve">Murdoch, A. R., C. J. Herring, C. H. Frady, K. See, and C. E. Jordan. 2018. Estimating observer error and steelhead redd abundance using a modified</w:t>
      </w:r>
      <w:r>
        <w:t xml:space="preserve"> </w:t>
      </w:r>
      <w:r>
        <w:t xml:space="preserve">Gaussian</w:t>
      </w:r>
      <w:r>
        <w:t xml:space="preserve"> </w:t>
      </w:r>
      <w:r>
        <w:t xml:space="preserve">area-under-the-curve framework. Canadian Journal of Fisheries and Aquatic Sciences 75(12):2149–2158.</w:t>
      </w:r>
    </w:p>
    <w:bookmarkEnd w:id="53"/>
    <w:bookmarkStart w:id="54" w:name="ref-Myers2015"/>
    <w:p>
      <w:pPr>
        <w:pStyle w:val="Bibliography"/>
      </w:pPr>
      <w:r>
        <w:t xml:space="preserve">Myers, J. M., J. J. Hard, E. J. Connor, R. A. Hayman, R. G. Kope, G. Lucchetti, A. R. Marshall, G. R. Pess, and B. E. Thomson. 2015. Identifying historical populations of steelhead within the</w:t>
      </w:r>
      <w:r>
        <w:t xml:space="preserve"> </w:t>
      </w:r>
      <w:r>
        <w:t xml:space="preserve">Puget Sound</w:t>
      </w:r>
      <w:r>
        <w:t xml:space="preserve"> </w:t>
      </w:r>
      <w:r>
        <w:t xml:space="preserve">distinct population segment.</w:t>
      </w:r>
      <w:r>
        <w:t xml:space="preserve"> </w:t>
      </w:r>
      <w:r>
        <w:t xml:space="preserve">U.S. Department of Commerce</w:t>
      </w:r>
      <w:r>
        <w:t xml:space="preserve">, NMFS- NWFSC-128.</w:t>
      </w:r>
    </w:p>
    <w:bookmarkEnd w:id="54"/>
    <w:bookmarkStart w:id="55" w:name="ref-NWFSC2015"/>
    <w:p>
      <w:pPr>
        <w:pStyle w:val="Bibliography"/>
      </w:pPr>
      <w:r>
        <w:t xml:space="preserve">Northwest Fisheries Science Center. 2015. Status review update for</w:t>
      </w:r>
      <w:r>
        <w:t xml:space="preserve"> </w:t>
      </w:r>
      <w:r>
        <w:t xml:space="preserve">Pacific</w:t>
      </w:r>
      <w:r>
        <w:t xml:space="preserve"> </w:t>
      </w:r>
      <w:r>
        <w:t xml:space="preserve">salmon and steelhead listed under the</w:t>
      </w:r>
      <w:r>
        <w:t xml:space="preserve"> </w:t>
      </w:r>
      <w:r>
        <w:t xml:space="preserve">Endangered Species Act</w:t>
      </w:r>
      <w:r>
        <w:t xml:space="preserve">:</w:t>
      </w:r>
      <w:r>
        <w:t xml:space="preserve"> </w:t>
      </w:r>
      <w:r>
        <w:t xml:space="preserve">Pacific Northwest</w:t>
      </w:r>
      <w:r>
        <w:t xml:space="preserve">.</w:t>
      </w:r>
      <w:r>
        <w:t xml:space="preserve"> </w:t>
      </w:r>
      <w:r>
        <w:t xml:space="preserve">NOAA Fisheries</w:t>
      </w:r>
      <w:r>
        <w:t xml:space="preserve">,</w:t>
      </w:r>
      <w:r>
        <w:t xml:space="preserve"> </w:t>
      </w:r>
      <w:r>
        <w:t xml:space="preserve">Northwest Fisheries Science Center Seattle</w:t>
      </w:r>
      <w:r>
        <w:t xml:space="preserve">.</w:t>
      </w:r>
    </w:p>
    <w:bookmarkEnd w:id="55"/>
    <w:bookmarkEnd w:id="56"/>
    <w:bookmarkEnd w:id="57"/>
    <w:sectPr w:rsidR="00876CED">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606F9" w14:textId="6A810CC8" w:rsidR="00F84AD8" w:rsidRDefault="00F84AD8" w:rsidP="00F84AD8">
    <w:pPr>
      <w:pStyle w:val="Header"/>
      <w:jc w:val="right"/>
    </w:pPr>
    <w:r>
      <w:rPr>
        <w:noProof/>
      </w:rPr>
      <w:drawing>
        <wp:inline distT="0" distB="0" distL="0" distR="0" wp14:anchorId="7AE551CB" wp14:editId="61BB538C">
          <wp:extent cx="597535" cy="37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580E927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01EC02A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725174513" w:numId="1">
    <w:abstractNumId w:val="0"/>
  </w:num>
  <w:num w16cid:durableId="761993805" w:numId="2">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E377E"/>
    <w:rPr>
      <w:rFonts w:ascii="Calibri" w:hAnsi="Calibri"/>
      <w:sz w:val="22"/>
    </w:rPr>
  </w:style>
  <w:style w:styleId="Heading1" w:type="paragraph">
    <w:name w:val="heading 1"/>
    <w:basedOn w:val="Normal"/>
    <w:next w:val="BodyText"/>
    <w:uiPriority w:val="9"/>
    <w:qFormat/>
    <w:rsid w:val="00F835FD"/>
    <w:pPr>
      <w:keepNext/>
      <w:keepLines/>
      <w:spacing w:after="0" w:before="480"/>
      <w:outlineLvl w:val="0"/>
    </w:pPr>
    <w:rPr>
      <w:rFonts w:ascii="Calibri Light" w:cstheme="majorBidi" w:eastAsiaTheme="majorEastAsia" w:hAnsi="Calibri Light"/>
      <w:b/>
      <w:bCs/>
      <w:color w:themeColor="accent1" w:val="4F81BD"/>
      <w:sz w:val="32"/>
      <w:szCs w:val="32"/>
    </w:rPr>
  </w:style>
  <w:style w:styleId="Heading2" w:type="paragraph">
    <w:name w:val="heading 2"/>
    <w:basedOn w:val="Normal"/>
    <w:next w:val="BodyText"/>
    <w:uiPriority w:val="9"/>
    <w:unhideWhenUsed/>
    <w:qFormat/>
    <w:rsid w:val="00F835FD"/>
    <w:pPr>
      <w:keepNext/>
      <w:keepLines/>
      <w:spacing w:after="0" w:before="200"/>
      <w:outlineLvl w:val="1"/>
    </w:pPr>
    <w:rPr>
      <w:rFonts w:ascii="Calibri Light" w:cstheme="majorBidi" w:eastAsiaTheme="majorEastAsia" w:hAnsi="Calibri Light"/>
      <w:b/>
      <w:bCs/>
      <w:color w:themeColor="accent1" w:val="4F81BD"/>
      <w:sz w:val="28"/>
      <w:szCs w:val="28"/>
    </w:rPr>
  </w:style>
  <w:style w:styleId="Heading3" w:type="paragraph">
    <w:name w:val="heading 3"/>
    <w:basedOn w:val="Normal"/>
    <w:next w:val="BodyText"/>
    <w:uiPriority w:val="9"/>
    <w:unhideWhenUsed/>
    <w:qFormat/>
    <w:rsid w:val="00F835FD"/>
    <w:pPr>
      <w:keepNext/>
      <w:keepLines/>
      <w:spacing w:after="0" w:before="200"/>
      <w:outlineLvl w:val="2"/>
    </w:pPr>
    <w:rPr>
      <w:rFonts w:ascii="Calibri Light" w:cstheme="majorBidi" w:eastAsiaTheme="majorEastAsia" w:hAnsi="Calibri Light"/>
      <w:b/>
      <w:bCs/>
      <w:color w:themeColor="accent1" w:val="4F81BD"/>
    </w:rPr>
  </w:style>
  <w:style w:styleId="Heading4" w:type="paragraph">
    <w:name w:val="heading 4"/>
    <w:basedOn w:val="Normal"/>
    <w:next w:val="BodyText"/>
    <w:uiPriority w:val="9"/>
    <w:unhideWhenUsed/>
    <w:qFormat/>
    <w:rsid w:val="00F835FD"/>
    <w:pPr>
      <w:keepNext/>
      <w:keepLines/>
      <w:spacing w:after="0" w:before="200"/>
      <w:outlineLvl w:val="3"/>
    </w:pPr>
    <w:rPr>
      <w:rFonts w:ascii="Calibri Light" w:cstheme="majorBidi" w:eastAsiaTheme="majorEastAsia" w:hAnsi="Calibri Light"/>
      <w:bCs/>
      <w:i/>
      <w:color w:themeColor="accent1" w:val="4F81BD"/>
    </w:rPr>
  </w:style>
  <w:style w:styleId="Heading5" w:type="paragraph">
    <w:name w:val="heading 5"/>
    <w:basedOn w:val="Normal"/>
    <w:next w:val="BodyText"/>
    <w:uiPriority w:val="9"/>
    <w:unhideWhenUsed/>
    <w:qFormat/>
    <w:rsid w:val="00F84AD8"/>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F84AD8"/>
    <w:pPr>
      <w:tabs>
        <w:tab w:pos="4680" w:val="center"/>
        <w:tab w:pos="9360" w:val="right"/>
      </w:tabs>
      <w:spacing w:after="0"/>
    </w:pPr>
  </w:style>
  <w:style w:customStyle="1" w:styleId="HeaderChar" w:type="character">
    <w:name w:val="Header Char"/>
    <w:basedOn w:val="DefaultParagraphFont"/>
    <w:link w:val="Header"/>
    <w:rsid w:val="00F84AD8"/>
  </w:style>
  <w:style w:styleId="Footer" w:type="paragraph">
    <w:name w:val="footer"/>
    <w:basedOn w:val="Normal"/>
    <w:link w:val="FooterChar"/>
    <w:unhideWhenUsed/>
    <w:rsid w:val="00F84AD8"/>
    <w:pPr>
      <w:tabs>
        <w:tab w:pos="4680" w:val="center"/>
        <w:tab w:pos="9360" w:val="right"/>
      </w:tabs>
      <w:spacing w:after="0"/>
    </w:pPr>
  </w:style>
  <w:style w:customStyle="1" w:styleId="FooterChar" w:type="character">
    <w:name w:val="Footer Char"/>
    <w:basedOn w:val="DefaultParagraphFont"/>
    <w:link w:val="Footer"/>
    <w:rsid w:val="00F84AD8"/>
  </w:style>
  <w:style w:styleId="CommentReference" w:type="character">
    <w:name w:val="annotation reference"/>
    <w:basedOn w:val="DefaultParagraphFont"/>
    <w:semiHidden/>
    <w:unhideWhenUsed/>
    <w:rsid w:val="008E377E"/>
    <w:rPr>
      <w:sz w:val="16"/>
      <w:szCs w:val="16"/>
    </w:rPr>
  </w:style>
  <w:style w:styleId="CommentText" w:type="paragraph">
    <w:name w:val="annotation text"/>
    <w:basedOn w:val="Normal"/>
    <w:link w:val="CommentTextChar"/>
    <w:semiHidden/>
    <w:unhideWhenUsed/>
    <w:rsid w:val="008E377E"/>
    <w:rPr>
      <w:sz w:val="20"/>
      <w:szCs w:val="20"/>
    </w:rPr>
  </w:style>
  <w:style w:customStyle="1" w:styleId="CommentTextChar" w:type="character">
    <w:name w:val="Comment Text Char"/>
    <w:basedOn w:val="DefaultParagraphFont"/>
    <w:link w:val="CommentText"/>
    <w:semiHidden/>
    <w:rsid w:val="008E377E"/>
    <w:rPr>
      <w:rFonts w:ascii="Calibri" w:hAnsi="Calibri"/>
      <w:sz w:val="20"/>
      <w:szCs w:val="20"/>
    </w:rPr>
  </w:style>
  <w:style w:styleId="CommentSubject" w:type="paragraph">
    <w:name w:val="annotation subject"/>
    <w:basedOn w:val="CommentText"/>
    <w:next w:val="CommentText"/>
    <w:link w:val="CommentSubjectChar"/>
    <w:semiHidden/>
    <w:unhideWhenUsed/>
    <w:rsid w:val="008E377E"/>
    <w:rPr>
      <w:b/>
      <w:bCs/>
    </w:rPr>
  </w:style>
  <w:style w:customStyle="1" w:styleId="CommentSubjectChar" w:type="character">
    <w:name w:val="Comment Subject Char"/>
    <w:basedOn w:val="CommentTextChar"/>
    <w:link w:val="CommentSubject"/>
    <w:semiHidden/>
    <w:rsid w:val="008E377E"/>
    <w:rPr>
      <w:rFonts w:ascii="Calibri" w:hAnsi="Calibri"/>
      <w:b/>
      <w:bCs/>
      <w:sz w:val="20"/>
      <w:szCs w:val="20"/>
    </w:rPr>
  </w:style>
  <w:style w:styleId="TableGrid" w:type="table">
    <w:name w:val="Table Grid"/>
    <w:basedOn w:val="TableNormal"/>
    <w:rsid w:val="00876CE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1A310E"/>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image" Id="rId45" Target="media/rId45.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3" Target="media/rId23.png" /><Relationship Type="http://schemas.openxmlformats.org/officeDocument/2006/relationships/hyperlink" Id="rId20" Target="mailto:Bethany.Craig@dfw.wa.gov" TargetMode="External" /></Relationships>
</file>

<file path=word/_rels/footnotes.xml.rels><?xml version="1.0" encoding="UTF-8"?><Relationships xmlns="http://schemas.openxmlformats.org/package/2006/relationships"><Relationship Type="http://schemas.openxmlformats.org/officeDocument/2006/relationships/hyperlink" Id="rId20" Target="mailto:Bethany.Craig@dfw.wa.gov"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167</Words>
  <Characters>958</Characters>
  <Application>Microsoft Office Word</Application>
  <DocSecurity>0</DocSecurity>
  <Lines>7</Lines>
  <Paragraphs>2</Paragraphs>
  <ScaleCrop>false</ScaleCrop>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dcterms:created xsi:type="dcterms:W3CDTF">2023-09-08T23:33:05Z</dcterms:created>
  <dcterms:modified xsi:type="dcterms:W3CDTF">2023-09-08T23:33:05Z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September 08, 2023</vt:lpwstr>
  </property>
  <property fmtid="{D5CDD505-2E9C-101B-9397-08002B2CF9AE}" pid="5" name="output">
    <vt:lpwstr/>
  </property>
  <property fmtid="{D5CDD505-2E9C-101B-9397-08002B2CF9AE}" pid="6" name="subtitle">
    <vt:lpwstr>2019 - 2022</vt:lpwstr>
  </property>
</Properties>
</file>