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06DA" w14:textId="3EA23D77" w:rsidR="002B4910" w:rsidRDefault="00C81C2A" w:rsidP="001F7EF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Dungeness </w:t>
      </w:r>
      <w:r w:rsidR="001F7EF3">
        <w:rPr>
          <w:b/>
          <w:bCs/>
        </w:rPr>
        <w:t>SONAR analysis</w:t>
      </w:r>
    </w:p>
    <w:p w14:paraId="68AEC71A" w14:textId="5968050A" w:rsidR="001F7EF3" w:rsidRDefault="001F7EF3" w:rsidP="001F7EF3">
      <w:pPr>
        <w:spacing w:after="0" w:line="240" w:lineRule="auto"/>
      </w:pPr>
    </w:p>
    <w:p w14:paraId="1354D98F" w14:textId="2E6E5CA7" w:rsidR="00C81C2A" w:rsidRPr="00C81C2A" w:rsidRDefault="00C81C2A" w:rsidP="001F7EF3">
      <w:pPr>
        <w:spacing w:after="0" w:line="240" w:lineRule="auto"/>
        <w:rPr>
          <w:b/>
          <w:bCs/>
        </w:rPr>
      </w:pPr>
      <w:r>
        <w:rPr>
          <w:b/>
          <w:bCs/>
        </w:rPr>
        <w:t>Background</w:t>
      </w:r>
    </w:p>
    <w:p w14:paraId="06963903" w14:textId="31FEB43A" w:rsidR="00427BD0" w:rsidRDefault="00766410" w:rsidP="001F7EF3">
      <w:pPr>
        <w:spacing w:after="0" w:line="240" w:lineRule="auto"/>
        <w:rPr>
          <w:i/>
          <w:iCs/>
        </w:rPr>
      </w:pPr>
      <w:r>
        <w:rPr>
          <w:i/>
          <w:iCs/>
        </w:rPr>
        <w:t>Objective</w:t>
      </w:r>
    </w:p>
    <w:p w14:paraId="5E0AF210" w14:textId="5E30D2E6" w:rsidR="00766410" w:rsidRPr="00766410" w:rsidRDefault="00766410" w:rsidP="001F7EF3">
      <w:pPr>
        <w:spacing w:after="0" w:line="240" w:lineRule="auto"/>
      </w:pPr>
      <w:r>
        <w:t>Estimate adult steelhead abundance with precision based on counts of fish passage at a SONAR unit deployed in the Dungeness River.</w:t>
      </w:r>
    </w:p>
    <w:p w14:paraId="7F7245E0" w14:textId="0B444F91" w:rsidR="00427BD0" w:rsidRDefault="00427BD0" w:rsidP="001F7EF3">
      <w:pPr>
        <w:spacing w:after="0" w:line="240" w:lineRule="auto"/>
      </w:pPr>
    </w:p>
    <w:p w14:paraId="56AD3621" w14:textId="3B10B948" w:rsidR="00562708" w:rsidRDefault="00EB2148" w:rsidP="001F7EF3">
      <w:pPr>
        <w:spacing w:after="0" w:line="240" w:lineRule="auto"/>
        <w:rPr>
          <w:i/>
          <w:iCs/>
        </w:rPr>
      </w:pPr>
      <w:r>
        <w:rPr>
          <w:i/>
          <w:iCs/>
        </w:rPr>
        <w:t>Data</w:t>
      </w:r>
    </w:p>
    <w:p w14:paraId="0BA0CE22" w14:textId="0C2C0943" w:rsidR="00EB2148" w:rsidRPr="00EB2148" w:rsidRDefault="00EB2148" w:rsidP="001F7EF3">
      <w:pPr>
        <w:spacing w:after="0" w:line="240" w:lineRule="auto"/>
      </w:pPr>
      <w:r>
        <w:t xml:space="preserve">The data consist of </w:t>
      </w:r>
      <w:r w:rsidR="00FD6B0D">
        <w:t xml:space="preserve">upstream and downstream counts of steelhead-sized fish moving past the SONAR sites in 30 minute blocks.  </w:t>
      </w:r>
      <w:r w:rsidR="00F959AF">
        <w:t xml:space="preserve">The SONAR </w:t>
      </w:r>
      <w:r w:rsidR="00033505">
        <w:t xml:space="preserve">was intended to be operational </w:t>
      </w:r>
      <w:r w:rsidR="0078416C">
        <w:t xml:space="preserve">24 hours a day,7 days a week but the imagery </w:t>
      </w:r>
      <w:r w:rsidR="00943A7A">
        <w:t xml:space="preserve">review </w:t>
      </w:r>
      <w:r w:rsidR="0078416C">
        <w:t>was sub-sampled with 30 minutes of every hour sampled.  There were also unplanned outages due to equipment failure</w:t>
      </w:r>
      <w:r w:rsidR="00884C4F">
        <w:t>, high flows or other issues.  Lastly</w:t>
      </w:r>
      <w:r w:rsidR="005C4A21">
        <w:t xml:space="preserve">, bull trout with some overlap in body size with steelhead were also present in the river, and a netting effort provided species composition </w:t>
      </w:r>
      <w:r w:rsidR="004A6893">
        <w:t xml:space="preserve">data to allocate </w:t>
      </w:r>
      <w:r w:rsidR="00B54B75">
        <w:t>fish counts to steelhead vs. bull trout.</w:t>
      </w:r>
      <w:r w:rsidR="00D07543">
        <w:t xml:space="preserve">  The SONAR imagery provides an estimated body size for counted fish</w:t>
      </w:r>
      <w:r w:rsidR="00943A7A">
        <w:t xml:space="preserve"> and we also have body size data for fish captured during the species composition work</w:t>
      </w:r>
      <w:r w:rsidR="00D07543">
        <w:t>.</w:t>
      </w:r>
    </w:p>
    <w:p w14:paraId="515A30E1" w14:textId="77777777" w:rsidR="00562708" w:rsidRDefault="00562708" w:rsidP="001F7EF3">
      <w:pPr>
        <w:spacing w:after="0" w:line="240" w:lineRule="auto"/>
      </w:pPr>
    </w:p>
    <w:p w14:paraId="2A7E0186" w14:textId="15B3785F" w:rsidR="00427BD0" w:rsidRDefault="00427BD0" w:rsidP="001F7EF3">
      <w:pPr>
        <w:spacing w:after="0" w:line="240" w:lineRule="auto"/>
      </w:pPr>
      <w:r>
        <w:t>Th</w:t>
      </w:r>
      <w:r w:rsidR="00B54B75">
        <w:t>us there are</w:t>
      </w:r>
      <w:r>
        <w:t xml:space="preserve"> three sources </w:t>
      </w:r>
      <w:r w:rsidR="00B54B75">
        <w:t>of uncertainty in the data</w:t>
      </w:r>
    </w:p>
    <w:p w14:paraId="211DA48A" w14:textId="7A622288" w:rsidR="00B54B75" w:rsidRDefault="00A7511F" w:rsidP="00A7511F">
      <w:pPr>
        <w:pStyle w:val="ListParagraph"/>
        <w:numPr>
          <w:ilvl w:val="0"/>
          <w:numId w:val="2"/>
        </w:numPr>
        <w:spacing w:after="0" w:line="240" w:lineRule="auto"/>
      </w:pPr>
      <w:r>
        <w:t>Expanding 30 minute</w:t>
      </w:r>
      <w:r w:rsidR="004E083B">
        <w:t xml:space="preserve"> </w:t>
      </w:r>
      <w:r w:rsidR="00E61A5B">
        <w:t xml:space="preserve">imagery </w:t>
      </w:r>
      <w:r w:rsidR="004E083B">
        <w:t>observations into 60 minute estimates</w:t>
      </w:r>
    </w:p>
    <w:p w14:paraId="112D6344" w14:textId="68C159B4" w:rsidR="004E083B" w:rsidRDefault="004E083B" w:rsidP="00A7511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Accounting for </w:t>
      </w:r>
      <w:r w:rsidR="00E61A5B">
        <w:t>outages (periods without any imagery observations)</w:t>
      </w:r>
    </w:p>
    <w:p w14:paraId="5C9B4394" w14:textId="2CF2158D" w:rsidR="00D83551" w:rsidRDefault="00D83551" w:rsidP="00A7511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Exclusion of bull trout from </w:t>
      </w:r>
      <w:r w:rsidR="00470844">
        <w:t>imagery estimates based on species composition data</w:t>
      </w:r>
    </w:p>
    <w:p w14:paraId="5E31934B" w14:textId="414C73D0" w:rsidR="00470844" w:rsidRDefault="00470844" w:rsidP="00470844">
      <w:pPr>
        <w:spacing w:after="0" w:line="240" w:lineRule="auto"/>
      </w:pPr>
    </w:p>
    <w:p w14:paraId="2D03C296" w14:textId="24D3D686" w:rsidR="00470844" w:rsidRDefault="0092132C" w:rsidP="00470844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Step 1 - </w:t>
      </w:r>
      <w:r w:rsidR="00A87129" w:rsidRPr="009924A6">
        <w:rPr>
          <w:b/>
          <w:bCs/>
        </w:rPr>
        <w:t xml:space="preserve">Expansion of </w:t>
      </w:r>
      <w:r w:rsidR="009924A6" w:rsidRPr="009924A6">
        <w:rPr>
          <w:b/>
          <w:bCs/>
        </w:rPr>
        <w:t xml:space="preserve">30 minute </w:t>
      </w:r>
      <w:r w:rsidR="009924A6">
        <w:rPr>
          <w:b/>
          <w:bCs/>
        </w:rPr>
        <w:t>observations</w:t>
      </w:r>
    </w:p>
    <w:p w14:paraId="16A1B9BA" w14:textId="6335CD19" w:rsidR="0019725A" w:rsidRDefault="0019725A" w:rsidP="00470844">
      <w:pPr>
        <w:spacing w:after="0" w:line="240" w:lineRule="auto"/>
      </w:pPr>
      <w:r>
        <w:t xml:space="preserve">To </w:t>
      </w:r>
      <w:r w:rsidR="0034643B">
        <w:t xml:space="preserve">provide data for expanding 30 minute counts to 60 minutes, a subset of days throughout the season were reviewed for the full 60 minutes.  </w:t>
      </w:r>
    </w:p>
    <w:p w14:paraId="30416521" w14:textId="77777777" w:rsidR="0019725A" w:rsidRDefault="0019725A" w:rsidP="00470844">
      <w:pPr>
        <w:spacing w:after="0" w:line="240" w:lineRule="auto"/>
      </w:pPr>
    </w:p>
    <w:p w14:paraId="06BA3B4B" w14:textId="5A8C9B6C" w:rsidR="009924A6" w:rsidRDefault="009924A6" w:rsidP="00470844">
      <w:pPr>
        <w:spacing w:after="0" w:line="240" w:lineRule="auto"/>
      </w:pPr>
      <w:r>
        <w:t xml:space="preserve">Develop a regression relationship between </w:t>
      </w:r>
      <w:r w:rsidR="00786218">
        <w:t xml:space="preserve">30 minute counts and 60 minute counts.  </w:t>
      </w:r>
      <w:r w:rsidR="00BF29AE">
        <w:t>Each replicate is a 60 minute time block, with the 30 minute count predicting the 60 minute count.  Force regression through the origin.</w:t>
      </w:r>
    </w:p>
    <w:p w14:paraId="5F335DEB" w14:textId="50A6D87C" w:rsidR="00BF29AE" w:rsidRDefault="00BF29AE" w:rsidP="00470844">
      <w:pPr>
        <w:spacing w:after="0" w:line="240" w:lineRule="auto"/>
      </w:pPr>
    </w:p>
    <w:p w14:paraId="2BCBFE44" w14:textId="1728906E" w:rsidR="00BF29AE" w:rsidRPr="009924A6" w:rsidRDefault="000911CF" w:rsidP="00470844">
      <w:pPr>
        <w:spacing w:after="0" w:line="240" w:lineRule="auto"/>
      </w:pPr>
      <w:r>
        <w:t xml:space="preserve">For each 30 minute observation, estimate 60 minute count.  Use </w:t>
      </w:r>
      <w:r w:rsidR="00F14064">
        <w:t xml:space="preserve">error or </w:t>
      </w:r>
      <w:r>
        <w:t xml:space="preserve">variance of </w:t>
      </w:r>
      <w:r w:rsidR="00F14064">
        <w:t xml:space="preserve">regression relationship to </w:t>
      </w:r>
      <w:r w:rsidR="00BB7833">
        <w:t xml:space="preserve">estimate variance </w:t>
      </w:r>
      <w:r w:rsidR="0092132C">
        <w:t>of each 60 minute prediction.  Sum variance across all estimated 60 minute time blocks in season.</w:t>
      </w:r>
      <w:r w:rsidR="00F14064">
        <w:t xml:space="preserve"> </w:t>
      </w:r>
    </w:p>
    <w:p w14:paraId="1188E512" w14:textId="77777777" w:rsidR="00470844" w:rsidRDefault="00470844" w:rsidP="00470844">
      <w:pPr>
        <w:spacing w:after="0" w:line="240" w:lineRule="auto"/>
      </w:pPr>
    </w:p>
    <w:p w14:paraId="4C8816FF" w14:textId="56C54B17" w:rsidR="00C81C2A" w:rsidRDefault="005F316D" w:rsidP="00C81C2A">
      <w:pPr>
        <w:spacing w:after="0" w:line="240" w:lineRule="auto"/>
      </w:pPr>
      <w:r>
        <w:t xml:space="preserve">We know how to </w:t>
      </w:r>
      <w:r w:rsidR="00AB6AC4">
        <w:t>build the regression and make a prediction, but could use help with the variance estimation component.</w:t>
      </w:r>
    </w:p>
    <w:p w14:paraId="7B002B88" w14:textId="77777777" w:rsidR="00427BD0" w:rsidRDefault="00427BD0" w:rsidP="001F7EF3">
      <w:pPr>
        <w:spacing w:after="0" w:line="240" w:lineRule="auto"/>
      </w:pPr>
    </w:p>
    <w:p w14:paraId="7C0A784F" w14:textId="56A0C9AA" w:rsidR="001F7EF3" w:rsidRDefault="001F7EF3" w:rsidP="001F7EF3">
      <w:pPr>
        <w:spacing w:after="0" w:line="240" w:lineRule="auto"/>
      </w:pPr>
    </w:p>
    <w:p w14:paraId="5C51B12F" w14:textId="7B4A679A" w:rsidR="00C81C2A" w:rsidRDefault="000608BB" w:rsidP="00C81C2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Step 2 - </w:t>
      </w:r>
      <w:r w:rsidR="00C81C2A">
        <w:rPr>
          <w:b/>
          <w:bCs/>
        </w:rPr>
        <w:t>Accounting for outages</w:t>
      </w:r>
    </w:p>
    <w:p w14:paraId="5C2EB13F" w14:textId="067F0C59" w:rsidR="00963AFD" w:rsidRDefault="00726651" w:rsidP="001F7EF3">
      <w:pPr>
        <w:spacing w:after="0" w:line="240" w:lineRule="auto"/>
      </w:pPr>
      <w:r>
        <w:t xml:space="preserve">The approach for estimating </w:t>
      </w:r>
      <w:r w:rsidR="00657607">
        <w:t xml:space="preserve">SONAR </w:t>
      </w:r>
      <w:r>
        <w:t xml:space="preserve">outages would be to use average </w:t>
      </w:r>
      <w:r w:rsidR="00963AFD">
        <w:t>passage rates (fish per day or fish per hour) from adjacent period before and after the outage.  There is some discretion or judgment needed to identify the appropriate period (duration</w:t>
      </w:r>
      <w:r w:rsidR="003D0AE8">
        <w:t xml:space="preserve">) before and after the outage for </w:t>
      </w:r>
      <w:r w:rsidR="0098317C">
        <w:t>calculating average catch rates.</w:t>
      </w:r>
    </w:p>
    <w:p w14:paraId="070FB582" w14:textId="00B2F088" w:rsidR="00726651" w:rsidRDefault="00726651" w:rsidP="001F7EF3">
      <w:pPr>
        <w:spacing w:after="0" w:line="240" w:lineRule="auto"/>
      </w:pPr>
    </w:p>
    <w:p w14:paraId="6BC24824" w14:textId="4F271063" w:rsidR="00726651" w:rsidRPr="00E606A1" w:rsidRDefault="00657607" w:rsidP="001F7EF3">
      <w:p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606A1">
        <w:rPr>
          <w:rFonts w:eastAsiaTheme="minorEastAsia"/>
        </w:rPr>
        <w:tab/>
      </w:r>
      <w:r w:rsidR="00E606A1">
        <w:rPr>
          <w:rFonts w:eastAsiaTheme="minorEastAsia"/>
        </w:rPr>
        <w:tab/>
      </w:r>
      <w:r w:rsidR="00E606A1">
        <w:rPr>
          <w:rFonts w:eastAsiaTheme="minorEastAsia"/>
        </w:rPr>
        <w:tab/>
      </w:r>
      <w:r w:rsidR="00E606A1">
        <w:rPr>
          <w:rFonts w:eastAsiaTheme="minorEastAsia"/>
        </w:rPr>
        <w:tab/>
      </w:r>
      <w:r w:rsidR="00E606A1">
        <w:rPr>
          <w:rFonts w:eastAsiaTheme="minorEastAsia"/>
        </w:rPr>
        <w:tab/>
      </w:r>
      <w:r w:rsidR="00E606A1">
        <w:rPr>
          <w:rFonts w:eastAsiaTheme="minorEastAsia"/>
        </w:rPr>
        <w:tab/>
      </w:r>
      <w:r w:rsidR="00E606A1">
        <w:rPr>
          <w:rFonts w:eastAsiaTheme="minorEastAsia"/>
        </w:rPr>
        <w:tab/>
      </w:r>
      <w:r w:rsidR="00E606A1">
        <w:rPr>
          <w:rFonts w:eastAsiaTheme="minorEastAsia"/>
        </w:rPr>
        <w:tab/>
      </w:r>
      <w:r w:rsidR="00E606A1">
        <w:rPr>
          <w:rFonts w:eastAsiaTheme="minorEastAsia"/>
        </w:rPr>
        <w:tab/>
      </w:r>
    </w:p>
    <w:p w14:paraId="46D02AFE" w14:textId="77777777" w:rsidR="0041450E" w:rsidRDefault="0041450E" w:rsidP="001F7EF3">
      <w:pPr>
        <w:spacing w:after="0" w:line="240" w:lineRule="auto"/>
      </w:pPr>
    </w:p>
    <w:p w14:paraId="7EF19982" w14:textId="5CEDEDB3" w:rsidR="00E606A1" w:rsidRDefault="00E606A1" w:rsidP="001F7EF3">
      <w:pPr>
        <w:spacing w:after="0" w:line="240" w:lineRule="auto"/>
        <w:rPr>
          <w:rFonts w:eastAsiaTheme="minorEastAsia"/>
        </w:rPr>
      </w:pPr>
      <w:r>
        <w:t xml:space="preserve">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is the catch rate in unobserved time period </w:t>
      </w:r>
      <w:r>
        <w:rPr>
          <w:rFonts w:eastAsiaTheme="minorEastAsia"/>
          <w:i/>
          <w:iCs/>
        </w:rPr>
        <w:t>i,</w:t>
      </w:r>
      <w:r w:rsidRPr="00E606A1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is the catch rate in the adjacent time period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C498F">
        <w:rPr>
          <w:rFonts w:eastAsiaTheme="minorEastAsia"/>
        </w:rPr>
        <w:t xml:space="preserve"> is the duration (number of hours or days) of the outage.</w:t>
      </w:r>
    </w:p>
    <w:p w14:paraId="2EC4D647" w14:textId="505D2AFF" w:rsidR="005C498F" w:rsidRDefault="005C498F" w:rsidP="001F7EF3">
      <w:pPr>
        <w:spacing w:after="0" w:line="240" w:lineRule="auto"/>
        <w:rPr>
          <w:rFonts w:eastAsiaTheme="minorEastAsia"/>
        </w:rPr>
      </w:pPr>
    </w:p>
    <w:p w14:paraId="7742C5AF" w14:textId="394A9124" w:rsidR="004C2BE1" w:rsidRDefault="005C498F" w:rsidP="001F7EF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variance during </w:t>
      </w:r>
      <w:r w:rsidR="004C2BE1">
        <w:rPr>
          <w:rFonts w:eastAsiaTheme="minorEastAsia"/>
        </w:rPr>
        <w:t>each outage would be</w:t>
      </w:r>
    </w:p>
    <w:p w14:paraId="7CAEF79A" w14:textId="0E25728F" w:rsidR="005B5C00" w:rsidRPr="005B5C00" w:rsidRDefault="005B5C00" w:rsidP="001F7EF3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)=Var(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B67006E" w14:textId="54D5463E" w:rsidR="005C498F" w:rsidRDefault="005C498F" w:rsidP="001F7EF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4F4AC84" w14:textId="52896FDB" w:rsidR="005B5C00" w:rsidRDefault="005B5C00" w:rsidP="001F7EF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This </w:t>
      </w:r>
      <w:r w:rsidR="00360916">
        <w:rPr>
          <w:rFonts w:eastAsiaTheme="minorEastAsia"/>
        </w:rPr>
        <w:t xml:space="preserve">captures the variance derived from using average catch rates.  </w:t>
      </w:r>
      <w:r w:rsidR="00C40804">
        <w:rPr>
          <w:rFonts w:eastAsiaTheme="minorEastAsia"/>
        </w:rPr>
        <w:t>To avoid the additional</w:t>
      </w:r>
      <w:r w:rsidR="00360916">
        <w:rPr>
          <w:rFonts w:eastAsiaTheme="minorEastAsia"/>
        </w:rPr>
        <w:t xml:space="preserve"> variance </w:t>
      </w:r>
      <w:r w:rsidR="00C40804">
        <w:rPr>
          <w:rFonts w:eastAsiaTheme="minorEastAsia"/>
        </w:rPr>
        <w:t>associated with ste</w:t>
      </w:r>
      <w:r w:rsidR="00360916">
        <w:rPr>
          <w:rFonts w:eastAsiaTheme="minorEastAsia"/>
        </w:rPr>
        <w:t xml:space="preserve">p 1 </w:t>
      </w:r>
      <w:r w:rsidR="00C40804">
        <w:rPr>
          <w:rFonts w:eastAsiaTheme="minorEastAsia"/>
        </w:rPr>
        <w:t xml:space="preserve">above, use the 30 minute direct observations to calculate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C40804">
        <w:rPr>
          <w:rFonts w:eastAsiaTheme="minorEastAsia"/>
        </w:rPr>
        <w:t xml:space="preserve"> rather than the expanded 60 minute estimated catch</w:t>
      </w:r>
      <w:r w:rsidR="00360916">
        <w:rPr>
          <w:rFonts w:eastAsiaTheme="minorEastAsia"/>
        </w:rPr>
        <w:t>.</w:t>
      </w:r>
    </w:p>
    <w:p w14:paraId="4A037CAD" w14:textId="77777777" w:rsidR="005C498F" w:rsidRPr="00E606A1" w:rsidRDefault="005C498F" w:rsidP="001F7EF3">
      <w:pPr>
        <w:spacing w:after="0" w:line="240" w:lineRule="auto"/>
      </w:pPr>
    </w:p>
    <w:p w14:paraId="5D4C0EF1" w14:textId="4E5D5558" w:rsidR="00C81C2A" w:rsidRDefault="00C40804" w:rsidP="001F7EF3">
      <w:pPr>
        <w:spacing w:after="0" w:line="240" w:lineRule="auto"/>
      </w:pPr>
      <w:r>
        <w:t>Variances from steps 1 and 2 are additive.  Both are similar in concept in that they estimate abundance and variance during gaps in the continuous monitoring.</w:t>
      </w:r>
    </w:p>
    <w:p w14:paraId="5A96C234" w14:textId="77777777" w:rsidR="00C40804" w:rsidRDefault="00C40804" w:rsidP="001F7EF3">
      <w:pPr>
        <w:spacing w:after="0" w:line="240" w:lineRule="auto"/>
      </w:pPr>
    </w:p>
    <w:p w14:paraId="1B8AF0C2" w14:textId="385DBE35" w:rsidR="00C81C2A" w:rsidRPr="00C81C2A" w:rsidRDefault="0041528A" w:rsidP="001F7EF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Step 3 - </w:t>
      </w:r>
      <w:r w:rsidR="00C81C2A">
        <w:rPr>
          <w:b/>
          <w:bCs/>
        </w:rPr>
        <w:t>Exclusion of bull trout</w:t>
      </w:r>
    </w:p>
    <w:p w14:paraId="07DC8199" w14:textId="0D84A2AD" w:rsidR="00195B54" w:rsidRDefault="00195B54" w:rsidP="00195B54">
      <w:pPr>
        <w:spacing w:after="0" w:line="240" w:lineRule="auto"/>
      </w:pPr>
      <w:r>
        <w:t xml:space="preserve">Organize abundance and variance derived in steps 1 and 2 into strata, </w:t>
      </w:r>
      <w:r w:rsidR="004763BE">
        <w:t>where</w:t>
      </w:r>
      <w:r>
        <w:t xml:space="preserve"> each strata is a period of SONAR data associated with a species composition sampling event, typically a few weeks.  S</w:t>
      </w:r>
      <w:r w:rsidR="001F7EF3">
        <w:t xml:space="preserve">um abundance and variance for </w:t>
      </w:r>
      <w:r>
        <w:t xml:space="preserve">within each </w:t>
      </w:r>
      <w:r w:rsidR="001F7EF3">
        <w:t>strata</w:t>
      </w:r>
      <w:r>
        <w:t xml:space="preserve">.  </w:t>
      </w:r>
    </w:p>
    <w:p w14:paraId="761FA44F" w14:textId="77777777" w:rsidR="00195B54" w:rsidRDefault="00195B54" w:rsidP="001F7EF3">
      <w:pPr>
        <w:spacing w:after="0" w:line="240" w:lineRule="auto"/>
      </w:pPr>
    </w:p>
    <w:p w14:paraId="1994754A" w14:textId="4B68B5A7" w:rsidR="00195B54" w:rsidRDefault="00195B54" w:rsidP="001F7EF3">
      <w:pPr>
        <w:spacing w:after="0" w:line="240" w:lineRule="auto"/>
      </w:pPr>
      <w:r>
        <w:t>For each strata, estimate steelhead abundance as:</w:t>
      </w:r>
    </w:p>
    <w:p w14:paraId="0B0D96B9" w14:textId="235BDC86" w:rsidR="00195B54" w:rsidRDefault="00195B54" w:rsidP="001F7EF3">
      <w:pPr>
        <w:spacing w:after="0" w:line="240" w:lineRule="auto"/>
      </w:pPr>
    </w:p>
    <w:p w14:paraId="1627C5B1" w14:textId="73A10377" w:rsidR="00195B54" w:rsidRPr="00195B54" w:rsidRDefault="00657607" w:rsidP="001F7EF3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47453D20" w14:textId="77777777" w:rsidR="00195B54" w:rsidRDefault="00195B54" w:rsidP="001F7EF3">
      <w:pPr>
        <w:spacing w:after="0" w:line="240" w:lineRule="auto"/>
      </w:pPr>
    </w:p>
    <w:p w14:paraId="70583B02" w14:textId="7A3910CF" w:rsidR="0041528A" w:rsidRDefault="0041528A" w:rsidP="001F7EF3">
      <w:pPr>
        <w:spacing w:after="0" w:line="240" w:lineRule="auto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is the a</w:t>
      </w:r>
      <w:proofErr w:type="spellStart"/>
      <w:r>
        <w:rPr>
          <w:rFonts w:eastAsiaTheme="minorEastAsia"/>
        </w:rPr>
        <w:t>bundance</w:t>
      </w:r>
      <w:proofErr w:type="spellEnd"/>
      <w:r>
        <w:rPr>
          <w:rFonts w:eastAsiaTheme="minorEastAsia"/>
        </w:rPr>
        <w:t xml:space="preserve"> in strata </w:t>
      </w:r>
      <w:r>
        <w:rPr>
          <w:rFonts w:eastAsiaTheme="minorEastAsia"/>
          <w:i/>
          <w:iCs/>
        </w:rPr>
        <w:t>s,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is the estimated catch in strata </w:t>
      </w: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from step 1 and 2,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proportion of steelhead-sized fish that are steelhead in the species composition data.</w:t>
      </w:r>
      <w:r w:rsidR="004913E7">
        <w:rPr>
          <w:rFonts w:eastAsiaTheme="minorEastAsia"/>
        </w:rPr>
        <w:t xml:space="preserve">  </w:t>
      </w:r>
    </w:p>
    <w:p w14:paraId="1873E55F" w14:textId="313337D8" w:rsidR="0041528A" w:rsidRDefault="0041528A" w:rsidP="001F7EF3">
      <w:pPr>
        <w:spacing w:after="0" w:line="240" w:lineRule="auto"/>
        <w:rPr>
          <w:rFonts w:eastAsiaTheme="minorEastAsia"/>
        </w:rPr>
      </w:pPr>
    </w:p>
    <w:p w14:paraId="14F21424" w14:textId="5CC33743" w:rsidR="0041528A" w:rsidRDefault="0041528A" w:rsidP="001F7EF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</w:t>
      </w:r>
    </w:p>
    <w:p w14:paraId="482BDA75" w14:textId="5568A188" w:rsidR="0041528A" w:rsidRDefault="0041528A" w:rsidP="001F7EF3">
      <w:pPr>
        <w:spacing w:after="0" w:line="240" w:lineRule="auto"/>
        <w:rPr>
          <w:rFonts w:eastAsiaTheme="minorEastAsia"/>
        </w:rPr>
      </w:pPr>
    </w:p>
    <w:p w14:paraId="2A09AEE2" w14:textId="51F8081E" w:rsidR="0041528A" w:rsidRPr="0041528A" w:rsidRDefault="0041528A" w:rsidP="001F7EF3">
      <w:pPr>
        <w:spacing w:after="0" w:line="240" w:lineRule="auto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Var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(n-1)</m:t>
              </m:r>
            </m:den>
          </m:f>
        </m:oMath>
      </m:oMathPara>
    </w:p>
    <w:p w14:paraId="38651663" w14:textId="77777777" w:rsidR="0041528A" w:rsidRPr="0041528A" w:rsidRDefault="0041528A" w:rsidP="001F7EF3">
      <w:pPr>
        <w:spacing w:after="0" w:line="240" w:lineRule="auto"/>
      </w:pPr>
    </w:p>
    <w:p w14:paraId="2C1D3469" w14:textId="78175ED8" w:rsidR="004A0B84" w:rsidRDefault="004A0B84" w:rsidP="001F7EF3">
      <w:pPr>
        <w:spacing w:after="0" w:line="240" w:lineRule="auto"/>
      </w:pPr>
      <w:r>
        <w:t xml:space="preserve">Where </w:t>
      </w:r>
      <w:r>
        <w:rPr>
          <w:i/>
          <w:iCs/>
        </w:rPr>
        <w:t>n</w:t>
      </w:r>
      <w:r>
        <w:t xml:space="preserve"> is the number of samples used to establish the proportion.</w:t>
      </w:r>
    </w:p>
    <w:p w14:paraId="339E771C" w14:textId="614C43B6" w:rsidR="004A0B84" w:rsidRDefault="004A0B84" w:rsidP="001F7EF3">
      <w:pPr>
        <w:spacing w:after="0" w:line="240" w:lineRule="auto"/>
      </w:pPr>
    </w:p>
    <w:p w14:paraId="45CE9574" w14:textId="4BDE622A" w:rsidR="004A0B84" w:rsidRDefault="004A0B84" w:rsidP="001F7EF3">
      <w:pPr>
        <w:spacing w:after="0" w:line="240" w:lineRule="auto"/>
      </w:pPr>
      <w:r>
        <w:t>For each strata, the total variance will be</w:t>
      </w:r>
    </w:p>
    <w:p w14:paraId="2D68BDF9" w14:textId="264CD5B2" w:rsidR="004A0B84" w:rsidRDefault="004A0B84" w:rsidP="001F7EF3">
      <w:pPr>
        <w:spacing w:after="0" w:line="240" w:lineRule="auto"/>
      </w:pPr>
    </w:p>
    <w:p w14:paraId="3BEEC2A6" w14:textId="2A7AB4D9" w:rsidR="004A0B84" w:rsidRPr="004A0B84" w:rsidRDefault="004A0B84" w:rsidP="001F7EF3">
      <w:pPr>
        <w:spacing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Var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-Var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078855BB" w14:textId="77777777" w:rsidR="004A0B84" w:rsidRPr="004A0B84" w:rsidRDefault="004A0B84" w:rsidP="001F7EF3">
      <w:pPr>
        <w:spacing w:after="0" w:line="240" w:lineRule="auto"/>
      </w:pPr>
    </w:p>
    <w:p w14:paraId="7A46D626" w14:textId="77777777" w:rsidR="00D07543" w:rsidRDefault="00D07543" w:rsidP="00D0754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can restrict the exclusion of bull trout to fish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67 cm because 67 cm is the upper end of the bull trout size distribution.  In other words, we can safely assume fish observed on the SONAR </w:t>
      </w:r>
      <w:r>
        <w:rPr>
          <w:rFonts w:eastAsiaTheme="minorEastAsia" w:cstheme="minorHAnsi"/>
        </w:rPr>
        <w:t>≥</w:t>
      </w:r>
      <w:r>
        <w:rPr>
          <w:rFonts w:eastAsiaTheme="minorEastAsia"/>
        </w:rPr>
        <w:t xml:space="preserve"> 68 cm are steelhead.</w:t>
      </w:r>
    </w:p>
    <w:p w14:paraId="002D9515" w14:textId="77777777" w:rsidR="00195B54" w:rsidRDefault="00195B54" w:rsidP="00195B54">
      <w:pPr>
        <w:spacing w:after="0" w:line="240" w:lineRule="auto"/>
      </w:pPr>
    </w:p>
    <w:p w14:paraId="34422F09" w14:textId="77777777" w:rsidR="00195B54" w:rsidRPr="001F7EF3" w:rsidRDefault="00195B54" w:rsidP="001F7EF3">
      <w:pPr>
        <w:spacing w:after="0" w:line="240" w:lineRule="auto"/>
      </w:pPr>
    </w:p>
    <w:sectPr w:rsidR="00195B54" w:rsidRPr="001F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BF7F1" w14:textId="77777777" w:rsidR="00455157" w:rsidRDefault="00455157" w:rsidP="005C0F8E">
      <w:pPr>
        <w:spacing w:after="0" w:line="240" w:lineRule="auto"/>
      </w:pPr>
      <w:r>
        <w:separator/>
      </w:r>
    </w:p>
  </w:endnote>
  <w:endnote w:type="continuationSeparator" w:id="0">
    <w:p w14:paraId="6944F146" w14:textId="77777777" w:rsidR="00455157" w:rsidRDefault="00455157" w:rsidP="005C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60BF3" w14:textId="77777777" w:rsidR="00455157" w:rsidRDefault="00455157" w:rsidP="005C0F8E">
      <w:pPr>
        <w:spacing w:after="0" w:line="240" w:lineRule="auto"/>
      </w:pPr>
      <w:r>
        <w:separator/>
      </w:r>
    </w:p>
  </w:footnote>
  <w:footnote w:type="continuationSeparator" w:id="0">
    <w:p w14:paraId="4C7EA9A4" w14:textId="77777777" w:rsidR="00455157" w:rsidRDefault="00455157" w:rsidP="005C0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A286A"/>
    <w:multiLevelType w:val="hybridMultilevel"/>
    <w:tmpl w:val="65A4D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16794"/>
    <w:multiLevelType w:val="hybridMultilevel"/>
    <w:tmpl w:val="B65A3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7EF3"/>
    <w:rsid w:val="00033505"/>
    <w:rsid w:val="000608BB"/>
    <w:rsid w:val="000911CF"/>
    <w:rsid w:val="001811E7"/>
    <w:rsid w:val="00195B54"/>
    <w:rsid w:val="0019725A"/>
    <w:rsid w:val="001F7EF3"/>
    <w:rsid w:val="0034643B"/>
    <w:rsid w:val="00360916"/>
    <w:rsid w:val="003D0AE8"/>
    <w:rsid w:val="0041450E"/>
    <w:rsid w:val="0041528A"/>
    <w:rsid w:val="00427BD0"/>
    <w:rsid w:val="00455157"/>
    <w:rsid w:val="00470844"/>
    <w:rsid w:val="004763BE"/>
    <w:rsid w:val="004913E7"/>
    <w:rsid w:val="004A0B84"/>
    <w:rsid w:val="004A6893"/>
    <w:rsid w:val="004C2BE1"/>
    <w:rsid w:val="004E083B"/>
    <w:rsid w:val="00562708"/>
    <w:rsid w:val="005B5C00"/>
    <w:rsid w:val="005C0F8E"/>
    <w:rsid w:val="005C498F"/>
    <w:rsid w:val="005C4A21"/>
    <w:rsid w:val="005F316D"/>
    <w:rsid w:val="00657607"/>
    <w:rsid w:val="0070303F"/>
    <w:rsid w:val="00726651"/>
    <w:rsid w:val="0075520B"/>
    <w:rsid w:val="00766410"/>
    <w:rsid w:val="0078416C"/>
    <w:rsid w:val="00786218"/>
    <w:rsid w:val="00877407"/>
    <w:rsid w:val="00884C4F"/>
    <w:rsid w:val="0092132C"/>
    <w:rsid w:val="00943A7A"/>
    <w:rsid w:val="00963AFD"/>
    <w:rsid w:val="0098317C"/>
    <w:rsid w:val="009924A6"/>
    <w:rsid w:val="00A7511F"/>
    <w:rsid w:val="00A87129"/>
    <w:rsid w:val="00AB6AC4"/>
    <w:rsid w:val="00B54B75"/>
    <w:rsid w:val="00B76222"/>
    <w:rsid w:val="00BB7833"/>
    <w:rsid w:val="00BF29AE"/>
    <w:rsid w:val="00C40804"/>
    <w:rsid w:val="00C81C2A"/>
    <w:rsid w:val="00D07543"/>
    <w:rsid w:val="00D82EEE"/>
    <w:rsid w:val="00D83551"/>
    <w:rsid w:val="00E606A1"/>
    <w:rsid w:val="00E61A5B"/>
    <w:rsid w:val="00EB2148"/>
    <w:rsid w:val="00F14064"/>
    <w:rsid w:val="00F4357B"/>
    <w:rsid w:val="00F959AF"/>
    <w:rsid w:val="00FD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81743B8"/>
  <w15:chartTrackingRefBased/>
  <w15:docId w15:val="{EA725732-E0EF-4369-8883-E190FB3F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E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4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Joseph H (DFW)</dc:creator>
  <cp:keywords/>
  <dc:description/>
  <cp:lastModifiedBy>Anderson, Joseph H (DFW)</cp:lastModifiedBy>
  <cp:revision>48</cp:revision>
  <dcterms:created xsi:type="dcterms:W3CDTF">2022-01-13T22:11:00Z</dcterms:created>
  <dcterms:modified xsi:type="dcterms:W3CDTF">2022-03-15T20:21:00Z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2022-01-13T22:11:49Z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a5011208-4c24-44e2-b9b3-ec0cfdcda81f</vt:lpwstr>
  </property>
  <property fmtid="{D5CDD505-2E9C-101B-9397-08002B2CF9AE}" pid="8" name="MSIP_Label_45011977-b912-4387-97a4-f4c94a801377_ContentBits">
    <vt:lpwstr>0</vt:lpwstr>
  </property>
</Properties>
</file>