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92.png" ContentType="image/png"/>
  <Override PartName="/word/media/rId90.png" ContentType="image/png"/>
  <Override PartName="/word/media/rId8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September</w:t>
      </w:r>
      <w:r>
        <w:t xml:space="preserve"> </w:t>
      </w:r>
      <w:r>
        <w:t xml:space="preserve">23,</w:t>
      </w:r>
      <w:r>
        <w:t xml:space="preserve"> </w:t>
      </w:r>
      <w:r>
        <w:t xml:space="preserve">2020</w:t>
      </w:r>
    </w:p>
    <w:p>
      <w:pPr>
        <w:pStyle w:val="Abstract"/>
      </w:pPr>
      <w:r>
        <w:t xml:space="preserve">Accurate</w:t>
      </w:r>
      <w:r>
        <w:t xml:space="preserve"> </w:t>
      </w:r>
      <w:r>
        <w:t xml:space="preserve">estimates</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the</w:t>
      </w:r>
      <w:r>
        <w:t xml:space="preserve"> </w:t>
      </w:r>
      <w:r>
        <w:t xml:space="preserve">Snake</w:t>
      </w:r>
      <w:r>
        <w:t xml:space="preserve"> </w:t>
      </w:r>
      <w:r>
        <w:t xml:space="preserve">River</w:t>
      </w:r>
      <w:r>
        <w:t xml:space="preserve"> </w:t>
      </w:r>
      <w:r>
        <w:t xml:space="preserve">basin.</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passive</w:t>
      </w:r>
      <w:r>
        <w:t xml:space="preserve"> </w:t>
      </w:r>
      <w:r>
        <w:t xml:space="preserve">integrated</w:t>
      </w:r>
      <w:r>
        <w:t xml:space="preserve"> </w:t>
      </w:r>
      <w:r>
        <w:t xml:space="preserve">transponder</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the</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Our</w:t>
      </w:r>
      <w:r>
        <w:t xml:space="preserve"> </w:t>
      </w:r>
      <w:r>
        <w:t xml:space="preserve">results</w:t>
      </w:r>
      <w:r>
        <w:t xml:space="preserve"> </w:t>
      </w:r>
      <w:r>
        <w:t xml:space="preserve">demonstrate</w:t>
      </w:r>
      <w:r>
        <w:t xml:space="preserve"> </w:t>
      </w:r>
      <w:r>
        <w:t xml:space="preserve">that</w:t>
      </w:r>
      <w:r>
        <w:t xml:space="preserve"> </w:t>
      </w:r>
      <w:r>
        <w:t xml:space="preserve">the</w:t>
      </w:r>
      <w:r>
        <w:t xml:space="preserve"> </w:t>
      </w:r>
      <w:r>
        <w:t xml:space="preserve">model</w:t>
      </w:r>
      <w:r>
        <w:t xml:space="preserve"> </w:t>
      </w:r>
      <w:r>
        <w:t xml:space="preserve">produced</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w:t>
      </w:r>
      <w:r>
        <w:t xml:space="preserve"> </w:t>
      </w:r>
      <w:r>
        <w:t xml:space="preserve">run</w:t>
      </w:r>
      <w:r>
        <w:t xml:space="preserve"> </w:t>
      </w:r>
      <w:r>
        <w:t xml:space="preserve">Chinook</w:t>
      </w:r>
      <w:r>
        <w:t xml:space="preserve"> </w:t>
      </w:r>
      <w:r>
        <w:t xml:space="preserve">Salmon</w:t>
      </w:r>
      <w:r>
        <w:t xml:space="preserve"> </w:t>
      </w:r>
      <w:r>
        <w:t xml:space="preserve">and</w:t>
      </w:r>
      <w:r>
        <w:t xml:space="preserve"> </w:t>
      </w:r>
      <w:r>
        <w:t xml:space="preserve">steelhead</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often refers to the number of adults that survive juvenile and subadult rearing, escape harvest and return to their natal habitat to potentially spawn</w:t>
      </w:r>
      <w:r>
        <w:t xml:space="preserve"> </w:t>
      </w:r>
      <w:r>
        <w:t xml:space="preserve">(e.g., Bue et al. 1998)</w:t>
      </w:r>
      <w:r>
        <w:t xml:space="preserve">. For anadromous fishes, escapement is often estimated at a fixed location in a river system prior to fish reaching their spawning area. Escapement estimates facilitate effective fisheries management, particularly estimates of escapement for component groups</w:t>
      </w:r>
      <w:r>
        <w:t xml:space="preserve"> </w:t>
      </w:r>
      <w:r>
        <w:t xml:space="preserve">(e.g., by stock, population, age, origin [wild, hatchery], Hess et al. 2014; Steinhorst et al. 2017; Camacho et al. 2018)</w:t>
      </w:r>
      <w:r>
        <w:t xml:space="preserve"> </w:t>
      </w:r>
      <w:r>
        <w:t xml:space="preserve">which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w:t>
      </w:r>
      <w:r>
        <w:t xml:space="preserve">and facilitate assessments of population viability, extinction risk</w:t>
      </w:r>
      <w:r>
        <w:t xml:space="preserve"> </w:t>
      </w:r>
      <w:r>
        <w:t xml:space="preserve">(Northwest Fisheries Science Center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projects on the Snake and Columbia rivers) and tributary habitats</w:t>
      </w:r>
      <w:r>
        <w:t xml:space="preserve"> </w:t>
      </w:r>
      <w:r>
        <w:t xml:space="preserve">(Nehlsen et al. 1991; McClure et al. 2003; Northwest Fisheries Science Center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(NPCC 2014; Northwest Fisheries Science Center 2015; National Marine Fisheries Service 2019)</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The majority of Chinook Salmon and steelhead returning to the Snake River must ascend a fish ladder on Lower Granite Dam before migrating upriver.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(Steinhorst et al. 2017; Camacho et al. 2018; Steele et al. 2019)</w:t>
      </w:r>
      <w:r>
        <w:t xml:space="preserve">. Treating window counts as a census proved beneficial as being an easy, straight-forward method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However, using window counts as a census of Chinook Salmon and steelhead passing Lower Granite Dam can be problematic as it fails to account for multiple sources of uncertainty and disregards known biological processes. In-person window counts, where observers look directly into the fish ladders to identify and count all passing fish, by species, occur for 50 minutes per hour, 16 hours a day from April through October (which corresponds with peak run timing for several species). Counts are then expanded to provide an estimate for the entire hour</w:t>
      </w:r>
      <w:r>
        <w:t xml:space="preserve"> </w:t>
      </w:r>
      <w:r>
        <w:t xml:space="preserve">(USACE 2015)</w:t>
      </w:r>
      <w:r>
        <w:t xml:space="preserve">. For the remainder of the year (November through March), fish passage is video-taped for 10 hours each day; fish counters then read the video tapes and submit daily fish counts. Typically, the observational error rates of live and video window counts are unknown, and sampling error rates are ignored.</w:t>
      </w:r>
      <w:r>
        <w:t xml:space="preserve"> </w:t>
      </w:r>
      <w:r>
        <w:t xml:space="preserve">Hatch et al. (1994)</w:t>
      </w:r>
      <w:r>
        <w:t xml:space="preserve"> </w:t>
      </w:r>
      <w:r>
        <w:t xml:space="preserve">conducted a study of the counting system at Lower Granite Dam in 1992, and found that Chinook Salmon were undercounted at the window by in-person window counters compared to video counts. There was a significant difference between daily standard counts (16 or 10 hours per day) and daily 24-hour video counts; they found a significant nighttime passage rate (crossing while the counting window was closed) with 3.5% of Chinook Salmon and 6.6% of steelhead adults passing during</w:t>
      </w:r>
      <w:r>
        <w:t xml:space="preserve"> </w:t>
      </w:r>
      <w:r>
        <w:t xml:space="preserve">“</w:t>
      </w:r>
      <w:r>
        <w:t xml:space="preserve">nighttime</w:t>
      </w:r>
      <w:r>
        <w:t xml:space="preserve">”</w:t>
      </w:r>
      <w:r>
        <w:t xml:space="preserve"> </w:t>
      </w:r>
      <w:r>
        <w:t xml:space="preserve">hours. They also found some species misidentification issues, which could result in either under- or over-counting of a particular species. While that study identified potential issues with the current window counting procedure, it was only conducted in a single year, nearly 30 years ago, at a time when Chinook Salmon and steelhead total returns were lower than in the past decade.</w:t>
      </w:r>
    </w:p>
    <w:p>
      <w:pPr>
        <w:pStyle w:val="BodyText"/>
      </w:pPr>
      <w:r>
        <w:t xml:space="preserve">Besides potential errors in the window counts, two biological processes are unaccounted for: 1) fish that cross the dam during the 8+ hours when the window is unmonitored (i.e., nighttime passage) which may result in an underestimate of escapement, and 2) fish that migrate through the ladder and past the dam may fallback over the dam (e.g., over a spillway, through navigation locks) and later may re-ascend the fish ladder again</w:t>
      </w:r>
      <w:r>
        <w:t xml:space="preserve"> </w:t>
      </w:r>
      <w:r>
        <w:t xml:space="preserve">(Boggs et al. 2004)</w:t>
      </w:r>
      <w:r>
        <w:t xml:space="preserve"> </w:t>
      </w:r>
      <w:r>
        <w:t xml:space="preserve">and be double-counted at the window (re-ascension). Both fallback without and with re-ascension potentially result in an overestimate of escapement</w:t>
      </w:r>
      <w:r>
        <w:t xml:space="preserve"> </w:t>
      </w:r>
      <w:r>
        <w:t xml:space="preserve">(Dauble and Mueller 2000)</w:t>
      </w:r>
      <w:r>
        <w:t xml:space="preserve">. Previously, it was often assumed that nighttime passage rates and fallback/re-ascension rates canceled each other out resulting in window counts providing an unbiased estimate of escapement</w:t>
      </w:r>
      <w:r>
        <w:t xml:space="preserve"> </w:t>
      </w:r>
      <w:r>
        <w:t xml:space="preserve">(Camacho et al. 2018)</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test whether observed nighttime passage and fallback/re-ascension rates are typically equal. Our method for estimating species-specific escapement past Lower Granite Dam incorporates window counts, data from the adult fish trap, and observations of fish previously tagged with passive integrated transponder (PIT) tags in the adult ladder to explicitly model nighttime passage, re-ascension, and observation error using a state-space approach</w:t>
      </w:r>
      <w:r>
        <w:t xml:space="preserve"> </w:t>
      </w:r>
      <w:r>
        <w:t xml:space="preserve">(Royle and Dorazio 2008)</w:t>
      </w:r>
      <w:r>
        <w:t xml:space="preserve"> </w:t>
      </w:r>
      <w:r>
        <w:t xml:space="preserve">which separates process variance (e.g., week to week variance in true escapment) from observation error variance (e.g., observation error at the window, or sampling variance at the trap). To meet desired management and conservation objectives, modeled escapement includes estimates of uncertainty and is parsed into weekly strata. Further, total and weekly estimates are parsed into three origin groups: wild fish, hatchery fish with a clipped adipose fin, and unclipped hatchery fish. Estimates of escapement account for fish that migrate through the ladder outside of observation hours (nighttime passage) and those that ascend the ladder multiple times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 or installation from</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We then applied this model to Chinook Salmon and steelhead returns at Lower Granite Dam for spawn years 2010 - 2019. The STADEM model combines multiple imperfect sources of data to reduce bias in escapement estimates and provides improved estimates of uncertainty.</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fish PIT tagged prior to arriving at Lower Granite Dam and detected in the adult fish ladder. Below, we describe each of the data sources in more detail as they pertain to Lower Granite Dam; similar data could likely be obtained from other fish passage facilities.</w:t>
      </w:r>
    </w:p>
    <w:p>
      <w:pPr>
        <w:pStyle w:val="Heading3"/>
      </w:pPr>
      <w:bookmarkStart w:id="25" w:name="window-counts"/>
      <w:r>
        <w:t xml:space="preserve">Window Counts</w:t>
      </w:r>
      <w:bookmarkEnd w:id="25"/>
    </w:p>
    <w:p>
      <w:pPr>
        <w:pStyle w:val="FirstParagraph"/>
      </w:pPr>
      <w:r>
        <w:t xml:space="preserve">Daily counts of adult Chinook Salmon and steelhead passing the observation window located on the Lower Granite Dam fish ladder were estimated and provided by the US Army Corps of Engineers. When summed, they provide an estimate of the number of fish ascending and passing Lower Granite Dam each season. Window counts were made for each species using direct in-person visual monitoring and video monitoring during daytime hours</w:t>
      </w:r>
      <w:r>
        <w:t xml:space="preserve"> </w:t>
      </w:r>
      <w:r>
        <w:t xml:space="preserve">(Hatch et al. 1994)</w:t>
      </w:r>
      <w:r>
        <w:t xml:space="preserve">. Direct visual monitoring occurred during peak run times (April 1 – October 31) for 16 hours per day (0400 – 2000 hours). Video monitoring occurred during the beginning and tail ends of the adult runs (March 1 – March 31 and November 1 – December) for 10 hours per day (0600 – 1600 hours)</w:t>
      </w:r>
      <w:r>
        <w:t xml:space="preserve"> </w:t>
      </w:r>
      <w:r>
        <w:t xml:space="preserve">(USACE 2015)</w:t>
      </w:r>
      <w:r>
        <w:t xml:space="preserve">. During direct visual monitoring, observers recorded each adult (≥ 30cm), by species, passing the window for 50 minutes of each hour of operation. The sum of the daily 50-minute counts were then multiplied by 1.2 to account for the 10 minutes when fish were not counted. Daytime window counts were not expanded for fish that may have ascended the ladder outside of operational hours (i.e., nighttime passage)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w:t>
      </w:r>
    </w:p>
    <w:p>
      <w:pPr>
        <w:pStyle w:val="Heading3"/>
      </w:pPr>
      <w:bookmarkStart w:id="27" w:name="adult-fish-trap-data"/>
      <w:r>
        <w:t xml:space="preserve">Adult Fish Trap Data</w:t>
      </w:r>
      <w:bookmarkEnd w:id="27"/>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provides an opportunity to collect biological data (e.g., origin [wild, hatchery], genetic stock, length, age, sex) from captured adults which allows for decomposition of the escapement into specific groups</w:t>
      </w:r>
      <w:r>
        <w:t xml:space="preserve"> </w:t>
      </w:r>
      <w:r>
        <w:t xml:space="preserve">(e.g., Camacho et al. 2018; Steinhorst et al. 2017)</w:t>
      </w:r>
      <w:r>
        <w:t xml:space="preserve">. The trap was operational for 24 hours per day and randomly sampled the run by opening four times per hour for a length of time determined by a set daily trapping rate. The trap rate was determined by a committee of collaborating management agencies with a goal of capturing a target number of wild fish while also balancing fish handling concerns. Trap sample rates were typically 10-25%, but fluctuated throughout the season due to, for example, high water temperatures, decreased flows, trap malfunctions and/or closures, fish handling logistics, in-season forecast adjustments, or adjustments due to shifting species composition throughout the year.</w:t>
      </w:r>
    </w:p>
    <w:p>
      <w:pPr>
        <w:pStyle w:val="BodyText"/>
      </w:pPr>
      <w:r>
        <w:t xml:space="preserve">All captured fish were anesthetized, speciated, examined for existing marks or tags, measured for fork length and visually identified as wild or hatchery. The most widely used marking of hatchery fish is a clipped (removed) adipose fin, although coded wire tags are used in less than 10% of the hatchery releases. Some subset of hatchery fish are either intentionally or unintentionally released without a clipped adipose fin, and these are referred to as unclipped hatchery fish, or hatchery no-clips (HNC). For adults with intact adipose fins (unclipped), which includes wild and hatchery no-clip individuals, either a portion or all of fish trapped (depending on the year)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location of origin of wild fish using genetic stock identification (e.g.,</w:t>
      </w:r>
      <w:r>
        <w:t xml:space="preserve"> </w:t>
      </w:r>
      <w:r>
        <w:t xml:space="preserve">Hargrove et al. (2019)</w:t>
      </w:r>
      <w:r>
        <w:t xml:space="preserve">). Prior to 2013, only fish determined to be wild in origin at the trap were sampled for scale and genetics. Starting in 2013, every unclipped Chinook Salmon and steelhead trapped at Lower Granite Dam was genotyped to simplify collaborative logistics and better estimate the proportion of unclipped hatchery fish that appear phenotypically wild.</w:t>
      </w:r>
      <w:r>
        <w:t xml:space="preserve"> </w:t>
      </w:r>
      <w:r>
        <w:t xml:space="preserve">Camacho et al. (2018)</w:t>
      </w:r>
      <w:r>
        <w:t xml:space="preserve"> </w:t>
      </w:r>
      <w:r>
        <w:t xml:space="preserve">provide further details on trap sample rates and valid sample selection. Prior to release, all non-PIT tagged fish with an intact adipose fin (i.e., putatively wild) received a PIT tag. Final determination of wild, clipped hatchery, or unclipped hatchery origins were assigned using a post-hoc analysis of marks and tags, including parentage-based tagging</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2018)</w:t>
      </w:r>
      <w:r>
        <w:t xml:space="preserve">.</w:t>
      </w:r>
    </w:p>
    <w:p>
      <w:pPr>
        <w:pStyle w:val="Heading3"/>
      </w:pPr>
      <w:bookmarkStart w:id="28" w:name="pit-tag-data"/>
      <w:r>
        <w:t xml:space="preserve">PIT Tag Data</w:t>
      </w:r>
      <w:bookmarkEnd w:id="28"/>
    </w:p>
    <w:p>
      <w:pPr>
        <w:pStyle w:val="FirstParagraph"/>
      </w:pPr>
      <w:r>
        <w:t xml:space="preserve">The last source of data was observations of PIT tagged adult Chinook Salmon and steelhead at detection sites located in the Lower Granite Dam fish ladder. These observations provide daily estimates of 1) a trapping rate, 2) a nighttime passage rate, and 3) a re-ascension rate. Detections used in the model include all fish that were previously PIT tagged as juveniles or adults prior to arriving at Lower Granite Dam (i.e., does not include newly tagged adults at the dam) and detected at adult detection sites in the dam passage system. PIT tag data was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BodyText"/>
      </w:pPr>
      <w:r>
        <w:t xml:space="preserve">A trap rate estimate was derived using Lincoln-Peterson mark-recapture methods</w:t>
      </w:r>
      <w:r>
        <w:t xml:space="preserve"> </w:t>
      </w:r>
      <w:r>
        <w:t xml:space="preserve">(Seber 2002)</w:t>
      </w:r>
      <w:r>
        <w:t xml:space="preserve"> </w:t>
      </w:r>
      <w:r>
        <w:t xml:space="preserve">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(both species)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The proportion of tags detected leaving the passage system that were also caught in the trap each week was assumed to reflect the trap rate experienced by target species as they migrated through the ladder. The sample size of previously tagged fish detected at Lower Granite Dam influences the uncertainty in that trap rate, which is also informed by the number of adults caught in the trap and the window counts. The set trapping rate (i.e., the recorded time that the trap is open to trap adults) does not always reflect the true trapping rate or proportion of fish that are actually captured in the trap due to various issues including trap malfunctions, separation-by-code fish opening the trap more frequently than expected, and process error, among others. Therefore, we use the mark-recapture approach to estimate a</w:t>
      </w:r>
      <w:r>
        <w:t xml:space="preserve"> </w:t>
      </w:r>
      <w:r>
        <w:t xml:space="preserve">“</w:t>
      </w:r>
      <w:r>
        <w:t xml:space="preserve">true</w:t>
      </w:r>
      <w:r>
        <w:t xml:space="preserve">”</w:t>
      </w:r>
      <w:r>
        <w:t xml:space="preserve"> </w:t>
      </w:r>
      <w:r>
        <w:t xml:space="preserve">trapping rate.</w:t>
      </w:r>
    </w:p>
    <w:p>
      <w:pPr>
        <w:pStyle w:val="BodyText"/>
      </w:pPr>
      <w:r>
        <w:t xml:space="preserve">We used PIT tag data to estimate nighttime passage and re-ascension rates, using the total number of tags passing the fish ladder for both and estimating each on a weekly basis. The nighttime passage rate was based on the count of PIT tags that migrated through the fish ladder during non-window observation hours and the total number of tags passing the fish ladder. The re-ascension rate incorporated the count of tags observed passing the upstream most detection sites in the adult fish ladder (i.e., passing the dam) and later detected re-entering the downstream end of the fish ladder at a later time and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0" w:name="model-framework"/>
      <w:r>
        <w:t xml:space="preserve">Model Framework</w:t>
      </w:r>
      <w:bookmarkEnd w:id="30"/>
    </w:p>
    <w:p>
      <w:pPr>
        <w:pStyle w:val="FirstParagraph"/>
      </w:pPr>
      <w:r>
        <w:t xml:space="preserve">We estimated the total number of fish crossing the dam each week, based on the window counts and the total fish passing the adult trap, while also accounting for estimated nighttime passage and fallback/re-ascension rates using a state-space modeling approach</w:t>
      </w:r>
      <w:r>
        <w:t xml:space="preserve"> </w:t>
      </w:r>
      <w:r>
        <w:t xml:space="preserve">(Royle and Dorazio 2008)</w:t>
      </w:r>
      <w:r>
        <w:t xml:space="preserve">. Our model is 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adjusted the window counts for the nighttime passage rate, and both window and trap estimates for the re-ascension rate to estimate the number of unique fish that crossed the dam.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1" w:name="simulations"/>
      <w:r>
        <w:t xml:space="preserve">Simulations</w:t>
      </w:r>
      <w:bookmarkEnd w:id="31"/>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trap rate scenarios (constant and shut down for 3 weeks),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We generated 99 simulations for each scenario, and ran STADEM on each one, resulting in a total of 1,188 model runs. Further details about simulation procedures can be found in</w:t>
      </w:r>
      <w:r>
        <w:t xml:space="preserve"> </w:t>
      </w:r>
      <w:hyperlink w:anchor="append2">
        <w:r>
          <w:rPr>
            <w:rStyle w:val="Hyperlink"/>
          </w:rPr>
          <w:t xml:space="preserve">Appendix B</w:t>
        </w:r>
      </w:hyperlink>
      <w:r>
        <w:t xml:space="preserve">.</w:t>
      </w:r>
    </w:p>
    <w:p>
      <w:pPr>
        <w:pStyle w:val="BodyText"/>
      </w:pPr>
      <w:r>
        <w:t xml:space="preserve">We grouped the simulation results by fish origin and evaluated them by several measures. Relative bias is the difference between the simulated</w:t>
      </w:r>
      <w:r>
        <w:t xml:space="preserve"> </w:t>
      </w:r>
      <w:r>
        <w:t xml:space="preserve">“</w:t>
      </w:r>
      <w:r>
        <w:t xml:space="preserve">truth</w:t>
      </w:r>
      <w:r>
        <w:t xml:space="preserve">”</w:t>
      </w:r>
      <w:r>
        <w:t xml:space="preserve"> </w:t>
      </w:r>
      <w:r>
        <w:t xml:space="preserve">and the STADEM estimate, divided by the simulated</w:t>
      </w:r>
      <w:r>
        <w:t xml:space="preserve"> </w:t>
      </w:r>
      <w:r>
        <w:t xml:space="preserve">“</w:t>
      </w:r>
      <w:r>
        <w:t xml:space="preserve">truth</w:t>
      </w:r>
      <w:r>
        <w:t xml:space="preserve">”</w:t>
      </w:r>
      <w:r>
        <w:t xml:space="preserve">. We estimated the precision by examining the average coefficient of variation (CV) of the estimates. We calculated the root mean squared error (RMSE) as the square root of the mean of the squared bias in the estimate. Finally, we evaluated coverage probabilities by determining what proportion of the model results generated an estimated 95% credible interval that contained the simulated true value.</w:t>
      </w:r>
    </w:p>
    <w:p>
      <w:pPr>
        <w:pStyle w:val="Heading2"/>
      </w:pPr>
      <w:bookmarkStart w:id="32" w:name="lower-granite-application"/>
      <w:r>
        <w:t xml:space="preserve">Lower Granite Application</w:t>
      </w:r>
      <w:bookmarkEnd w:id="32"/>
    </w:p>
    <w:p>
      <w:pPr>
        <w:pStyle w:val="FirstParagraph"/>
      </w:pPr>
      <w:r>
        <w:t xml:space="preserve">We applied STADEM to empirical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3">
        <w:r>
          <w:rPr>
            <w:rStyle w:val="Hyperlink"/>
          </w:rPr>
          <w:t xml:space="preserve">https://www.ptagis.org/</w:t>
        </w:r>
      </w:hyperlink>
      <w:r>
        <w:t xml:space="preserve">).</w:t>
      </w:r>
    </w:p>
    <w:p>
      <w:pPr>
        <w:pStyle w:val="BodyText"/>
      </w:pPr>
      <w:r>
        <w:t xml:space="preserve">All data used in this manuscript, as well as associated code for both the simulations and the Lower Granite appllication, can be found at</w:t>
      </w:r>
      <w:r>
        <w:t xml:space="preserve"> </w:t>
      </w:r>
      <w:hyperlink r:id="rId34">
        <w:r>
          <w:rPr>
            <w:rStyle w:val="Hyperlink"/>
          </w:rPr>
          <w:t xml:space="preserve">https://www.github.com/KevinSee/ManuscriptSTADEM</w:t>
        </w:r>
      </w:hyperlink>
      <w:r>
        <w:t xml:space="preserve">.</w:t>
      </w:r>
    </w:p>
    <w:p>
      <w:pPr>
        <w:pStyle w:val="Heading1"/>
      </w:pPr>
      <w:bookmarkStart w:id="35" w:name="results"/>
      <w:r>
        <w:t xml:space="preserve">Results</w:t>
      </w:r>
      <w:bookmarkEnd w:id="35"/>
    </w:p>
    <w:p>
      <w:pPr>
        <w:pStyle w:val="Heading2"/>
      </w:pPr>
      <w:bookmarkStart w:id="36" w:name="simulations-1"/>
      <w:r>
        <w:t xml:space="preserve">Simulations</w:t>
      </w:r>
      <w:bookmarkEnd w:id="36"/>
    </w:p>
    <w:p>
      <w:pPr>
        <w:pStyle w:val="FirstParagraph"/>
      </w:pPr>
      <w:r>
        <w:t xml:space="preserve">The STADEM performance evaluation statistics were very similar for hatchery clipped (N = 70,000), hatchery no-clip (N = 5,000) and wild fish (N = 25,000). In the interest of brevity, we only present the results from wild fish, which corresponds to a medium sized escapement level.</w:t>
      </w:r>
    </w:p>
    <w:p>
      <w:pPr>
        <w:pStyle w:val="BodyText"/>
      </w:pPr>
      <w:r>
        <w:t xml:space="preserve">STADEM results were very similar across all scenarios (Figure</w:t>
      </w:r>
      <w:r>
        <w:t xml:space="preserve"> </w:t>
      </w:r>
      <w:r>
        <w:t xml:space="preserve">2</w:t>
      </w:r>
      <w:r>
        <w:t xml:space="preserve">). Estimates of wild escapement were unbiased, with an average relative bias of 0.2–0.3%. The CV of the estimates averaged 2.0–3.0%, with higher CV’s being associated with scenarios when the trap was closed for 3 weeks. The coverage probabilities always exceeded 95% across all scenarios. The RMSE was near 500 for each scenario, representing an estimate within 2% of the true value, demonstrating the accuracy of STADEM (Table</w:t>
      </w:r>
      <w:r>
        <w:t xml:space="preserve"> </w:t>
      </w:r>
      <w:r>
        <w:t xml:space="preserve">2</w:t>
      </w:r>
      <w:r>
        <w:t xml:space="preserve">).</w:t>
      </w:r>
    </w:p>
    <w:p>
      <w:pPr>
        <w:pStyle w:val="Heading2"/>
      </w:pPr>
      <w:bookmarkStart w:id="37" w:name="lower-granite-application-1"/>
      <w:r>
        <w:t xml:space="preserve">Lower Granite Application</w:t>
      </w:r>
      <w:bookmarkEnd w:id="37"/>
    </w:p>
    <w:p>
      <w:pPr>
        <w:pStyle w:val="FirstParagraph"/>
      </w:pPr>
      <w:r>
        <w:t xml:space="preserve">We applied STADEM to data from Lower Granite Dam for Chinook Salmon and steelhead for spawn years 2010–2019. Estimates of total escapement, as well as estimates of wild, hatchery clipped, and hatchery no-clip estimates are presented in Table</w:t>
      </w:r>
      <w:r>
        <w:t xml:space="preserve"> </w:t>
      </w:r>
      <w:r>
        <w:t xml:space="preserve">3</w:t>
      </w:r>
      <w:r>
        <w:t xml:space="preserve">. Estimates of total unique fish escaping past Lower Granite Dam were sometimes higher and sometimes lower than the raw window counts, indicating that the relative strength of nighttime passage and re-ascension rates differed across years. CVs ranged from 2.5-7.1% for wild fish, 2.3-5.1% for clipped hatchery fish, 3.4-8.8% for hatchery no-clip fish and 2.2-4.7% for total unique fish past Lower Granite Dam.</w:t>
      </w:r>
    </w:p>
    <w:p>
      <w:pPr>
        <w:pStyle w:val="BodyText"/>
      </w:pPr>
      <w:r>
        <w:t xml:space="preserve">Weekly estimates of total escapement over Lower Granite Dam tracked the window counts and trap estimates (One example: Figure</w:t>
      </w:r>
      <w:r>
        <w:t xml:space="preserve"> </w:t>
      </w:r>
      <w:r>
        <w:t xml:space="preserve">3</w:t>
      </w:r>
      <w:r>
        <w:t xml:space="preserve">. Similar plots for all model runs [each species and year combination] are available on the manuscript GitHub page:</w:t>
      </w:r>
      <w:r>
        <w:t xml:space="preserve"> </w:t>
      </w:r>
      <w:hyperlink r:id="rId34">
        <w:r>
          <w:rPr>
            <w:rStyle w:val="Hyperlink"/>
          </w:rPr>
          <w:t xml:space="preserve">https://www.github.com/KevinSee/ManuscriptSTADEM</w:t>
        </w:r>
      </w:hyperlink>
      <w:r>
        <w:t xml:space="preserve">). STADEM point estimates were often between estimates based on window counts and those based on the number of fish caught in the adult trap. However, for weeks when very few fish were caught in the trap or there was more uncertainty about the trap rate,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 The model’s uncertainty is always smaller than the uncertainty from the trap estimates alone, whereas the window counts alone provide no estimate of uncertainty.</w:t>
      </w:r>
    </w:p>
    <w:p>
      <w:pPr>
        <w:pStyle w:val="BodyText"/>
      </w:pPr>
      <w:r>
        <w:t xml:space="preserve">Estimates of weekly nighttime passage and re-ascenstion rates did not match in most cases (Figure</w:t>
      </w:r>
      <w:r>
        <w:t xml:space="preserve"> </w:t>
      </w:r>
      <w:r>
        <w:t xml:space="preserve">4</w:t>
      </w:r>
      <w:r>
        <w:t xml:space="preserve">). In particular, there are several weeks when the window counts are quite large and the rates differ by as much as 10%. When nighttime passage is larger than re-ascension, the window counts will be biased low, and vice versa.</w:t>
      </w:r>
    </w:p>
    <w:p>
      <w:pPr>
        <w:pStyle w:val="Heading1"/>
      </w:pPr>
      <w:bookmarkStart w:id="38" w:name="discussion"/>
      <w:r>
        <w:t xml:space="preserve">Discussion</w:t>
      </w:r>
      <w:bookmarkEnd w:id="38"/>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accounts for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Our state-space model combined multiple imperfect sources of data to reduce bias in adult escapement estimates and provided quantitative estimates of uncertainty. Accurate population or group abundance estimates and uncertainty accounting for observation and process error can be particularly important when estimates are used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Capturing and accounting for known sources of error is prudent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in five of the last ten years, often during peak run times</w:t>
      </w:r>
      <w:r>
        <w:t xml:space="preserve"> </w:t>
      </w:r>
      <w:r>
        <w:t xml:space="preserve">(USACE 2010, 2011, 2012, 2013, 2015, 2016, 2017, 2018, 2019; Ogden 2016b)</w:t>
      </w:r>
      <w:r>
        <w:t xml:space="preserve">. Trap closures are typically associated with elevated water temperatures resulting in potential fish handling stress and/or trap malfunctions</w:t>
      </w:r>
      <w:r>
        <w:t xml:space="preserve"> </w:t>
      </w:r>
      <w:r>
        <w:t xml:space="preserve">(Ogden 2016a)</w:t>
      </w:r>
      <w:r>
        <w:t xml:space="preserve">. Given predicted Pacific Northwest climate change scenarios</w:t>
      </w:r>
      <w:r>
        <w:t xml:space="preserve"> </w:t>
      </w:r>
      <w:r>
        <w:t xml:space="preserve">(Zhang et al. 2019)</w:t>
      </w:r>
      <w:r>
        <w:t xml:space="preserve"> </w:t>
      </w:r>
      <w:r>
        <w:t xml:space="preserve">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STADEM could be modified and run on a weekly basis or in near real-time to provide better in-season estimates for fisheries managers. Currently, the only roadblock to this at Lower Granite Dam is the identification of hatchery no-clip fish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w:t>
      </w:r>
      <w:r>
        <w:t xml:space="preserve"> </w:t>
      </w:r>
      <w:r>
        <w:t xml:space="preserve">(Hargrove et al. n.d.)</w:t>
      </w:r>
      <w:r>
        <w:t xml:space="preserve">.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near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escapement of spring-summer run Chinook Salmon and steelhead past Lower Granite Dam, and returning to tributary or population specific spawning areas</w:t>
      </w:r>
      <w:r>
        <w:t xml:space="preserve"> </w:t>
      </w:r>
      <w:r>
        <w:t xml:space="preserve">(Kinzer et al. 2020a, 2020b)</w:t>
      </w:r>
      <w:r>
        <w:t xml:space="preserve">. Estimates of species and origin-specific escapement at Lower Granite Dam, including known uncertainty, are available to further parse into sex- or age-structured escapement estimates</w:t>
      </w:r>
      <w:r>
        <w:t xml:space="preserve"> </w:t>
      </w:r>
      <w:r>
        <w:t xml:space="preserve">(e.g., Camacho et al. 2018; Schrader et al. 2013)</w:t>
      </w:r>
      <w:r>
        <w:t xml:space="preserve"> </w:t>
      </w:r>
      <w:r>
        <w:t xml:space="preserve">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2019)</w:t>
      </w:r>
      <w:r>
        <w:t xml:space="preserve">. Combined, escapement estimates from STADEM and movement probability estimates provide abundance estimates to given tributaries or populations. With sex and age data collected at the adult fish trap</w:t>
      </w:r>
      <w:r>
        <w:t xml:space="preserve"> </w:t>
      </w:r>
      <w:r>
        <w:t xml:space="preserve">(Hargrove et al. 2019)</w:t>
      </w:r>
      <w:r>
        <w:t xml:space="preserve">, this approach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39" w:name="acknowledgements"/>
      <w:r>
        <w:t xml:space="preserve">Acknowledgements</w:t>
      </w:r>
      <w:bookmarkEnd w:id="39"/>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for his contributions to the development of STADEM, and all the other people who have contributed through productive critique and conversations.</w:t>
      </w:r>
    </w:p>
    <w:p>
      <w:r>
        <w:br w:type="page"/>
      </w:r>
    </w:p>
    <w:p>
      <w:pPr>
        <w:pStyle w:val="Heading1"/>
      </w:pPr>
      <w:bookmarkStart w:id="40" w:name="references"/>
      <w:r>
        <w:t xml:space="preserve">References</w:t>
      </w:r>
      <w:bookmarkEnd w:id="40"/>
    </w:p>
    <w:bookmarkStart w:id="86" w:name="refs"/>
    <w:bookmarkStart w:id="41"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w:t>
      </w:r>
    </w:p>
    <w:bookmarkEnd w:id="41"/>
    <w:bookmarkStart w:id="42"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2"/>
    <w:bookmarkStart w:id="43" w:name="ref-Camacho2018"/>
    <w:p>
      <w:pPr>
        <w:pStyle w:val="Bibliography"/>
      </w:pPr>
      <w:r>
        <w:t xml:space="preserve">Camacho, C. A., J. Powell, M. Davison, M. E. Dobos, W. C. Schrader, T. Copeland, and M. Campbell. 2018. Wild adult steelhead and Chinook Salmon abundance and composition at Lower Granite Dam, spawn year 2017. Idaho Department of Fish; Game, Annual Report 19-09.</w:t>
      </w:r>
    </w:p>
    <w:bookmarkEnd w:id="43"/>
    <w:bookmarkStart w:id="44" w:name="ref-Campbell2012"/>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4"/>
    <w:bookmarkStart w:id="45" w:name="ref-Crozier2019"/>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45"/>
    <w:bookmarkStart w:id="46"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46"/>
    <w:bookmarkStart w:id="47" w:name="ref-Hargrove2020"/>
    <w:p>
      <w:pPr>
        <w:pStyle w:val="Bibliography"/>
      </w:pPr>
      <w:r>
        <w:t xml:space="preserve">Hargrove, J., C. Camacho, W. Schrader, J. Powell, T. Delomas, J. Hess, S. Narum, and M. Campbell. (n.d.). Parentage-based tagging improves escapement estimates for ESA-listed adult Chinook Salmon and steelhead in the Snake River basin.</w:t>
      </w:r>
    </w:p>
    <w:bookmarkEnd w:id="47"/>
    <w:bookmarkStart w:id="48" w:name="ref-Hargrove2019"/>
    <w:p>
      <w:pPr>
        <w:pStyle w:val="Bibliography"/>
      </w:pPr>
      <w:r>
        <w:t xml:space="preserve">Hargrove, J. S., T. A. Delomas, and M. Davison. 2019. Chinook and steelhead genotyping for genetic stock identification at Lower Granite Dam. Idaho Department of Fish and Game, 19-08.</w:t>
      </w:r>
    </w:p>
    <w:bookmarkEnd w:id="48"/>
    <w:bookmarkStart w:id="49"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49"/>
    <w:bookmarkStart w:id="50" w:name="ref-Hess2014"/>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w:t>
      </w:r>
    </w:p>
    <w:bookmarkEnd w:id="50"/>
    <w:bookmarkStart w:id="51"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1"/>
    <w:bookmarkStart w:id="52" w:name="ref-Kinzer2020"/>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2"/>
    <w:bookmarkStart w:id="53" w:name="ref-IPTDSW2020"/>
    <w:p>
      <w:pPr>
        <w:pStyle w:val="Bibliography"/>
      </w:pPr>
      <w:r>
        <w:t xml:space="preserve">Kinzer, R., R. Orme, M. Campbell, J. Hargrove, and K. See. 2020b. Report to NOAA Fisheries for 5-year ESA status review: Snake River basin steelhead and Chinook salmon population abundance, life history, and diversity metrics calculated from in-stream PIT- tag observations (SY2010-SY2019). IPTDSW (In-stream PIT-tag detection systems workgroup).</w:t>
      </w:r>
    </w:p>
    <w:bookmarkEnd w:id="53"/>
    <w:bookmarkStart w:id="54" w:name="ref-McClure2003"/>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4"/>
    <w:bookmarkStart w:id="55" w:name="ref-McElhany2000"/>
    <w:p>
      <w:pPr>
        <w:pStyle w:val="Bibliography"/>
      </w:pPr>
      <w:r>
        <w:t xml:space="preserve">McElhany, P., M. H. Rucklelshaus, M. J. Ford, T. C. Wainwright, and E. P. Bjorkstedt. 2000. Viable salmonid populations and the recovery of evolutionarily significant units. U.S. Dept. Commer., NOAA Tech. Memo. NMFS-NWFSC-42.</w:t>
      </w:r>
    </w:p>
    <w:bookmarkEnd w:id="55"/>
    <w:bookmarkStart w:id="56" w:name="ref-NMFS2019"/>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National Marine Fisheries Service, NMFS Consultation WCRO-2019-02395.</w:t>
      </w:r>
    </w:p>
    <w:bookmarkEnd w:id="56"/>
    <w:bookmarkStart w:id="57" w:name="ref-Nehlsen1991"/>
    <w:p>
      <w:pPr>
        <w:pStyle w:val="Bibliography"/>
      </w:pPr>
      <w:r>
        <w:t xml:space="preserve">Nehlsen, W., J. E. Williams, and J. A. Lichatowich. 1991. Pacific salmon at the crossroads: Stocks at risk from California, Oregon, Idaho, and Washington. Fisheries 16(2):4–21. Wiley Online Library.</w:t>
      </w:r>
    </w:p>
    <w:bookmarkEnd w:id="57"/>
    <w:bookmarkStart w:id="58" w:name="ref-NWFSC2015"/>
    <w:p>
      <w:pPr>
        <w:pStyle w:val="Bibliography"/>
      </w:pPr>
      <w:r>
        <w:t xml:space="preserve">Northwest Fisheries Science Center. 2015. Status review update for Pacific salmon and steelhead listed under the Endangered Species Act: Pacific Northwest.</w:t>
      </w:r>
    </w:p>
    <w:bookmarkEnd w:id="58"/>
    <w:bookmarkStart w:id="59" w:name="ref-NPCC2014"/>
    <w:p>
      <w:pPr>
        <w:pStyle w:val="Bibliography"/>
      </w:pPr>
      <w:r>
        <w:t xml:space="preserve">NPCC. 2014. Columbia River basin fish and wildlife program. Northwest Power; Conservation Council.</w:t>
      </w:r>
    </w:p>
    <w:bookmarkEnd w:id="59"/>
    <w:bookmarkStart w:id="60" w:name="ref-Ogden2014"/>
    <w:p>
      <w:pPr>
        <w:pStyle w:val="Bibliography"/>
      </w:pPr>
      <w:r>
        <w:t xml:space="preserve">Ogden, D. A. 2014. Operation of the adult trap at Lower Granite Dam 2013. NOAA National Marine Fisheries Service.</w:t>
      </w:r>
    </w:p>
    <w:bookmarkEnd w:id="60"/>
    <w:bookmarkStart w:id="61" w:name="ref-Ogden2016b"/>
    <w:p>
      <w:pPr>
        <w:pStyle w:val="Bibliography"/>
      </w:pPr>
      <w:r>
        <w:t xml:space="preserve">Ogden, D. A. 2016a. Operation of the adult trap at Lower Granite Dam 2015. NOAA National Marine Fisheries Service.</w:t>
      </w:r>
    </w:p>
    <w:bookmarkEnd w:id="61"/>
    <w:bookmarkStart w:id="62" w:name="ref-Ogden2016a"/>
    <w:p>
      <w:pPr>
        <w:pStyle w:val="Bibliography"/>
      </w:pPr>
      <w:r>
        <w:t xml:space="preserve">Ogden, D. A. 2016b. Operation of the adult trap at Lower Granite Dam 2014. NOAA National Marine Fisheries Service.</w:t>
      </w:r>
    </w:p>
    <w:bookmarkEnd w:id="62"/>
    <w:bookmarkStart w:id="63" w:name="ref-Orme2019"/>
    <w:p>
      <w:pPr>
        <w:pStyle w:val="Bibliography"/>
      </w:pPr>
      <w:r>
        <w:t xml:space="preserve">Orme, R., R. Kinzer, and C. Albee. 2019. Population and tributary level escapement estimates of Snake River natural-origin spring/summer Chinook Salmon and steelhead from in-stream PIT tag detection systems - 2019 annual report. Nez Perce Tribe, Department of Fisheries Resources Management, Research Division, Lapwai, ID.</w:t>
      </w:r>
    </w:p>
    <w:bookmarkEnd w:id="63"/>
    <w:bookmarkStart w:id="64" w:name="ref-R-rjags"/>
    <w:p>
      <w:pPr>
        <w:pStyle w:val="Bibliography"/>
      </w:pPr>
      <w:r>
        <w:t xml:space="preserve">Plummer, M. 2019. Rjags: Bayesian graphical models using mcmc.</w:t>
      </w:r>
    </w:p>
    <w:bookmarkEnd w:id="64"/>
    <w:bookmarkStart w:id="65" w:name="ref-R-Core-Team2020"/>
    <w:p>
      <w:pPr>
        <w:pStyle w:val="Bibliography"/>
      </w:pPr>
      <w:r>
        <w:t xml:space="preserve">R Core Team. 2020. R: A Language and Environment for Statistical Computing. R Foundation for Statistical Computing, Vienna, Austria.</w:t>
      </w:r>
    </w:p>
    <w:bookmarkEnd w:id="65"/>
    <w:bookmarkStart w:id="66" w:name="ref-Royle2008"/>
    <w:p>
      <w:pPr>
        <w:pStyle w:val="Bibliography"/>
      </w:pPr>
      <w:r>
        <w:t xml:space="preserve">Royle, J. A., and R. M. Dorazio. 2008. Hierarchical modeling and inference in ecology: The analysis of data from populations, metapopulations and communities. Elsevier.</w:t>
      </w:r>
    </w:p>
    <w:bookmarkEnd w:id="66"/>
    <w:bookmarkStart w:id="67"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67"/>
    <w:bookmarkStart w:id="68" w:name="ref-Seber2002"/>
    <w:p>
      <w:pPr>
        <w:pStyle w:val="Bibliography"/>
      </w:pPr>
      <w:r>
        <w:t xml:space="preserve">Seber, G. A. F. 2002. The estimation of animal abundance and related parameters. Blackburn Press Caldwell, New Jersey.</w:t>
      </w:r>
    </w:p>
    <w:bookmarkEnd w:id="68"/>
    <w:bookmarkStart w:id="69" w:name="ref-Shumway2010"/>
    <w:p>
      <w:pPr>
        <w:pStyle w:val="Bibliography"/>
      </w:pPr>
      <w:r>
        <w:t xml:space="preserve">Shumway, R. H., and D. S. Stoffer. 2010. Time series analysis and its applications: With R examples. Springer.</w:t>
      </w:r>
    </w:p>
    <w:bookmarkEnd w:id="69"/>
    <w:bookmarkStart w:id="70"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 NRC Research Press.</w:t>
      </w:r>
    </w:p>
    <w:bookmarkEnd w:id="70"/>
    <w:bookmarkStart w:id="71" w:name="ref-Steele2019"/>
    <w:p>
      <w:pPr>
        <w:pStyle w:val="Bibliography"/>
      </w:pPr>
      <w:r>
        <w:t xml:space="preserve">Steele, C. A., M. Hess, S. Narum, and M. Campbell. 2019. Parentage-based tagging: Reviewing the implementation of a new tool for an old problem. Fisheries. Wiley Online Library.</w:t>
      </w:r>
    </w:p>
    <w:bookmarkEnd w:id="71"/>
    <w:bookmarkStart w:id="72"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2"/>
    <w:bookmarkStart w:id="73" w:name="ref-USACE2010"/>
    <w:p>
      <w:pPr>
        <w:pStyle w:val="Bibliography"/>
      </w:pPr>
      <w:r>
        <w:t xml:space="preserve">USACE. 2010. Annual fish passage report Columbia and Snake rivers. U.S. Army Corps of Engineers.</w:t>
      </w:r>
    </w:p>
    <w:bookmarkEnd w:id="73"/>
    <w:bookmarkStart w:id="74" w:name="ref-USACE2011"/>
    <w:p>
      <w:pPr>
        <w:pStyle w:val="Bibliography"/>
      </w:pPr>
      <w:r>
        <w:t xml:space="preserve">USACE. 2011. Annual fish passage report Columbia and Snake rivers. U.S. Army Corps of Engineers.</w:t>
      </w:r>
    </w:p>
    <w:bookmarkEnd w:id="74"/>
    <w:bookmarkStart w:id="75" w:name="ref-USACE2012"/>
    <w:p>
      <w:pPr>
        <w:pStyle w:val="Bibliography"/>
      </w:pPr>
      <w:r>
        <w:t xml:space="preserve">USACE. 2012. Annual fish passage report Columbia and Snake rivers. U.S. Army Corps of Engineers.</w:t>
      </w:r>
    </w:p>
    <w:bookmarkEnd w:id="75"/>
    <w:bookmarkStart w:id="76" w:name="ref-USACE2013"/>
    <w:p>
      <w:pPr>
        <w:pStyle w:val="Bibliography"/>
      </w:pPr>
      <w:r>
        <w:t xml:space="preserve">USACE. 2013. Annual fish passage report Columbia and Snake rivers. U.S. Army Corps of Engineers.</w:t>
      </w:r>
    </w:p>
    <w:bookmarkEnd w:id="76"/>
    <w:bookmarkStart w:id="77" w:name="ref-USACE2015"/>
    <w:p>
      <w:pPr>
        <w:pStyle w:val="Bibliography"/>
      </w:pPr>
      <w:r>
        <w:t xml:space="preserve">USACE. 2015. Annual fish passage report Columbia and Snake rivers. U.S. Army Corps of Engineers.</w:t>
      </w:r>
    </w:p>
    <w:bookmarkEnd w:id="77"/>
    <w:bookmarkStart w:id="78" w:name="ref-USACE2016"/>
    <w:p>
      <w:pPr>
        <w:pStyle w:val="Bibliography"/>
      </w:pPr>
      <w:r>
        <w:t xml:space="preserve">USACE. 2016. Annual fish passage report Columbia and Snake rivers. U.S. Army Corps of Engineers.</w:t>
      </w:r>
    </w:p>
    <w:bookmarkEnd w:id="78"/>
    <w:bookmarkStart w:id="79" w:name="ref-USACE2017"/>
    <w:p>
      <w:pPr>
        <w:pStyle w:val="Bibliography"/>
      </w:pPr>
      <w:r>
        <w:t xml:space="preserve">USACE. 2017. Annual fish passage report Columbia and Snake rivers. U.S. Army Corps of Engineers.</w:t>
      </w:r>
    </w:p>
    <w:bookmarkEnd w:id="79"/>
    <w:bookmarkStart w:id="80" w:name="ref-USACE2018"/>
    <w:p>
      <w:pPr>
        <w:pStyle w:val="Bibliography"/>
      </w:pPr>
      <w:r>
        <w:t xml:space="preserve">USACE. 2018. Annual fish passage report Columbia and Snake rivers. U.S. Army Corps of Engineers.</w:t>
      </w:r>
    </w:p>
    <w:bookmarkEnd w:id="80"/>
    <w:bookmarkStart w:id="81" w:name="ref-USACE2019"/>
    <w:p>
      <w:pPr>
        <w:pStyle w:val="Bibliography"/>
      </w:pPr>
      <w:r>
        <w:t xml:space="preserve">USACE. 2019. Annual fish passage report Columbia and Snake rivers. U.S. Army Corps of Engineers.</w:t>
      </w:r>
    </w:p>
    <w:bookmarkEnd w:id="81"/>
    <w:bookmarkStart w:id="82" w:name="ref-Waterhouse2020"/>
    <w:p>
      <w:pPr>
        <w:pStyle w:val="Bibliography"/>
      </w:pPr>
      <w:r>
        <w:t xml:space="preserve">Waterhouse, L., J. White, K. See, A. Murdoch, and B. X. Semmens. 2020. A Bayesian nested patch occupancy model to estimate steelhead movement and abundance. Ecological Applications:e02202. Wiley Online Library.</w:t>
      </w:r>
    </w:p>
    <w:bookmarkEnd w:id="82"/>
    <w:bookmarkStart w:id="83" w:name="ref-Williams2016"/>
    <w:p>
      <w:pPr>
        <w:pStyle w:val="Bibliography"/>
      </w:pPr>
      <w:r>
        <w:t xml:space="preserve">Williams, T. H., B. C. Spence, D. A. Boughton, R. C. Johnson, E. G. R. Crozier, N. J. Mantua, M. R. O’Farrell, and S. T. Lindley. 2016. Viability assessment for Pacific salmon and steelhead listed under the Endangered Species Act: Southwest. U.S. Department of Commerce, NOAA Technical Memorandum NMFS-SWFSC-564.</w:t>
      </w:r>
    </w:p>
    <w:bookmarkEnd w:id="83"/>
    <w:bookmarkStart w:id="84"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84"/>
    <w:bookmarkStart w:id="85" w:name="ref-Zhang2019"/>
    <w:p>
      <w:pPr>
        <w:pStyle w:val="Bibliography"/>
      </w:pPr>
      <w:r>
        <w:t xml:space="preserve">Zhang, X., H.-Y. Li, Z. D. Deng, L. R. Leung, J. R. Skalski, and S. J. Cooke. 2019. On the variable effects of climate change on Pacific salmon. Ecological Modelling 397:95–106. Elsevier.</w:t>
      </w:r>
    </w:p>
    <w:bookmarkEnd w:id="85"/>
    <w:bookmarkEnd w:id="86"/>
    <w:p>
      <w:r>
        <w:br w:type="page"/>
      </w:r>
    </w:p>
    <w:p>
      <w:pPr>
        <w:pStyle w:val="Heading1"/>
      </w:pPr>
      <w:bookmarkStart w:id="87" w:name="tables"/>
      <w:r>
        <w:t xml:space="preserve">Tables</w:t>
      </w:r>
      <w:bookmarkEnd w:id="87"/>
    </w:p>
    <w:p>
      <w:pPr>
        <w:pStyle w:val="TableCaption"/>
      </w:pPr>
      <w:r>
        <w:t xml:space="preserve">Table 1: Summary of simulation scenarios including varying adult trapping, fallback and re-ascension, nighttime passage, and window count error rates used to evaluate the performance of STADEM.</w:t>
      </w:r>
    </w:p>
    <w:tbl>
      <w:tblPr>
        <w:tblStyle w:val="Table"/>
        <w:tblW w:type="pct" w:w="0.0"/>
        <w:tblLook w:firstRow="1"/>
        <w:tblCaption w:val="Table 1: Summary of simulation scenarios including varying adult trapping, fallback and re-ascension, nighttime passage, and window count error rates used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&amp; 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bl>
    <w:p>
      <w:r>
        <w:br w:type="page"/>
      </w:r>
    </w:p>
    <w:p>
      <w:pPr>
        <w:pStyle w:val="TableCaption"/>
      </w:pPr>
      <w:r>
        <w:t xml:space="preserve">Table 2: Summary statistics, including relative bias, mean coefficient of variation (CV), root mean squared error (RMSE) and 95% credible interval coverage for results from each of the twelve simulation scenarios.</w:t>
      </w:r>
    </w:p>
    <w:tbl>
      <w:tblPr>
        <w:tblStyle w:val="Table"/>
        <w:tblW w:type="pct" w:w="0.0"/>
        <w:tblLook w:firstRow="1"/>
        <w:tblCaption w:val="Table 2: Summary statistics, including relative bias, mean coefficient of variation (CV), root mean squared error (RMSE) and 95% credible interval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495</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473</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502</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495</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503</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459</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428</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462</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501</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515</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bl>
    <w:p>
      <w:r>
        <w:br w:type="page"/>
      </w:r>
    </w:p>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27,293 (0.041)</w:t>
            </w:r>
          </w:p>
        </w:tc>
        <w:tc>
          <w:p>
            <w:pPr>
              <w:pStyle w:val="Compact"/>
              <w:jc w:val="left"/>
            </w:pPr>
            <w:r>
              <w:t xml:space="preserve">4,771 (0.045)</w:t>
            </w:r>
          </w:p>
        </w:tc>
        <w:tc>
          <w:p>
            <w:pPr>
              <w:pStyle w:val="Compact"/>
              <w:jc w:val="left"/>
            </w:pPr>
            <w:r>
              <w:t xml:space="preserve">20,578 (0.043)</w:t>
            </w:r>
          </w:p>
        </w:tc>
        <w:tc>
          <w:p>
            <w:pPr>
              <w:pStyle w:val="Compact"/>
              <w:jc w:val="left"/>
            </w:pPr>
            <w:r>
              <w:t xml:space="preserve">1,943 (0.06)</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53,738 (0.036)</w:t>
            </w:r>
          </w:p>
        </w:tc>
        <w:tc>
          <w:p>
            <w:pPr>
              <w:pStyle w:val="Compact"/>
              <w:jc w:val="left"/>
            </w:pPr>
            <w:r>
              <w:t xml:space="preserve">8,639 (0.06)</w:t>
            </w:r>
          </w:p>
        </w:tc>
        <w:tc>
          <w:p>
            <w:pPr>
              <w:pStyle w:val="Compact"/>
              <w:jc w:val="left"/>
            </w:pPr>
            <w:r>
              <w:t xml:space="preserve">41,291 (0.033)</w:t>
            </w:r>
          </w:p>
        </w:tc>
        <w:tc>
          <w:p>
            <w:pPr>
              <w:pStyle w:val="Compact"/>
              <w:jc w:val="left"/>
            </w:pPr>
            <w:r>
              <w:t xml:space="preserve">3,808 (0.088)</w:t>
            </w:r>
          </w:p>
        </w:tc>
      </w:tr>
    </w:tbl>
    <w:p>
      <w:r>
        <w:br w:type="page"/>
      </w:r>
    </w:p>
    <w:p>
      <w:r>
        <w:br w:type="page"/>
      </w:r>
    </w:p>
    <w:p>
      <w:pPr>
        <w:pStyle w:val="Heading1"/>
      </w:pPr>
      <w:bookmarkStart w:id="88" w:name="figures"/>
      <w:r>
        <w:t xml:space="preserve">Figures</w:t>
      </w:r>
      <w:bookmarkEnd w:id="88"/>
    </w:p>
    <w:p>
      <w:pPr>
        <w:pStyle w:val="CaptionedFigure"/>
      </w:pPr>
      <w:r>
        <w:drawing>
          <wp:inline>
            <wp:extent cx="5943600" cy="4953000"/>
            <wp:effectExtent b="0" l="0" r="0" t="0"/>
            <wp:docPr descr="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 title="" id="1" name="Picture"/>
            <a:graphic>
              <a:graphicData uri="http://schemas.openxmlformats.org/drawingml/2006/picture">
                <pic:pic>
                  <pic:nvPicPr>
                    <pic:cNvPr descr="../figures/stadem-examp-fig-1.png" id="0" name="Picture"/>
                    <pic:cNvPicPr>
                      <a:picLocks noChangeArrowheads="1" noChangeAspect="1"/>
                    </pic:cNvPicPr>
                  </pic:nvPicPr>
                  <pic:blipFill>
                    <a:blip r:embed="rId89"/>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w:t>
      </w:r>
    </w:p>
    <w:p>
      <w:r>
        <w:br w:type="page"/>
      </w:r>
    </w:p>
    <w:p>
      <w:pPr>
        <w:pStyle w:val="CaptionedFigure"/>
      </w:pPr>
      <w:r>
        <w:drawing>
          <wp:inline>
            <wp:extent cx="5943600" cy="3962400"/>
            <wp:effectExtent b="0" l="0" r="0" t="0"/>
            <wp:docPr descr="Figure 2: Boxplots of the relative bias of STADEM estimates for wild escapement across various scenarios (See Table 1)." title="" id="1" name="Picture"/>
            <a:graphic>
              <a:graphicData uri="http://schemas.openxmlformats.org/drawingml/2006/picture">
                <pic:pic>
                  <pic:nvPicPr>
                    <pic:cNvPr descr="../figures/rel-bias-lgd-1.png" id="0"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Boxplots of the relative bias of STADEM estimates for wild escapement across various scenarios (See Table 1).</w:t>
      </w:r>
    </w:p>
    <w:p>
      <w:r>
        <w:br w:type="page"/>
      </w:r>
    </w:p>
    <w:p>
      <w:pPr>
        <w:pStyle w:val="CaptionedFigure"/>
      </w:pPr>
      <w:r>
        <w:drawing>
          <wp:inline>
            <wp:extent cx="5943600" cy="3962400"/>
            <wp:effectExtent b="0" l="0" r="0" t="0"/>
            <wp:docPr descr="Figure 3: Time-series plot showing estimates of total escapement for Chinook Salmon in 2014, including window counts, trap estimates and STADEM estimates. The gray ribbon represents the 95% credible intervals for STADEM estimates, while the red ribbon represents the 95% confidence intervals for the trap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91"/>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Salmon in 2014, including window counts, trap estimates and STADEM estimates. The gray ribbon represents the 95% credible intervals for STADEM estimates, while the red ribbon represents the 95% confidence intervals for the trap estimates.</w:t>
      </w:r>
    </w:p>
    <w:p>
      <w:r>
        <w:br w:type="page"/>
      </w:r>
    </w:p>
    <w:p>
      <w:pPr>
        <w:pStyle w:val="CaptionedFigure"/>
      </w:pPr>
      <w:r>
        <w:drawing>
          <wp:inline>
            <wp:extent cx="5943600" cy="4953000"/>
            <wp:effectExtent b="0" l="0" r="0" t="0"/>
            <wp:docPr descr="Figure 4: Nighttime passage rate plotted against re-ascension rate on the logit scale, calculated from observed PIT tags for each week of spawn years 2010-2019.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92"/>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4: Nighttime passage rate plotted against re-ascension rate on the logit scale, calculated from observed PIT tags for each week of spawn years 2010-2019. The size of each point is proportional to the window count that week. The dashed line is the 1-1 line.</w:t>
      </w:r>
    </w:p>
    <w:p>
      <w:r>
        <w:br w:type="page"/>
      </w:r>
    </w:p>
    <w:p>
      <w:pPr>
        <w:pStyle w:val="Heading1"/>
      </w:pPr>
      <w:bookmarkStart w:id="93" w:name="append1"/>
      <w:r>
        <w:t xml:space="preserve">Appendix A - STADEM Model Description</w:t>
      </w:r>
      <w:bookmarkEnd w:id="93"/>
    </w:p>
    <w:p>
      <w:pPr>
        <w:pStyle w:val="Heading2"/>
      </w:pPr>
      <w:bookmarkStart w:id="94" w:name="total-and-weekly-escapement"/>
      <w:r>
        <w:t xml:space="preserve">Total and Weekly Escapement</w:t>
      </w:r>
      <w:bookmarkEnd w:id="94"/>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estimate of the true weekly trap rate is derived based on previously PIT-tagged spring/summer Chinook and steelhead who are crossing LGD that week, using a Lincoln-Peterson mark-recapture model</w:t>
      </w:r>
      <w:r>
        <w:t xml:space="preserve"> </w:t>
      </w:r>
      <w:r>
        <w:t xml:space="preserve">(Seber 2002)</w:t>
      </w:r>
      <w:r>
        <w:t xml:space="preserve">. 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LGD fish ladder that week are considered the second</w:t>
      </w:r>
      <w:r>
        <w:t xml:space="preserve"> </w:t>
      </w:r>
      <w:r>
        <w:t xml:space="preserve">“</w:t>
      </w:r>
      <w:r>
        <w:t xml:space="preserve">capture</w:t>
      </w:r>
      <w:r>
        <w:t xml:space="preserve">”</w:t>
      </w:r>
      <w:r>
        <w:t xml:space="preserve"> </w:t>
      </w:r>
      <w:r>
        <w:t xml:space="preserve">group,</w:t>
      </w:r>
      <w:r>
        <w:t xml:space="preserve"> </w:t>
      </w:r>
      <m:oMath>
        <m:sSub>
          <m:e>
            <m:r>
              <m:t>M</m:t>
            </m:r>
          </m:e>
          <m:sub>
            <m:r>
              <m:t>t</m:t>
            </m:r>
          </m:sub>
        </m:sSub>
      </m:oMath>
      <w:r>
        <w:t xml:space="preserve"> </w:t>
      </w:r>
      <w:r>
        <w:t xml:space="preserve">(which includes recaptures of the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t</m:t>
                    </m:r>
                  </m:sub>
                </m:sSub>
              </m:e>
              <m:e>
                <m:r>
                  <m:t>∼</m:t>
                </m:r>
                <m:r>
                  <m:rPr>
                    <m:nor/>
                    <m:sty m:val="p"/>
                  </m:rPr>
                  <m:t>Bin</m:t>
                </m:r>
                <m:d>
                  <m:dPr>
                    <m:begChr m:val="("/>
                    <m:endChr m:val=")"/>
                    <m:grow/>
                  </m:dPr>
                  <m:e>
                    <m:sSub>
                      <m:e>
                        <m:r>
                          <m:t>ν</m:t>
                        </m:r>
                      </m:e>
                      <m:sub>
                        <m:r>
                          <m:t>t</m:t>
                        </m:r>
                      </m:sub>
                    </m:sSub>
                    <m:r>
                      <m:t>,</m:t>
                    </m:r>
                    <m:sSub>
                      <m:e>
                        <m:r>
                          <m:t>M</m:t>
                        </m:r>
                      </m:e>
                      <m:sub>
                        <m:r>
                          <m:t>t</m:t>
                        </m:r>
                      </m:sub>
                    </m:sSub>
                  </m:e>
                </m:d>
              </m:e>
            </m:mr>
            <m:mr>
              <m:e>
                <m:sSubSup>
                  <m:e>
                    <m:r>
                      <m:t>Y</m:t>
                    </m:r>
                  </m:e>
                  <m:sub>
                    <m:r>
                      <m:t>t</m:t>
                    </m:r>
                  </m:sub>
                  <m:sup>
                    <m:r>
                      <m:t>T</m:t>
                    </m:r>
                  </m:sup>
                </m:sSubSup>
              </m:e>
              <m:e>
                <m:r>
                  <m:t>∼</m:t>
                </m:r>
                <m:r>
                  <m:rPr>
                    <m:no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many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many fish are crossing LGD, estimates based on trap data and trap rates will be more precise, while estimates from the window counts may have more observation error due to densely crowded (and visually obstructed) fish passing the window. For weeks when the trap is down, STADEM relies exclusively on the window counts and nighttime passage data, but there will be more uncertainty in the estimates.</w:t>
      </w:r>
    </w:p>
    <w:p>
      <w:pPr>
        <w:pStyle w:val="Heading2"/>
      </w:pPr>
      <w:bookmarkStart w:id="95" w:name="day-time-passage-and-re-ascension-rates"/>
      <w:r>
        <w:t xml:space="preserve">Day-time Passage and Re-ascension Rates</w:t>
      </w:r>
      <w:bookmarkEnd w:id="95"/>
    </w:p>
    <w:p>
      <w:pPr>
        <w:pStyle w:val="FirstParagraph"/>
      </w:pPr>
      <w:r>
        <w:t xml:space="preserve">There are two other processes that must be accounted for: first, the proportion of fish that cross the dam while the window is closed for counting (nighttime passage rate), and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96" w:name="origin-proportions"/>
      <w:r>
        <w:t xml:space="preserve">Origin Proportions</w:t>
      </w:r>
      <w:bookmarkEnd w:id="96"/>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This allows the proportions of wild, hatchery clipped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Heading2"/>
      </w:pPr>
      <w:bookmarkStart w:id="97" w:name="model-fitting"/>
      <w:r>
        <w:t xml:space="preserve">Model Fitting</w:t>
      </w:r>
      <w:bookmarkEnd w:id="97"/>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uniformative as possible.</w:t>
      </w:r>
    </w:p>
    <w:p>
      <w:r>
        <w:br w:type="page"/>
      </w:r>
    </w:p>
    <w:p>
      <w:pPr>
        <w:pStyle w:val="Heading1"/>
      </w:pPr>
      <w:bookmarkStart w:id="98" w:name="append2"/>
      <w:r>
        <w:t xml:space="preserve">Appendix B - Simulation Details</w:t>
      </w:r>
      <w:bookmarkEnd w:id="98"/>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(pdf)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 pdf.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 For each population</w:t>
      </w:r>
      <w:r>
        <w:t xml:space="preserve"> </w:t>
      </w:r>
      <m:oMath>
        <m:r>
          <m:t>p</m:t>
        </m:r>
      </m:oMath>
      <w:r>
        <w:t xml:space="preserve">,</w:t>
      </w:r>
      <w:r>
        <w:t xml:space="preserve"> </w:t>
      </w:r>
      <m:oMath>
        <m:sSub>
          <m:e>
            <m:r>
              <m:t>ζ</m:t>
            </m:r>
          </m:e>
          <m:sub>
            <m:r>
              <m:t>j</m:t>
            </m:r>
            <m:r>
              <m:t>,</m:t>
            </m:r>
            <m:r>
              <m:t>p</m:t>
            </m:r>
          </m:sub>
        </m:sSub>
      </m:oMath>
      <w:r>
        <w:t xml:space="preserve"> </w:t>
      </w:r>
      <w:r>
        <w:t xml:space="preserve">is drawn from a Bernoulli pdf using the proportion of populations that contain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j</m:t>
                    </m:r>
                    <m:r>
                      <m:t>,</m:t>
                    </m:r>
                    <m:r>
                      <m:t>p</m:t>
                    </m:r>
                  </m:sub>
                </m:sSub>
              </m:e>
              <m:e>
                <m:r>
                  <m:t>∼</m:t>
                </m:r>
                <m:r>
                  <m:rPr>
                    <m:nor/>
                    <m:sty m:val="p"/>
                  </m:rPr>
                  <m:t>Bernoulli</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 pdf 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 pdf 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scr m:val="script"/>
                  </m:rPr>
                  <m:t>N</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d>
                  <m:dPr>
                    <m:begChr m:val="|"/>
                    <m:endChr m:val="|"/>
                    <m:grow/>
                  </m:dPr>
                  <m:e>
                    <m:r>
                      <m:rPr>
                        <m:sty m:val="p"/>
                        <m:scr m:val="script"/>
                      </m:rPr>
                      <m:t>N</m:t>
                    </m:r>
                    <m:r>
                      <m:t>(</m:t>
                    </m:r>
                    <m:sSub>
                      <m:e>
                        <m:r>
                          <m:t>μ</m:t>
                        </m:r>
                      </m:e>
                      <m:sub>
                        <m:r>
                          <m:t>s</m:t>
                        </m:r>
                      </m:sub>
                    </m:sSub>
                    <m:r>
                      <m:t>,</m:t>
                    </m:r>
                    <m:sSubSup>
                      <m:e>
                        <m:r>
                          <m:t>σ</m:t>
                        </m:r>
                      </m:e>
                      <m:sub>
                        <m:r>
                          <m:t>s</m:t>
                        </m:r>
                      </m:sub>
                      <m:sup>
                        <m:r>
                          <m:t>2</m:t>
                        </m:r>
                      </m:sup>
                    </m:sSubSup>
                    <m:r>
                      <m:t>)</m:t>
                    </m:r>
                  </m:e>
                </m:d>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 pdf 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scr m:val="script"/>
                  </m:rPr>
                  <m:t>N</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model different fish behavior and dam operational scenarios, seven additional attributes are randomly assigned to each individual fish. Each attribute is randomly assigned a TRUE/FALSE using a Bernoulli pdf 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 pdf 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sub>
                </m:sSub>
              </m:e>
              <m:e>
                <m:r>
                  <m:t>∼</m:t>
                </m:r>
                <m:r>
                  <m:rPr>
                    <m:no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sub>
                </m:sSub>
              </m:e>
              <m:e>
                <m:r>
                  <m:t>∼</m:t>
                </m:r>
                <m:r>
                  <m:rPr>
                    <m:no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sub>
                </m:sSub>
              </m:e>
              <m:e>
                <m:r>
                  <m:t>∼</m:t>
                </m:r>
                <m:r>
                  <m:rPr>
                    <m:no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99">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p>
      <w:pPr>
        <w:pStyle w:val="BodyText"/>
      </w:pPr>
      <w:r>
        <w:t xml:space="preserve">All code for simulating data and fitting STADEM to that data can be found at</w:t>
      </w:r>
      <w:r>
        <w:t xml:space="preserve"> </w:t>
      </w:r>
      <w:hyperlink r:id="rId34">
        <w:r>
          <w:rPr>
            <w:rStyle w:val="Hyperlink"/>
          </w:rPr>
          <w:t xml:space="preserve">https://www.github.com/KevinSee/ManuscriptSTADEM</w:t>
        </w:r>
      </w:hyperlink>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0" Target="media/rId90.png" /><Relationship Type="http://schemas.openxmlformats.org/officeDocument/2006/relationships/image" Id="rId89" Target="media/rId89.png" /><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2020-09-23T20:16:04Z</dcterms:created>
  <dcterms:modified xsi:type="dcterms:W3CDTF">2020-09-23T20:16:04Z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salmonids passing Lower Granite Dam on the Snake River, by species and origin, are a critical input to assessing the status and trends of various populations, as well as successful management of fisheries in the Snake River basin. Here we describe a state-space model that estimates such escapement past a dam by using window counts, passive integrated transponder (PIT) tag observations and data from an adult fish trap, accounting for issues such as nighttime passage, fallback and re-ascension, potential observation error at the window and uncertainty in the adult trap rate. We tested the approach using a simulation framework that mimicked several levels of observation error, differences between nighttime passage and re-ascension rates and the possibility of the adult trap being closed for some period of time. Our results demonstrate that the model produced unbiased estimates across all tested scenarios. We also applied this model to data from the Lower Granite Dam to produce estimates of wild, clipped hatchery and unclipped hatchery spring-summer run Chinook Salmon and steelhead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23,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