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2.png" ContentType="image/png"/>
  <Override PartName="/word/media/rId80.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04,</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successfully</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that</w:t>
      </w:r>
      <w:r>
        <w:t xml:space="preserve"> </w:t>
      </w:r>
      <w:r>
        <w:t xml:space="preserve">area.</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and</w:t>
      </w:r>
      <w:r>
        <w:t xml:space="preserve"> </w:t>
      </w:r>
      <w:r>
        <w:t xml:space="preserve">found</w:t>
      </w:r>
      <w:r>
        <w:t xml:space="preserve"> </w:t>
      </w:r>
      <w:r>
        <w:t xml:space="preserve">it</w:t>
      </w:r>
      <w:r>
        <w:t xml:space="preserve"> </w:t>
      </w:r>
      <w:r>
        <w:t xml:space="preserve">to</w:t>
      </w:r>
      <w:r>
        <w:t xml:space="preserve"> </w:t>
      </w:r>
      <w:r>
        <w:t xml:space="preserve">produce</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(2017)</w:t>
      </w:r>
      <w:r>
        <w:t xml:space="preserve">)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 Steele et al. 2019)</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2017)</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(2017)</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LGR was genotyped to simplify collaborative logistics and better estimate the proportion of phenotypically wild fish of truly hatchery origin.</w:t>
      </w:r>
      <w:r>
        <w:t xml:space="preserve"> </w:t>
      </w:r>
      <w:r>
        <w:t xml:space="preserve">Camacho et al. (2017)</w:t>
      </w:r>
      <w:r>
        <w:t xml:space="preserve"> </w:t>
      </w:r>
      <w:r>
        <w:t xml:space="preserve">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2017)</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We want to estimate the</w:t>
      </w:r>
      <w:r>
        <w:t xml:space="preserve"> </w:t>
      </w:r>
      <w:r>
        <w:t xml:space="preserve">“</w:t>
      </w:r>
      <w:r>
        <w:t xml:space="preserve">true</w:t>
      </w:r>
      <w:r>
        <w:t xml:space="preserve">”</w:t>
      </w:r>
      <w:r>
        <w:t xml:space="preserve"> </w:t>
      </w:r>
      <w:r>
        <w:t xml:space="preserve">trapping rate because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pPr>
        <w:pStyle w:val="BodyText"/>
      </w:pPr>
      <w:r>
        <w:t xml:space="preserve">The nighttime passage rate was based on the count of tags that migrated through the fish ladder during non-window observation hours and the total number of tags passing the fish ladder, and was estimated on a weekly basis. The re-ascension rate incorporated the count of tags observed passing the upstream most detection sites in the adult fish ladder (i.e., passing the dam) and later detected re-entering the downstream end of the fish ladder at a later time andthe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(Figure</w:t>
      </w:r>
      <w:r>
        <w:t xml:space="preserve"> </w:t>
      </w:r>
      <w:r>
        <w:t xml:space="preserve">4</w:t>
      </w:r>
      <w:r>
        <w:t xml:space="preserve">),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6" w:name="refs"/>
    <w:bookmarkStart w:id="40"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7"/>
    <w:p>
      <w:pPr>
        <w:pStyle w:val="Bibliography"/>
      </w:pPr>
      <w:r>
        <w:t xml:space="preserve">Camacho, C. A., K. K. Wright, J. Powell, W. C. Schrader, T. Copeland, M. W. Ackerman, M. Dobos, M. P. Corsi, and M. R. Campbell. 2017. Wild adult steelhead and Chinook salmon abundance and composition at Lower Granite Dam, spawn years 2009-2016. Idaho Department of Fish and Game, 17-06.</w:t>
      </w:r>
    </w:p>
    <w:bookmarkEnd w:id="42"/>
    <w:bookmarkStart w:id="43"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6"/>
    <w:bookmarkStart w:id="47" w:name="ref-Hargrove2019"/>
    <w:p>
      <w:pPr>
        <w:pStyle w:val="Bibliography"/>
      </w:pPr>
      <w:r>
        <w:t xml:space="preserve">Hargrove, J. S., T. A. Delomas, and M. Davison. 2019. Chinook and steelhead genotyping for genetic stock identification at Lower Granite Dam. Idaho Department of Fish and Game, 19-08.</w:t>
      </w:r>
    </w:p>
    <w:bookmarkEnd w:id="47"/>
    <w:bookmarkStart w:id="48"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8"/>
    <w:bookmarkStart w:id="49"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49"/>
    <w:bookmarkStart w:id="50"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0"/>
    <w:bookmarkStart w:id="51"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1"/>
    <w:bookmarkStart w:id="52" w:name="ref-iptds2020report"/>
    <w:p>
      <w:pPr>
        <w:pStyle w:val="Bibliography"/>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2"/>
    <w:bookmarkStart w:id="53"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3"/>
    <w:bookmarkStart w:id="54" w:name="ref-mcelhany2000viable"/>
    <w:p>
      <w:pPr>
        <w:pStyle w:val="Bibliography"/>
      </w:pPr>
      <w:r>
        <w:t xml:space="preserve">McElhany, P., M. H. Rucklelshaus, M. J. Ford, T. C. Wainwright, and E. P. Bjorkstedt. 2000. Viable salmonid populations and the recovery of evolutionarily significant units.</w:t>
      </w:r>
    </w:p>
    <w:bookmarkEnd w:id="54"/>
    <w:bookmarkStart w:id="55"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5"/>
    <w:bookmarkStart w:id="56"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6"/>
    <w:bookmarkStart w:id="57" w:name="ref-NFSC2015"/>
    <w:p>
      <w:pPr>
        <w:pStyle w:val="Bibliography"/>
      </w:pPr>
      <w:r>
        <w:t xml:space="preserve">Northwest Fisheries Science Center. 2015. Status review update for Pacific salmon and steelhead listed under the Endangered Species Act: Pacific Northwest.</w:t>
      </w:r>
    </w:p>
    <w:bookmarkEnd w:id="57"/>
    <w:bookmarkStart w:id="58" w:name="ref-NPCC2014"/>
    <w:p>
      <w:pPr>
        <w:pStyle w:val="Bibliography"/>
      </w:pPr>
      <w:r>
        <w:t xml:space="preserve">NPCC. 2014. Columbia River basin fish and wildlife program. Northwest Power; Conservation Council.</w:t>
      </w:r>
    </w:p>
    <w:bookmarkEnd w:id="58"/>
    <w:bookmarkStart w:id="59" w:name="ref-Ogden2014"/>
    <w:p>
      <w:pPr>
        <w:pStyle w:val="Bibliography"/>
      </w:pPr>
      <w:r>
        <w:t xml:space="preserve">Ogden, D. A. 2014. Operation of the adult trap at lower granite dam 2013.</w:t>
      </w:r>
    </w:p>
    <w:bookmarkEnd w:id="59"/>
    <w:bookmarkStart w:id="60" w:name="ref-Ogden2016b"/>
    <w:p>
      <w:pPr>
        <w:pStyle w:val="Bibliography"/>
      </w:pPr>
      <w:r>
        <w:t xml:space="preserve">Ogden, D. A. 2016a. Operation of the adult trap at Lower Granite Dam 2015.</w:t>
      </w:r>
    </w:p>
    <w:bookmarkEnd w:id="60"/>
    <w:bookmarkStart w:id="61" w:name="ref-Ogden2016"/>
    <w:p>
      <w:pPr>
        <w:pStyle w:val="Bibliography"/>
      </w:pPr>
      <w:r>
        <w:t xml:space="preserve">Ogden, D. A. 2016b. Operation of the adult trap at Lower Granite Dam 2014.</w:t>
      </w:r>
    </w:p>
    <w:bookmarkEnd w:id="61"/>
    <w:bookmarkStart w:id="62"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2"/>
    <w:bookmarkStart w:id="63" w:name="ref-R-rjags"/>
    <w:p>
      <w:pPr>
        <w:pStyle w:val="Bibliography"/>
      </w:pPr>
      <w:r>
        <w:t xml:space="preserve">Plummer, M. 2019. Rjags: Bayesian graphical models using mcmc.</w:t>
      </w:r>
    </w:p>
    <w:bookmarkEnd w:id="63"/>
    <w:bookmarkStart w:id="64" w:name="ref-R-Core-Team2020"/>
    <w:p>
      <w:pPr>
        <w:pStyle w:val="Bibliography"/>
      </w:pPr>
      <w:r>
        <w:t xml:space="preserve">R Core Team. 2020. R: A Language and Environment for Statistical Computing. R Foundation for Statistical Computing, Vienna, Austria.</w:t>
      </w:r>
    </w:p>
    <w:bookmarkEnd w:id="64"/>
    <w:bookmarkStart w:id="65" w:name="ref-royle2008hierarchical"/>
    <w:p>
      <w:pPr>
        <w:pStyle w:val="Bibliography"/>
      </w:pPr>
      <w:r>
        <w:t xml:space="preserve">Royle, J. A., and R. M. Dorazio. 2008. Hierarchical modeling and inference in ecology: The analysis of data from populations, metapopulations and communities. Elsevier.</w:t>
      </w:r>
    </w:p>
    <w:bookmarkEnd w:id="65"/>
    <w:bookmarkStart w:id="66"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6"/>
    <w:bookmarkStart w:id="67" w:name="ref-Seber2002"/>
    <w:p>
      <w:pPr>
        <w:pStyle w:val="Bibliography"/>
      </w:pPr>
      <w:r>
        <w:t xml:space="preserve">Seber, G. A. F. 2002. The estimation of animal abundance and related parameters. Blackburn Press Caldwell, New Jersey.</w:t>
      </w:r>
    </w:p>
    <w:bookmarkEnd w:id="67"/>
    <w:bookmarkStart w:id="68" w:name="ref-Shumway2010"/>
    <w:p>
      <w:pPr>
        <w:pStyle w:val="Bibliography"/>
      </w:pPr>
      <w:r>
        <w:t xml:space="preserve">Shumway, R. H., and D. S. Stoffer. 2010. Time series analysis and its applications: With R examples. Springer.</w:t>
      </w:r>
    </w:p>
    <w:bookmarkEnd w:id="68"/>
    <w:bookmarkStart w:id="69"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69"/>
    <w:bookmarkStart w:id="70" w:name="ref-Steele2019"/>
    <w:p>
      <w:pPr>
        <w:pStyle w:val="Bibliography"/>
      </w:pPr>
      <w:r>
        <w:t xml:space="preserve">Steele, C. A., M. Hess, S. Narum, and M. Campbell. 2019. Parentage-based tagging: Reviewing the implementation of a new tool for an old problem. Fisheries. Wiley Online Library.</w:t>
      </w:r>
    </w:p>
    <w:bookmarkEnd w:id="70"/>
    <w:bookmarkStart w:id="71"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1"/>
    <w:bookmarkStart w:id="72" w:name="ref-USACE2015"/>
    <w:p>
      <w:pPr>
        <w:pStyle w:val="Bibliography"/>
      </w:pPr>
      <w:r>
        <w:t xml:space="preserve">USACE. 2015. Annual fish passage report Columbia and Snake rivers. U.S. Army Corps of Engineers.</w:t>
      </w:r>
    </w:p>
    <w:bookmarkEnd w:id="72"/>
    <w:bookmarkStart w:id="7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73"/>
    <w:bookmarkStart w:id="7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74"/>
    <w:bookmarkStart w:id="7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75"/>
    <w:bookmarkEnd w:id="76"/>
    <w:p>
      <w:r>
        <w:br w:type="page"/>
      </w:r>
    </w:p>
    <w:p>
      <w:pPr>
        <w:pStyle w:val="Heading1"/>
      </w:pPr>
      <w:bookmarkStart w:id="77" w:name="tables"/>
      <w:r>
        <w:t xml:space="preserve">Tables</w:t>
      </w:r>
      <w:bookmarkEnd w:id="77"/>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78" w:name="figures"/>
      <w:r>
        <w:t xml:space="preserve">Figures</w:t>
      </w:r>
      <w:bookmarkEnd w:id="78"/>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3" w:name="append1"/>
      <w:r>
        <w:t xml:space="preserve">Appendix A - STADEM Model Description</w:t>
      </w:r>
      <w:bookmarkEnd w:id="83"/>
    </w:p>
    <w:p>
      <w:pPr>
        <w:pStyle w:val="Heading2"/>
      </w:pPr>
      <w:bookmarkStart w:id="84" w:name="total-and-weekly-escapement"/>
      <w:r>
        <w:t xml:space="preserve">Total and Weekly Escapement</w:t>
      </w:r>
      <w:bookmarkEnd w:id="84"/>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 capture 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5" w:name="day-time-passage-and-re-ascension-rates"/>
      <w:r>
        <w:t xml:space="preserve">Day-time Passage and Re-ascension Rates</w:t>
      </w:r>
      <w:bookmarkEnd w:id="85"/>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6" w:name="origin-proportions"/>
      <w:r>
        <w:t xml:space="preserve">Origin Proportions</w:t>
      </w:r>
      <w:bookmarkEnd w:id="86"/>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87" w:name="model-fitting"/>
      <w:r>
        <w:t xml:space="preserve">Model Fitting</w:t>
      </w:r>
      <w:bookmarkEnd w:id="87"/>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88" w:name="append2"/>
      <w:r>
        <w:t xml:space="preserve">Appendix B - Simulation Details</w:t>
      </w:r>
      <w:bookmarkEnd w:id="88"/>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ζ</m:t>
            </m:r>
          </m:e>
          <m:sub>
            <m:r>
              <m:t>j</m:t>
            </m:r>
          </m:sub>
        </m:sSub>
      </m:oMath>
      <w:r>
        <w:t xml:space="preserve"> </w:t>
      </w:r>
      <w:r>
        <w:t xml:space="preserve">originates from a Binomial</w:t>
      </w:r>
      <w:r>
        <w:t xml:space="preserve"> </w:t>
      </w:r>
      <m:oMath>
        <m:r>
          <m:rPr>
            <m:sty m:val="p"/>
            <m:scr m:val="script"/>
          </m:rPr>
          <m:t>P</m:t>
        </m:r>
        <m:r>
          <m:rPr>
            <m:sty m:val="p"/>
            <m:scr m:val="script"/>
          </m:rPr>
          <m:t>D</m:t>
        </m:r>
        <m:r>
          <m:rPr>
            <m:sty m:val="p"/>
            <m:scr m:val="script"/>
          </m:rPr>
          <m:t>F</m:t>
        </m:r>
      </m:oMath>
      <w:r>
        <w:t xml:space="preserve"> </w:t>
      </w:r>
      <w:r>
        <w:t xml:space="preserve">with</w:t>
      </w:r>
      <w:r>
        <w:t xml:space="preserve"> </w:t>
      </w:r>
      <m:oMath>
        <m:r>
          <m:t>n</m:t>
        </m:r>
      </m:oMath>
      <w:r>
        <w:t xml:space="preserve"> </w:t>
      </w:r>
      <w:r>
        <w:t xml:space="preserve">populations, 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ζ</m:t>
                        </m:r>
                      </m:e>
                      <m:sub>
                        <m:r>
                          <m:t>j</m:t>
                        </m:r>
                        <m:r>
                          <m:t>,</m:t>
                        </m:r>
                        <m:r>
                          <m:t>p</m:t>
                        </m:r>
                        <m:r>
                          <m:t>=</m:t>
                        </m:r>
                        <m:r>
                          <m:t>1</m:t>
                        </m:r>
                      </m:sub>
                    </m:sSub>
                    <m:r>
                      <m:t>,</m:t>
                    </m:r>
                    <m:r>
                      <m:t>.</m:t>
                    </m:r>
                    <m:r>
                      <m:t>.</m:t>
                    </m:r>
                    <m:r>
                      <m:t>.</m:t>
                    </m:r>
                    <m:r>
                      <m:t>,</m:t>
                    </m:r>
                    <m:sSub>
                      <m:e>
                        <m:r>
                          <m:t>ζ</m:t>
                        </m:r>
                      </m:e>
                      <m:sub>
                        <m:r>
                          <m:t>j</m:t>
                        </m:r>
                        <m:r>
                          <m:t>,</m:t>
                        </m:r>
                        <m:r>
                          <m:t>p</m:t>
                        </m:r>
                        <m:r>
                          <m:t>=</m:t>
                        </m:r>
                        <m:r>
                          <m:t>n</m:t>
                        </m:r>
                      </m:sub>
                    </m:sSub>
                  </m:e>
                </m:d>
              </m:e>
              <m:e>
                <m:r>
                  <m:t>∼</m:t>
                </m:r>
                <m:r>
                  <m:rPr>
                    <m:nor/>
                    <m:sty m:val="p"/>
                  </m:rPr>
                  <m:t>Binomial</m:t>
                </m:r>
                <m:r>
                  <m:t>(</m:t>
                </m:r>
                <m:r>
                  <m:t>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ζ</m:t>
                    </m:r>
                  </m:e>
                  <m:sub>
                    <m:r>
                      <m:t>j</m:t>
                    </m:r>
                    <m:r>
                      <m:t>,</m:t>
                    </m:r>
                    <m:r>
                      <m:t>p</m:t>
                    </m:r>
                    <m:r>
                      <m:t>=</m:t>
                    </m:r>
                    <m:r>
                      <m:t>1</m:t>
                    </m:r>
                  </m:sub>
                </m:sSub>
                <m:r>
                  <m:t>,</m:t>
                </m:r>
                <m:r>
                  <m:t>.</m:t>
                </m:r>
                <m:r>
                  <m:t>.</m:t>
                </m:r>
                <m:r>
                  <m:t>.</m:t>
                </m:r>
                <m:r>
                  <m:t>,</m:t>
                </m:r>
                <m:sSub>
                  <m:e>
                    <m:r>
                      <m:t>ζ</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no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sensitivities of models to different fish behavior and dam operational scenarios, seven additional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9">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2020-09-05T01:07:36Z</dcterms:created>
  <dcterms:modified xsi:type="dcterms:W3CDTF">2020-09-05T01:07:36Z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the number of 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and found it to produce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04,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