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1.png" ContentType="image/png"/>
  <Override PartName="/word/media/rId79.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Mike W. Ackerman</w:t>
      </w:r>
      <w:r>
        <w:rPr>
          <w:vertAlign w:val="superscript"/>
        </w:rPr>
        <w:t xml:space="preserve">1</w:t>
      </w:r>
    </w:p>
    <w:p>
      <w:pPr>
        <w:pStyle w:val="Date"/>
      </w:pPr>
      <w:r>
        <w:t xml:space="preserve">August</w:t>
      </w:r>
      <w:r>
        <w:t xml:space="preserve"> </w:t>
      </w:r>
      <w:r>
        <w:t xml:space="preserve">20,</w:t>
      </w:r>
      <w:r>
        <w:t xml:space="preserve"> </w:t>
      </w:r>
      <w:r>
        <w:t xml:space="preserve">2020</w:t>
      </w:r>
    </w:p>
    <w:p>
      <w:pPr>
        <w:pStyle w:val="Compact"/>
        <w:pStyle w:val="Abstract"/>
      </w:pPr>
      <w:r>
        <w:t xml:space="preserve">This</w:t>
      </w:r>
      <w:r>
        <w:t xml:space="preserve"> </w:t>
      </w:r>
      <w:r>
        <w:t xml:space="preserve">is</w:t>
      </w:r>
      <w:r>
        <w:t xml:space="preserve"> </w:t>
      </w:r>
      <w:r>
        <w:t xml:space="preserve">the</w:t>
      </w:r>
      <w:r>
        <w:t xml:space="preserve"> </w:t>
      </w:r>
      <w:r>
        <w:t xml:space="preserve">abstract</w:t>
      </w:r>
    </w:p>
    <w:p>
      <w:pPr>
        <w:pStyle w:val="FirstParagraph"/>
      </w:pPr>
      <w:r>
        <w:rPr>
          <w:vertAlign w:val="superscript"/>
        </w:rPr>
        <w:t xml:space="preserve">1</w:t>
      </w:r>
      <w:r>
        <w:t xml:space="preserve"> </w:t>
      </w:r>
      <w:r>
        <w:t xml:space="preserve">Biomark, Inc. 705 South 8th St., Boise, Idaho, 83702, USA</w:t>
      </w:r>
      <w:r>
        <w:br w:type="textWrapping"/>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BodyText"/>
      </w:pPr>
      <w:r>
        <w:rPr>
          <w:b/>
        </w:rPr>
        <w:t xml:space="preserve">Possible journals:</w:t>
      </w:r>
    </w:p>
    <w:p>
      <w:pPr>
        <w:pStyle w:val="BodyText"/>
      </w:pPr>
      <w:r>
        <w:t xml:space="preserve">First Choice:</w:t>
      </w:r>
    </w:p>
    <w:p>
      <w:pPr>
        <w:pStyle w:val="Compact"/>
        <w:numPr>
          <w:numId w:val="1001"/>
          <w:ilvl w:val="0"/>
        </w:numPr>
      </w:pPr>
      <w:hyperlink r:id="rId21">
        <w:r>
          <w:rPr>
            <w:rStyle w:val="Hyperlink"/>
            <w:b/>
          </w:rPr>
          <w:t xml:space="preserve">North American Journal of Fisheries Management</w:t>
        </w:r>
      </w:hyperlink>
    </w:p>
    <w:p>
      <w:pPr>
        <w:pStyle w:val="FirstParagraph"/>
      </w:pPr>
      <w:r>
        <w:t xml:space="preserve">Second Choice:</w:t>
      </w:r>
    </w:p>
    <w:p>
      <w:pPr>
        <w:pStyle w:val="Compact"/>
        <w:numPr>
          <w:numId w:val="1002"/>
          <w:ilvl w:val="0"/>
        </w:numPr>
      </w:pPr>
      <w:hyperlink r:id="rId22">
        <w:r>
          <w:rPr>
            <w:rStyle w:val="Hyperlink"/>
          </w:rPr>
          <w:t xml:space="preserve">Transactions of the American Fisheries Society</w:t>
        </w:r>
      </w:hyperlink>
    </w:p>
    <w:p>
      <w:pPr>
        <w:pStyle w:val="FirstParagraph"/>
      </w:pPr>
      <w:r>
        <w:t xml:space="preserve">Others:</w:t>
      </w:r>
    </w:p>
    <w:p>
      <w:pPr>
        <w:numPr>
          <w:numId w:val="1003"/>
          <w:ilvl w:val="0"/>
        </w:numPr>
      </w:pPr>
      <w:hyperlink r:id="rId23">
        <w:r>
          <w:rPr>
            <w:rStyle w:val="Hyperlink"/>
          </w:rPr>
          <w:t xml:space="preserve">Canadian Journal of Fisheries and Aquatic Sciences</w:t>
        </w:r>
      </w:hyperlink>
    </w:p>
    <w:p>
      <w:pPr>
        <w:numPr>
          <w:numId w:val="1003"/>
          <w:ilvl w:val="0"/>
        </w:numPr>
      </w:pPr>
      <w:hyperlink r:id="rId24">
        <w:r>
          <w:rPr>
            <w:rStyle w:val="Hyperlink"/>
          </w:rPr>
          <w:t xml:space="preserve">Fisheries Research</w:t>
        </w:r>
      </w:hyperlink>
    </w:p>
    <w:p>
      <w:pPr>
        <w:numPr>
          <w:numId w:val="1003"/>
          <w:ilvl w:val="0"/>
        </w:numPr>
      </w:pPr>
      <w:hyperlink r:id="rId25">
        <w:r>
          <w:rPr>
            <w:rStyle w:val="Hyperlink"/>
          </w:rPr>
          <w:t xml:space="preserve">Fishery Bulletin</w:t>
        </w:r>
      </w:hyperlink>
    </w:p>
    <w:p>
      <w:pPr>
        <w:numPr>
          <w:numId w:val="1003"/>
          <w:ilvl w:val="0"/>
        </w:numPr>
      </w:pPr>
      <w:hyperlink r:id="rId26">
        <w:r>
          <w:rPr>
            <w:rStyle w:val="Hyperlink"/>
          </w:rPr>
          <w:t xml:space="preserve">Fish and Fisheries</w:t>
        </w:r>
      </w:hyperlink>
    </w:p>
    <w:p>
      <w:pPr>
        <w:pStyle w:val="Heading1"/>
      </w:pPr>
      <w:bookmarkStart w:id="27" w:name="introduction"/>
      <w:r>
        <w:t xml:space="preserve">Introduction</w:t>
      </w:r>
      <w:bookmarkEnd w:id="27"/>
    </w:p>
    <w:p>
      <w:pPr>
        <w:pStyle w:val="FirstParagraph"/>
      </w:pPr>
      <w:r>
        <w:t xml:space="preserve">Fish escapement is the number of adults that survive juvenile and adult rearing, escape harvest and return to their natal habitat to potentially spawn (e.g.</w:t>
      </w:r>
      <w:r>
        <w:t xml:space="preserve"> </w:t>
      </w:r>
      <w:r>
        <w:t xml:space="preserve">Bue et al. (1998)</w:t>
      </w:r>
      <w:r>
        <w:t xml:space="preserve">). For anadromous fishes, escapement is often estimated at a fixed location in a river system prior to fish reaching their spawning area. Escapement estimates facilitate effective fisheries management, and particularly, estimates of escapement for each component group (e.g., stock, population, age, origin [wild, hatchery];</w:t>
      </w:r>
      <w:r>
        <w:t xml:space="preserve"> </w:t>
      </w:r>
      <w:r>
        <w:t xml:space="preserve">Hess et al. (2014)</w:t>
      </w:r>
      <w:r>
        <w:t xml:space="preserve">;</w:t>
      </w:r>
      <w:r>
        <w:t xml:space="preserve"> </w:t>
      </w:r>
      <w:r>
        <w:t xml:space="preserve">Steinhorst et al. (2017)</w:t>
      </w:r>
      <w:r>
        <w:t xml:space="preserve">) provide valuable information that fisheries managers use to achieve sustainable harvest, while protecting small and vulnerable populations. Accurate escapement estimates are increasingly important for depleted populations as they inform viable salmonid metrics</w:t>
      </w:r>
      <w:r>
        <w:t xml:space="preserve"> </w:t>
      </w:r>
      <w:r>
        <w:t xml:space="preserve">(McElhany et al. 2000)</w:t>
      </w:r>
      <w:r>
        <w:t xml:space="preserve">, and facilitate assessments of population viability and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 Oncorhynchus tshawytscha, and steelhead trout, O. mykiss, 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recreational, commercial, cultural and subsistence value both within the Snake River basin as well as in downstream corridors (i.e., Columbia River) and ocean fisheries. The aggregate escapement of Snake River Chinook Salmon and steelhead populations, with the exception of Tucannon River, is measured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 (</w:t>
      </w:r>
      <w:r>
        <w:rPr>
          <w:b/>
        </w:rPr>
        <w:t xml:space="preserve">Snake Basin Harvest Plans?</w:t>
      </w:r>
      <w:r>
        <w:t xml:space="preserve">). Additionally, harvest openings and closures, both upstream in Snake River fisheries and downstream in mainstem Snake and Columbia River fisheries, are predicated on escapements at Lower Granite Dam (</w:t>
      </w:r>
      <w:r>
        <w:rPr>
          <w:b/>
        </w:rPr>
        <w:t xml:space="preserve">could cite US v OR Management Agreement and Snake Basin Harvest Plans?</w:t>
      </w:r>
      <w:r>
        <w:t xml:space="preserve">).</w:t>
      </w:r>
    </w:p>
    <w:p>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located on the side of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(Camacho et al. 2017; Steinhorst et al. 2017)</w:t>
      </w:r>
      <w:r>
        <w:t xml:space="preserve">.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 (</w:t>
      </w:r>
      <w:r>
        <w:rPr>
          <w:b/>
        </w:rPr>
        <w:t xml:space="preserve">citation?</w:t>
      </w:r>
      <w:r>
        <w:t xml:space="preserve">).</w:t>
      </w:r>
    </w:p>
    <w:p>
      <w:pPr>
        <w:pStyle w:val="BodyText"/>
      </w:pPr>
      <w:r>
        <w:t xml:space="preserve">Using window counts, however, as a census of Chinook Salmon and steelhead passing Lower Granite Dam can be problematic as it avoids multiple sources of uncertainty and ignores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only 50 minutes of each hour. Counts are then expanded to provide an estimate for the hour</w:t>
      </w:r>
      <w:r>
        <w:t xml:space="preserve"> </w:t>
      </w:r>
      <w:r>
        <w:t xml:space="preserve">(USACE 2015)</w:t>
      </w:r>
      <w:r>
        <w:t xml:space="preserve">. From November through March, the remainder of the year, video tape fish counting is used and only occurs for 10 hours each day; fish counters then read the video tapes and submit daily fish counts</w:t>
      </w:r>
      <w:r>
        <w:t xml:space="preserve"> </w:t>
      </w:r>
      <w:r>
        <w:t xml:space="preserve">(Hatch et al. 1994)</w:t>
      </w:r>
      <w:r>
        <w:t xml:space="preserve">.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cross the dam multiple times (i.e., re-ascension), and therefore potentially double-counted. Finally, Chinook Salmon and steelhead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w:t>
      </w:r>
      <w:r>
        <w:t xml:space="preserve"> </w:t>
      </w:r>
      <w:r>
        <w:t xml:space="preserve">(Dauble and Mueller 2000)</w:t>
      </w:r>
      <w:r>
        <w:t xml:space="preserve">. Previously, it was assumed that nighttime passage rates and fallback/re-ascension rates cancelled each other out resulting in window counts providing an unbiased estimate of escapement (</w:t>
      </w:r>
      <w:r>
        <w:rPr>
          <w:b/>
        </w:rPr>
        <w:t xml:space="preserve">citation?</w:t>
      </w:r>
      <w:r>
        <w:t xml:space="preserve">)</w:t>
      </w:r>
    </w:p>
    <w:p>
      <w:pPr>
        <w:pStyle w:val="BodyText"/>
      </w:pPr>
      <w:r>
        <w:t xml:space="preserve">In this study, we describe a novel method to estimate aggregate and group escapement which incorporates all sources of known uncertainty, we demonstrate the estimation method is essentially unbiased, thus improving effective conservation and management decision making, and show night-time passage and fallback/re-ascension rates are unequal. 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w:t>
      </w:r>
      <w:r>
        <w:t xml:space="preserve"> </w:t>
      </w:r>
      <w:r>
        <w:t xml:space="preserve">(Royle and Dorazio 2008)</w:t>
      </w:r>
      <w:r>
        <w:t xml:space="preserve">.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8">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The STADEM model combines multiple imperfect sources of data to reduce bias in escapement estimates and provide more reasonable estimates of uncertainty. Additionally, the STADEM model framework can be applied elsewhere to estimate aggregate and group escapement, provided a passage barrier containing multiple counting and observational mechanisms exist, such as, a counting window, an adult trap sampling a portion of the run, and PIT tag antenna infrastructure.</w:t>
      </w:r>
    </w:p>
    <w:p>
      <w:pPr>
        <w:pStyle w:val="Heading1"/>
      </w:pPr>
      <w:bookmarkStart w:id="29" w:name="methods"/>
      <w:r>
        <w:t xml:space="preserve">Methods</w:t>
      </w:r>
      <w:bookmarkEnd w:id="29"/>
    </w:p>
    <w:p>
      <w:pPr>
        <w:pStyle w:val="Heading2"/>
      </w:pPr>
      <w:bookmarkStart w:id="30" w:name="data-requirements"/>
      <w:r>
        <w:t xml:space="preserve">Data Requirements</w:t>
      </w:r>
      <w:bookmarkEnd w:id="30"/>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Below, we describe each of the data sources in more detail as they pertain to Lower Granite Dam; however, similar data could likely be obtained from other fish passage facilities.</w:t>
      </w:r>
    </w:p>
    <w:p>
      <w:pPr>
        <w:pStyle w:val="Heading3"/>
      </w:pPr>
      <w:bookmarkStart w:id="31" w:name="window-counts"/>
      <w:r>
        <w:t xml:space="preserve">Window Counts</w:t>
      </w:r>
      <w:bookmarkEnd w:id="31"/>
    </w:p>
    <w:p>
      <w:pPr>
        <w:pStyle w:val="FirstParagraph"/>
      </w:pPr>
      <w:r>
        <w:t xml:space="preserve">Daily counts of adult Chinook Salmon and steelhead passing an observation window located on the Lower Granite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w:t>
      </w:r>
      <w:r>
        <w:t xml:space="preserve"> </w:t>
      </w:r>
      <w:r>
        <w:t xml:space="preserve">(USACE 2015)</w:t>
      </w:r>
      <w:r>
        <w:t xml:space="preserve">. Window counts were accessed through the Columbia Basin Research Data Access in Real Time (DART) website,</w:t>
      </w:r>
      <w:r>
        <w:t xml:space="preserve"> </w:t>
      </w:r>
      <w:hyperlink r:id="rId32">
        <w:r>
          <w:rPr>
            <w:rStyle w:val="Hyperlink"/>
          </w:rPr>
          <w:t xml:space="preserve">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not applied for nighttime passage or re-ascending fish. Further, there was no estimation of daily or seasonal observation or sampling error.</w:t>
      </w:r>
    </w:p>
    <w:p>
      <w:pPr>
        <w:pStyle w:val="Heading3"/>
      </w:pPr>
      <w:bookmarkStart w:id="33" w:name="adult-fish-trap-data"/>
      <w:r>
        <w:t xml:space="preserve">Adult Fish Trap Data</w:t>
      </w:r>
      <w:bookmarkEnd w:id="33"/>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(2019)</w:t>
      </w:r>
      <w:r>
        <w:t xml:space="preserve">,</w:t>
      </w:r>
      <w:r>
        <w:t xml:space="preserve"> </w:t>
      </w:r>
      <w:r>
        <w:t xml:space="preserve">Steinhorst et al. (2017)</w:t>
      </w:r>
      <w:r>
        <w:t xml:space="preserve">).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etc. All captured fish were anesthetized, identified to species, examined for existing marks/tags, and measured for fork length. Additionally, each fish had scale and genetic tissue samples taken; scale samples were used to estimate age</w:t>
      </w:r>
      <w:r>
        <w:t xml:space="preserve"> </w:t>
      </w:r>
      <w:r>
        <w:t xml:space="preserve">(Wright et al. 2015)</w:t>
      </w:r>
      <w:r>
        <w:t xml:space="preserve">, tissue samples were used to determine sex and for genetic stock identification analysis (e.g.,</w:t>
      </w:r>
      <w:r>
        <w:t xml:space="preserve"> </w:t>
      </w:r>
      <w:r>
        <w:t xml:space="preserve">Hargrove et al. (2019)</w:t>
      </w:r>
      <w:r>
        <w:t xml:space="preserve">). Prior to release, all non-PIT tagged fish with an intact adipose fin (i.e., putatively wild) received a PIT tag. Final determination of wild, hatchery, and hatchery no-clip origins were assigned using a post-hoc analysis of marks, tags, and genetic information. Data from the adult trap were collected and managed by multiple agencies and were made available by the Idaho Department of Fish and Game</w:t>
      </w:r>
      <w:r>
        <w:t xml:space="preserve"> </w:t>
      </w:r>
      <w:r>
        <w:t xml:space="preserve">(Camacho et al. 2019)</w:t>
      </w:r>
      <w:r>
        <w:t xml:space="preserve">.</w:t>
      </w:r>
    </w:p>
    <w:p>
      <w:pPr>
        <w:pStyle w:val="Heading3"/>
      </w:pPr>
      <w:bookmarkStart w:id="34" w:name="pit-tag-data"/>
      <w:r>
        <w:t xml:space="preserve">PIT tag Data</w:t>
      </w:r>
      <w:bookmarkEnd w:id="34"/>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(i.e., outside of window observation hours), and 3) the proportion of fish that ascend the fish ladder multiple times (i.e.,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35">
        <w:r>
          <w:rPr>
            <w:rStyle w:val="Hyperlink"/>
          </w:rPr>
          <w:t xml:space="preserve">http://www.cbr.washington.edu/dart/query/pitadult_obsyr_detail</w:t>
        </w:r>
      </w:hyperlink>
      <w:r>
        <w:t xml:space="preserve">.</w:t>
      </w:r>
    </w:p>
    <w:p>
      <w:pPr>
        <w:pStyle w:val="BodyText"/>
      </w:pPr>
      <w:r>
        <w:t xml:space="preserve">A trap rate estimate was derived using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Using a mark-recapture model with differing capture probabilities, we estimated the trap rate on a weekly basis. Those estimates, with associated uncertainties, were then incorporated into the model as informed priors, while the model estimated the true trap rate based on all the data, including trap and window counts.</w:t>
      </w:r>
      <w:r>
        <w:t xml:space="preserve"> </w:t>
      </w:r>
    </w:p>
    <w:p>
      <w:pPr>
        <w:pStyle w:val="BodyText"/>
      </w:pPr>
      <w:r>
        <w:t xml:space="preserve">The nighttime passage rate was estimated as the count of tags that migrated through the fish ladder during non-window observation hours divided by the total number of tags passing the fish ladder, and was calculated on a weekly basis. The re-ascension rate was the count of tags observed passing the upstream most detection sites in the adult fish ladder (i.e., passing the dam) and later detected re-entering the downstream end of the fish ladder at a later time divided by 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6" w:name="model-framework"/>
      <w:r>
        <w:t xml:space="preserve">Model Framework</w:t>
      </w:r>
      <w:bookmarkEnd w:id="36"/>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8">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7" w:name="simulations"/>
      <w:r>
        <w:t xml:space="preserve">Simulations</w:t>
      </w:r>
      <w:bookmarkEnd w:id="37"/>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8" w:name="lower-granite-application"/>
      <w:r>
        <w:t xml:space="preserve">Lower Granite Application</w:t>
      </w:r>
      <w:bookmarkEnd w:id="38"/>
    </w:p>
    <w:p>
      <w:pPr>
        <w:pStyle w:val="FirstParagraph"/>
      </w:pPr>
      <w:r>
        <w:t xml:space="preserve">Finally, we applied STADEM to data from Lower Granite Dam for Chinook Salmon and steelhead returning to the Snake River to spawn for the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9">
        <w:r>
          <w:rPr>
            <w:rStyle w:val="Hyperlink"/>
          </w:rPr>
          <w:t xml:space="preserve">https://www.ptagis.org/</w:t>
        </w:r>
      </w:hyperlink>
      <w:r>
        <w:t xml:space="preserve">).</w:t>
      </w:r>
    </w:p>
    <w:p>
      <w:pPr>
        <w:pStyle w:val="Heading1"/>
      </w:pPr>
      <w:bookmarkStart w:id="40" w:name="results"/>
      <w:r>
        <w:t xml:space="preserve">Results</w:t>
      </w:r>
      <w:bookmarkEnd w:id="40"/>
    </w:p>
    <w:p>
      <w:pPr>
        <w:pStyle w:val="Heading2"/>
      </w:pPr>
      <w:bookmarkStart w:id="41" w:name="simulations-1"/>
      <w:r>
        <w:t xml:space="preserve">Simulations</w:t>
      </w:r>
      <w:bookmarkEnd w:id="41"/>
    </w:p>
    <w:p>
      <w:pPr>
        <w:pStyle w:val="FirstParagraph"/>
      </w:pPr>
      <w:r>
        <w:t xml:space="preserve">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42" w:name="lower-granite-application-1"/>
      <w:r>
        <w:t xml:space="preserve">Lower Granite Application</w:t>
      </w:r>
      <w:bookmarkEnd w:id="42"/>
    </w:p>
    <w:p>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w:t>
      </w:r>
      <w:r>
        <w:t xml:space="preserve"> </w:t>
      </w:r>
      <w:r>
        <w:t xml:space="preserve">3</w:t>
      </w:r>
      <w:r>
        <w:t xml:space="preserve">. Coefficients of variation ranged from 2.7-24.8% for wild fish, 2.2-10.5% for hatchery fish, 3.6-11% for hatchery no-clip fish and 2.1-10.4% for total unique fish past Lower Granite Dam.</w:t>
      </w:r>
    </w:p>
    <w:p>
      <w:pPr>
        <w:pStyle w:val="BodyText"/>
      </w:pPr>
      <w:r>
        <w:t xml:space="preserve">Weekly estimates of total escapement over Lower Granite Dam tracked the window counts and trap estimates (Figure</w:t>
      </w:r>
      <w:r>
        <w:t xml:space="preserve"> </w:t>
      </w:r>
      <w:r>
        <w:t xml:space="preserve">3</w:t>
      </w:r>
      <w:r>
        <w:t xml:space="preserve">).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the two rates did not match up (Figure</w:t>
      </w:r>
      <w:r>
        <w:t xml:space="preserve"> </w:t>
      </w:r>
      <w:r>
        <w:t xml:space="preserve">4</w:t>
      </w:r>
      <w:r>
        <w:t xml:space="preserve">). In particular, there are several weeks when the window counts are quite high, and the rates differ by as much as 10%. Clearly, those two biological processes do not cancel each other out, and thus, employing a model that accounts for both will result in more accurate estimates of escapement.</w:t>
      </w:r>
    </w:p>
    <w:p>
      <w:pPr>
        <w:pStyle w:val="Heading1"/>
      </w:pPr>
      <w:bookmarkStart w:id="43" w:name="discussion"/>
      <w:r>
        <w:t xml:space="preserve">Discussion</w:t>
      </w:r>
      <w:bookmarkEnd w:id="43"/>
    </w:p>
    <w:p>
      <w:pPr>
        <w:pStyle w:val="FirstParagraph"/>
      </w:pPr>
      <w:r>
        <w:t xml:space="preserve">We have presented a novel method for estimating adult salmonid escapement past a large hydroelectric facility (e.g., Lower Granite Dam) that incorporates data from window counts,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modelling framework and the STADEM package could be applied to similar migratory species at Lower Granite Dam (e.g., fall Chinook Salmon, Pacific lamprey, Lampetra tridentata), or elsewhere; provided a fish passage barrier with a counting mechanism, a trap that can be used to sample a portion of the run, and a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tissues samples (</w:t>
      </w:r>
      <w:r>
        <w:rPr>
          <w:i/>
          <w:b/>
        </w:rPr>
        <w:t xml:space="preserve">Steele et al. 2013</w:t>
      </w:r>
      <w:r>
        <w:t xml:space="preserve">) 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made available frequently,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spawning areas</w:t>
      </w:r>
      <w:r>
        <w:t xml:space="preserve"> </w:t>
      </w:r>
      <w:r>
        <w:t xml:space="preserve">(Kinzer et al. 2020a, 2020b)</w:t>
      </w:r>
      <w:r>
        <w:t xml:space="preserve">. Estimates of escapement at Lower Granite Dam, by species and origin, including known uncertainty, are available to further parse into sex- or age-structured escapement estimates (e.g.,</w:t>
      </w:r>
      <w:r>
        <w:t xml:space="preserve"> </w:t>
      </w:r>
      <w:r>
        <w:t xml:space="preserve">Camacho et al. (2017)</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that, joined with sex and age data collected at the adult fish trap</w:t>
      </w:r>
      <w:r>
        <w:t xml:space="preserve"> </w:t>
      </w:r>
      <w:r>
        <w:t xml:space="preserve">(Hargrove et al. 2019)</w:t>
      </w:r>
      <w:r>
        <w:t xml:space="preserve">,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44" w:name="acknowledgements"/>
      <w:r>
        <w:t xml:space="preserve">Acknowledgements</w:t>
      </w:r>
      <w:bookmarkEnd w:id="44"/>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the staff at the Eagle Fish Lab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45" w:name="references"/>
      <w:r>
        <w:t xml:space="preserve">References</w:t>
      </w:r>
      <w:bookmarkEnd w:id="45"/>
    </w:p>
    <w:bookmarkStart w:id="75" w:name="refs"/>
    <w:bookmarkStart w:id="46" w:name="ref-Boggs2004"/>
    <w:p>
      <w:pPr>
        <w:pStyle w:val="FirstParagraph"/>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6"/>
    <w:bookmarkStart w:id="47" w:name="ref-Bue1998"/>
    <w:p>
      <w:pPr>
        <w:pStyle w:val="BodyText"/>
      </w:pPr>
      <w:r>
        <w:t xml:space="preserve">Bue, B., S. Fried, S. Sharr, D. Sharp, J. Wilcock, and H. Geiger. 1998. Estimating salmon escapement using area-under-the-curve, aerial observer efficiency, and stream-life estimates: The prince william sound pink salmon example. North Pacific Anadromous Fish Commission Bulletin 1:240–250.</w:t>
      </w:r>
    </w:p>
    <w:bookmarkEnd w:id="47"/>
    <w:bookmarkStart w:id="48" w:name="ref-Camacho2019"/>
    <w:p>
      <w:pPr>
        <w:pStyle w:val="BodyText"/>
      </w:pPr>
      <w:r>
        <w:t xml:space="preserve">Camacho, C. A., T. Delomas, M. Davison, M. E. Dobos, W. C. Schrader, M. R. Campbell, and T. Copeland. 2019. Wild juvenile steelhead and Chinook Salmon abundance and composition at Lower Granite Dam, migratory year 2018. Idaho Department of Fish and Game, 19-12.</w:t>
      </w:r>
    </w:p>
    <w:bookmarkEnd w:id="48"/>
    <w:bookmarkStart w:id="49" w:name="ref-Camacho2017"/>
    <w:p>
      <w:pPr>
        <w:pStyle w:val="BodyText"/>
      </w:pPr>
      <w:r>
        <w:t xml:space="preserve">Camacho, C., K. Wright, J. Powell, W. C. Schrader, T. Copeland, M. Ackerman, M. Dobos, M. Corsi, and M. R. Campbell. 2017. Wild adult steelhead and Chinook salmon abundance and composition at Lower Granite Dam, spawn years 2009-2016. Idaho Department of Fish and Game, 17-06.</w:t>
      </w:r>
    </w:p>
    <w:bookmarkEnd w:id="49"/>
    <w:bookmarkStart w:id="50" w:name="ref-crozier2019climate"/>
    <w:p>
      <w:pPr>
        <w:pStyle w:val="BodyText"/>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50"/>
    <w:bookmarkStart w:id="51" w:name="ref-Dauble2000"/>
    <w:p>
      <w:pPr>
        <w:pStyle w:val="BodyText"/>
      </w:pPr>
      <w:r>
        <w:t xml:space="preserve">Dauble, D. D., and R. P. Mueller. 2000. Upstream passage monitoring: Difficulties in estimating survival for adult chinook salmon in the columbia and snake rivers. Fisheries 25(8):24–34. Taylor &amp; Francis.</w:t>
      </w:r>
    </w:p>
    <w:bookmarkEnd w:id="51"/>
    <w:bookmarkStart w:id="52" w:name="ref-nwfsc2015"/>
    <w:p>
      <w:pPr>
        <w:pStyle w:val="BodyText"/>
      </w:pPr>
      <w:r>
        <w:t xml:space="preserve">Ford, M., K. Barnas, T. Cooney, L. Crozier, M. Diaz, J.J. Hard, E. Holmes, D. Holzer, R. Kope, P. Lawson, M. Liermann, J. Myers, M. Rowse, D. Teel, D. V. Doornik, T. Wainwright, L. Weitkamp, and M. Williams. 2015. Status review update for pacific salmon and steelhead listed under the endangered species act: Pacific northwest. National Marine Fisheries Service, Northwest Fisheries Science Center.</w:t>
      </w:r>
    </w:p>
    <w:bookmarkEnd w:id="52"/>
    <w:bookmarkStart w:id="53" w:name="ref-Hargrove2019"/>
    <w:p>
      <w:pPr>
        <w:pStyle w:val="BodyText"/>
      </w:pPr>
      <w:r>
        <w:t xml:space="preserve">Hargrove, J. S., T. A. Delomas, and M. Davison. 2019. Chinook and steelhead genotyping for genetic stock identification at Lower Granite Dam. Idaho Department of Fish and Game, 19-08.</w:t>
      </w:r>
    </w:p>
    <w:bookmarkEnd w:id="53"/>
    <w:bookmarkStart w:id="54" w:name="ref-Hatch1994"/>
    <w:p>
      <w:pPr>
        <w:pStyle w:val="BodyText"/>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54"/>
    <w:bookmarkStart w:id="55" w:name="ref-hess2014monitoring"/>
    <w:p>
      <w:pPr>
        <w:pStyle w:val="BodyText"/>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55"/>
    <w:bookmarkStart w:id="56" w:name="ref-kinzer2020report"/>
    <w:p>
      <w:pPr>
        <w:pStyle w:val="BodyText"/>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6"/>
    <w:bookmarkStart w:id="57" w:name="ref-iptds2020report"/>
    <w:p>
      <w:pPr>
        <w:pStyle w:val="BodyText"/>
      </w:pPr>
      <w:r>
        <w:t xml:space="preserve">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bookmarkEnd w:id="57"/>
    <w:bookmarkStart w:id="58" w:name="ref-mcclure2003large"/>
    <w:p>
      <w:pPr>
        <w:pStyle w:val="BodyText"/>
      </w:pPr>
      <w:r>
        <w:t xml:space="preserve">McClure, M. M., E. E. Holmes, B. L. Sanderson, and C. E. Jordan. 2003. A large-scale, multispecies status assessment: Anadromous salmonids in the columbia river basin. Ecological Applications 13(4):964–989. Wiley Online Library.</w:t>
      </w:r>
    </w:p>
    <w:bookmarkEnd w:id="58"/>
    <w:bookmarkStart w:id="59" w:name="ref-mcelhany2000viable"/>
    <w:p>
      <w:pPr>
        <w:pStyle w:val="BodyText"/>
      </w:pPr>
      <w:r>
        <w:t xml:space="preserve">McElhany, P., M. H. Rucklelshaus, M. J. Ford, T. C. Wainwright, and E. P. Bjorkstedt. 2000. Viable salmonid populations and the recovery of evolutionarily significant units.</w:t>
      </w:r>
    </w:p>
    <w:bookmarkEnd w:id="59"/>
    <w:bookmarkStart w:id="60" w:name="ref-nehlsen1991pacific"/>
    <w:p>
      <w:pPr>
        <w:pStyle w:val="BodyText"/>
      </w:pPr>
      <w:r>
        <w:t xml:space="preserve">Nehlsen, W., J. E. Williams, and J. A. Lichatowich. 1991. Pacific salmon at the crossroads: Stocks at risk from california, oregon, idaho, and washington. Fisheries 16(2):4–21. Wiley Online Library.</w:t>
      </w:r>
    </w:p>
    <w:bookmarkEnd w:id="60"/>
    <w:bookmarkStart w:id="61" w:name="ref-Ogden2014"/>
    <w:p>
      <w:pPr>
        <w:pStyle w:val="BodyText"/>
      </w:pPr>
      <w:r>
        <w:t xml:space="preserve">Ogden, D. A. 2014. Operation of the adult trap at lower granite dam 2013.</w:t>
      </w:r>
    </w:p>
    <w:bookmarkEnd w:id="61"/>
    <w:bookmarkStart w:id="62" w:name="ref-Ogden2016b"/>
    <w:p>
      <w:pPr>
        <w:pStyle w:val="BodyText"/>
      </w:pPr>
      <w:r>
        <w:t xml:space="preserve">Ogden, D. A. 2016a. Operation of the adult trap at Lower Granite Dam 2015.</w:t>
      </w:r>
    </w:p>
    <w:bookmarkEnd w:id="62"/>
    <w:bookmarkStart w:id="63" w:name="ref-Ogden2016"/>
    <w:p>
      <w:pPr>
        <w:pStyle w:val="BodyText"/>
      </w:pPr>
      <w:r>
        <w:t xml:space="preserve">Ogden, D. A. 2016b. Operation of the adult trap at Lower Granite Dam 2014.</w:t>
      </w:r>
    </w:p>
    <w:bookmarkEnd w:id="63"/>
    <w:bookmarkStart w:id="64" w:name="ref-orme2018population"/>
    <w:p>
      <w:pPr>
        <w:pStyle w:val="BodyText"/>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4"/>
    <w:bookmarkStart w:id="65" w:name="ref-R-rjags"/>
    <w:p>
      <w:pPr>
        <w:pStyle w:val="BodyText"/>
      </w:pPr>
      <w:r>
        <w:t xml:space="preserve">Plummer, M. 2019. Rjags: Bayesian graphical models using mcmc.</w:t>
      </w:r>
    </w:p>
    <w:bookmarkEnd w:id="65"/>
    <w:bookmarkStart w:id="66" w:name="ref-R-Core-Team2020"/>
    <w:p>
      <w:pPr>
        <w:pStyle w:val="BodyText"/>
      </w:pPr>
      <w:r>
        <w:t xml:space="preserve">R Core Team. 2020. R: A Language and Environment for Statistical Computing. R Foundation for Statistical Computing, Vienna, Austria.</w:t>
      </w:r>
    </w:p>
    <w:bookmarkEnd w:id="66"/>
    <w:bookmarkStart w:id="67" w:name="ref-royle2008hierarchical"/>
    <w:p>
      <w:pPr>
        <w:pStyle w:val="BodyText"/>
      </w:pPr>
      <w:r>
        <w:t xml:space="preserve">Royle, J. A., and R. M. Dorazio. 2008. Hierarchical modeling and inference in ecology: The analysis of data from populations, metapopulations and communities. Elsevier.</w:t>
      </w:r>
    </w:p>
    <w:bookmarkEnd w:id="67"/>
    <w:bookmarkStart w:id="68" w:name="ref-Schrader2013"/>
    <w:p>
      <w:pPr>
        <w:pStyle w:val="BodyText"/>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8"/>
    <w:bookmarkStart w:id="69" w:name="ref-Shumway2010"/>
    <w:p>
      <w:pPr>
        <w:pStyle w:val="BodyText"/>
      </w:pPr>
      <w:r>
        <w:t xml:space="preserve">Shumway, R. H., and D. S. Stoffer. 2010. Time series analysis and its applications: With R examples. Springer.</w:t>
      </w:r>
    </w:p>
    <w:bookmarkEnd w:id="69"/>
    <w:bookmarkStart w:id="70" w:name="ref-Steinhorst2017"/>
    <w:p>
      <w:pPr>
        <w:pStyle w:val="BodyText"/>
      </w:pPr>
      <w:r>
        <w:t xml:space="preserve">Steinhorst, K., T. Copeland, M. W. Ackerman, W. C. Schrader, and E. C. Anderson. 2017. Abundance estimates and confidence intervals for the run composition of returning salmonids. Fishery Bulletin 115(1):1–12.</w:t>
      </w:r>
    </w:p>
    <w:bookmarkEnd w:id="70"/>
    <w:bookmarkStart w:id="71" w:name="ref-USACE2015"/>
    <w:p>
      <w:pPr>
        <w:pStyle w:val="BodyText"/>
      </w:pPr>
      <w:r>
        <w:t xml:space="preserve">USACE. 2015. Annual fish passage report Columbia and Snake rivers. U.S. Army Corps of Engineers.</w:t>
      </w:r>
    </w:p>
    <w:bookmarkEnd w:id="71"/>
    <w:bookmarkStart w:id="72" w:name="ref-waterhouse2020bayesian"/>
    <w:p>
      <w:pPr>
        <w:pStyle w:val="BodyText"/>
      </w:pPr>
      <w:r>
        <w:t xml:space="preserve">Waterhouse, L., J. White, K. See, A. Murdoch, and B. X. Semmens. 2020. A bayesian nested patch occupancy model to estimate steelhead movement and abundance. Ecological Applications:e02202. Wiley Online Library.</w:t>
      </w:r>
    </w:p>
    <w:bookmarkEnd w:id="72"/>
    <w:bookmarkStart w:id="73" w:name="ref-williams2016viability"/>
    <w:p>
      <w:pPr>
        <w:pStyle w:val="BodyText"/>
      </w:pPr>
      <w:r>
        <w:t xml:space="preserve">Williams, T. H., B. C. Spence, D. A. Boughton, R. C. Johnson, E. G. R. Crozier, N. J. Mantua, M. R. O’Farrell, and S. T. Lindley. 2016. Viability assessment for pacific salmon and steelhead listed under the endangered species act: Southwest.</w:t>
      </w:r>
    </w:p>
    <w:bookmarkEnd w:id="73"/>
    <w:bookmarkStart w:id="74" w:name="ref-Wright2015"/>
    <w:p>
      <w:pPr>
        <w:pStyle w:val="BodyText"/>
      </w:pPr>
      <w:r>
        <w:t xml:space="preserve">Wright, K. K., W. C. Schrader, L. Reinhardt, K. Hernandez, C. Hohman, and T. Copeland. 2015. Process and methods for assigning ages to anadromous salmonids from scale samples. Idaho Department of Fish; Game, 15-03.</w:t>
      </w:r>
    </w:p>
    <w:bookmarkEnd w:id="74"/>
    <w:bookmarkEnd w:id="75"/>
    <w:p>
      <w:r>
        <w:br w:type="page"/>
      </w:r>
    </w:p>
    <w:p>
      <w:pPr>
        <w:pStyle w:val="Heading1"/>
      </w:pPr>
      <w:bookmarkStart w:id="76" w:name="tables"/>
      <w:r>
        <w:t xml:space="preserve">Tables</w:t>
      </w:r>
      <w:bookmarkEnd w:id="76"/>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133,706 (0.046)</w:t>
            </w:r>
          </w:p>
        </w:tc>
        <w:tc>
          <w:p>
            <w:pPr>
              <w:pStyle w:val="Compact"/>
              <w:jc w:val="left"/>
            </w:pPr>
            <w:r>
              <w:t xml:space="preserve">26,994 (0.053)</w:t>
            </w:r>
          </w:p>
        </w:tc>
        <w:tc>
          <w:p>
            <w:pPr>
              <w:pStyle w:val="Compact"/>
              <w:jc w:val="left"/>
            </w:pPr>
            <w:r>
              <w:t xml:space="preserve">99,609 (0.047)</w:t>
            </w:r>
          </w:p>
        </w:tc>
        <w:tc>
          <w:p>
            <w:pPr>
              <w:pStyle w:val="Compact"/>
              <w:jc w:val="left"/>
            </w:pPr>
            <w:r>
              <w:t xml:space="preserve">7,103 (0.079)</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123,610 (0.021)</w:t>
            </w:r>
          </w:p>
        </w:tc>
        <w:tc>
          <w:p>
            <w:pPr>
              <w:pStyle w:val="Compact"/>
              <w:jc w:val="left"/>
            </w:pPr>
            <w:r>
              <w:t xml:space="preserve">24,692 (0.027)</w:t>
            </w:r>
          </w:p>
        </w:tc>
        <w:tc>
          <w:p>
            <w:pPr>
              <w:pStyle w:val="Compact"/>
              <w:jc w:val="left"/>
            </w:pPr>
            <w:r>
              <w:t xml:space="preserve">93,845 (0.022)</w:t>
            </w:r>
          </w:p>
        </w:tc>
        <w:tc>
          <w:p>
            <w:pPr>
              <w:pStyle w:val="Compact"/>
              <w:jc w:val="left"/>
            </w:pPr>
            <w:r>
              <w:t xml:space="preserve">5,072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83,875 (0.052)</w:t>
            </w:r>
          </w:p>
        </w:tc>
        <w:tc>
          <w:p>
            <w:pPr>
              <w:pStyle w:val="Compact"/>
              <w:jc w:val="left"/>
            </w:pPr>
            <w:r>
              <w:t xml:space="preserve">21,424 (0.048)</w:t>
            </w:r>
          </w:p>
        </w:tc>
        <w:tc>
          <w:p>
            <w:pPr>
              <w:pStyle w:val="Compact"/>
              <w:jc w:val="left"/>
            </w:pPr>
            <w:r>
              <w:t xml:space="preserve">57,929 (0.056)</w:t>
            </w:r>
          </w:p>
        </w:tc>
        <w:tc>
          <w:p>
            <w:pPr>
              <w:pStyle w:val="Compact"/>
              <w:jc w:val="left"/>
            </w:pPr>
            <w:r>
              <w:t xml:space="preserve">4,522 (0.069)</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69,500 (0.023)</w:t>
            </w:r>
          </w:p>
        </w:tc>
        <w:tc>
          <w:p>
            <w:pPr>
              <w:pStyle w:val="Compact"/>
              <w:jc w:val="left"/>
            </w:pPr>
            <w:r>
              <w:t xml:space="preserve">19,086 (0.033)</w:t>
            </w:r>
          </w:p>
        </w:tc>
        <w:tc>
          <w:p>
            <w:pPr>
              <w:pStyle w:val="Compact"/>
              <w:jc w:val="left"/>
            </w:pPr>
            <w:r>
              <w:t xml:space="preserve">44,159 (0.027)</w:t>
            </w:r>
          </w:p>
        </w:tc>
        <w:tc>
          <w:p>
            <w:pPr>
              <w:pStyle w:val="Compact"/>
              <w:jc w:val="left"/>
            </w:pPr>
            <w:r>
              <w:t xml:space="preserve">6,255 (0.048)</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106,741 (0.034)</w:t>
            </w:r>
          </w:p>
        </w:tc>
        <w:tc>
          <w:p>
            <w:pPr>
              <w:pStyle w:val="Compact"/>
              <w:jc w:val="left"/>
            </w:pPr>
            <w:r>
              <w:t xml:space="preserve">28,468 (0.037)</w:t>
            </w:r>
          </w:p>
        </w:tc>
        <w:tc>
          <w:p>
            <w:pPr>
              <w:pStyle w:val="Compact"/>
              <w:jc w:val="left"/>
            </w:pPr>
            <w:r>
              <w:t xml:space="preserve">68,895 (0.038)</w:t>
            </w:r>
          </w:p>
        </w:tc>
        <w:tc>
          <w:p>
            <w:pPr>
              <w:pStyle w:val="Compact"/>
              <w:jc w:val="left"/>
            </w:pPr>
            <w:r>
              <w:t xml:space="preserve">9,377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133,330 (0.03)</w:t>
            </w:r>
          </w:p>
        </w:tc>
        <w:tc>
          <w:p>
            <w:pPr>
              <w:pStyle w:val="Compact"/>
              <w:jc w:val="left"/>
            </w:pPr>
            <w:r>
              <w:t xml:space="preserve">23,887 (0.044)</w:t>
            </w:r>
          </w:p>
        </w:tc>
        <w:tc>
          <w:p>
            <w:pPr>
              <w:pStyle w:val="Compact"/>
              <w:jc w:val="left"/>
            </w:pPr>
            <w:r>
              <w:t xml:space="preserve">98,902 (0.033)</w:t>
            </w:r>
          </w:p>
        </w:tc>
        <w:tc>
          <w:p>
            <w:pPr>
              <w:pStyle w:val="Compact"/>
              <w:jc w:val="left"/>
            </w:pPr>
            <w:r>
              <w:t xml:space="preserve">10,540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84,810 (0.031)</w:t>
            </w:r>
          </w:p>
        </w:tc>
        <w:tc>
          <w:p>
            <w:pPr>
              <w:pStyle w:val="Compact"/>
              <w:jc w:val="left"/>
            </w:pPr>
            <w:r>
              <w:t xml:space="preserve">17,300 (0.031)</w:t>
            </w:r>
          </w:p>
        </w:tc>
        <w:tc>
          <w:p>
            <w:pPr>
              <w:pStyle w:val="Compact"/>
              <w:jc w:val="left"/>
            </w:pPr>
            <w:r>
              <w:t xml:space="preserve">59,471 (0.034)</w:t>
            </w:r>
          </w:p>
        </w:tc>
        <w:tc>
          <w:p>
            <w:pPr>
              <w:pStyle w:val="Compact"/>
              <w:jc w:val="left"/>
            </w:pPr>
            <w:r>
              <w:t xml:space="preserve">8,039 (0.036)</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43,151 (0.039)</w:t>
            </w:r>
          </w:p>
        </w:tc>
        <w:tc>
          <w:p>
            <w:pPr>
              <w:pStyle w:val="Compact"/>
              <w:jc w:val="left"/>
            </w:pPr>
            <w:r>
              <w:t xml:space="preserve">5,162 (0.046)</w:t>
            </w:r>
          </w:p>
        </w:tc>
        <w:tc>
          <w:p>
            <w:pPr>
              <w:pStyle w:val="Compact"/>
              <w:jc w:val="left"/>
            </w:pPr>
            <w:r>
              <w:t xml:space="preserve">34,476 (0.041)</w:t>
            </w:r>
          </w:p>
        </w:tc>
        <w:tc>
          <w:p>
            <w:pPr>
              <w:pStyle w:val="Compact"/>
              <w:jc w:val="left"/>
            </w:pPr>
            <w:r>
              <w:t xml:space="preserve">3,513 (0.051)</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39,621 (0.037)</w:t>
            </w:r>
          </w:p>
        </w:tc>
        <w:tc>
          <w:p>
            <w:pPr>
              <w:pStyle w:val="Compact"/>
              <w:jc w:val="left"/>
            </w:pPr>
            <w:r>
              <w:t xml:space="preserve">7,004 (0.045)</w:t>
            </w:r>
          </w:p>
        </w:tc>
        <w:tc>
          <w:p>
            <w:pPr>
              <w:pStyle w:val="Compact"/>
              <w:jc w:val="left"/>
            </w:pPr>
            <w:r>
              <w:t xml:space="preserve">28,996 (0.039)</w:t>
            </w:r>
          </w:p>
        </w:tc>
        <w:tc>
          <w:p>
            <w:pPr>
              <w:pStyle w:val="Compact"/>
              <w:jc w:val="left"/>
            </w:pPr>
            <w:r>
              <w:t xml:space="preserve">3,621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27,876 (0.104)</w:t>
            </w:r>
          </w:p>
        </w:tc>
        <w:tc>
          <w:p>
            <w:pPr>
              <w:pStyle w:val="Compact"/>
              <w:jc w:val="left"/>
            </w:pPr>
            <w:r>
              <w:t xml:space="preserve">4,758 (0.128)</w:t>
            </w:r>
          </w:p>
        </w:tc>
        <w:tc>
          <w:p>
            <w:pPr>
              <w:pStyle w:val="Compact"/>
              <w:jc w:val="left"/>
            </w:pPr>
            <w:r>
              <w:t xml:space="preserve">21,185 (0.105)</w:t>
            </w:r>
          </w:p>
        </w:tc>
        <w:tc>
          <w:p>
            <w:pPr>
              <w:pStyle w:val="Compact"/>
              <w:jc w:val="left"/>
            </w:pPr>
            <w:r>
              <w:t xml:space="preserve">1,932 (0.11)</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348,082 (0.035)</w:t>
            </w:r>
          </w:p>
        </w:tc>
        <w:tc>
          <w:p>
            <w:pPr>
              <w:pStyle w:val="Compact"/>
              <w:jc w:val="left"/>
            </w:pPr>
            <w:r>
              <w:t xml:space="preserve">45,320 (0.038)</w:t>
            </w:r>
          </w:p>
        </w:tc>
        <w:tc>
          <w:p>
            <w:pPr>
              <w:pStyle w:val="Compact"/>
              <w:jc w:val="left"/>
            </w:pPr>
            <w:r>
              <w:t xml:space="preserve">266,570 (0.036)</w:t>
            </w:r>
          </w:p>
        </w:tc>
        <w:tc>
          <w:p>
            <w:pPr>
              <w:pStyle w:val="Compact"/>
              <w:jc w:val="left"/>
            </w:pPr>
            <w:r>
              <w:t xml:space="preserve">36,193 (0.039)</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217,640 (0.037)</w:t>
            </w:r>
          </w:p>
        </w:tc>
        <w:tc>
          <w:p>
            <w:pPr>
              <w:pStyle w:val="Compact"/>
              <w:jc w:val="left"/>
            </w:pPr>
            <w:r>
              <w:t xml:space="preserve">45,917 (0.037)</w:t>
            </w:r>
          </w:p>
        </w:tc>
        <w:tc>
          <w:p>
            <w:pPr>
              <w:pStyle w:val="Compact"/>
              <w:jc w:val="left"/>
            </w:pPr>
            <w:r>
              <w:t xml:space="preserve">148,564 (0.038)</w:t>
            </w:r>
          </w:p>
        </w:tc>
        <w:tc>
          <w:p>
            <w:pPr>
              <w:pStyle w:val="Compact"/>
              <w:jc w:val="left"/>
            </w:pPr>
            <w:r>
              <w:t xml:space="preserve">23,159 (0.041)</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190,947 (0.023)</w:t>
            </w:r>
          </w:p>
        </w:tc>
        <w:tc>
          <w:p>
            <w:pPr>
              <w:pStyle w:val="Compact"/>
              <w:jc w:val="left"/>
            </w:pPr>
            <w:r>
              <w:t xml:space="preserve">40,476 (0.027)</w:t>
            </w:r>
          </w:p>
        </w:tc>
        <w:tc>
          <w:p>
            <w:pPr>
              <w:pStyle w:val="Compact"/>
              <w:jc w:val="left"/>
            </w:pPr>
            <w:r>
              <w:t xml:space="preserve">139,476 (0.024)</w:t>
            </w:r>
          </w:p>
        </w:tc>
        <w:tc>
          <w:p>
            <w:pPr>
              <w:pStyle w:val="Compact"/>
              <w:jc w:val="left"/>
            </w:pPr>
            <w:r>
              <w:t xml:space="preserve">10,995 (0.038)</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121,265 (0.037)</w:t>
            </w:r>
          </w:p>
        </w:tc>
        <w:tc>
          <w:p>
            <w:pPr>
              <w:pStyle w:val="Compact"/>
              <w:jc w:val="left"/>
            </w:pPr>
            <w:r>
              <w:t xml:space="preserve">25,160 (0.042)</w:t>
            </w:r>
          </w:p>
        </w:tc>
        <w:tc>
          <w:p>
            <w:pPr>
              <w:pStyle w:val="Compact"/>
              <w:jc w:val="left"/>
            </w:pPr>
            <w:r>
              <w:t xml:space="preserve">85,707 (0.038)</w:t>
            </w:r>
          </w:p>
        </w:tc>
        <w:tc>
          <w:p>
            <w:pPr>
              <w:pStyle w:val="Compact"/>
              <w:jc w:val="left"/>
            </w:pPr>
            <w:r>
              <w:t xml:space="preserve">10,398 (0.058)</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117,169 (0.037)</w:t>
            </w:r>
          </w:p>
        </w:tc>
        <w:tc>
          <w:p>
            <w:pPr>
              <w:pStyle w:val="Compact"/>
              <w:jc w:val="left"/>
            </w:pPr>
            <w:r>
              <w:t xml:space="preserve">28,222 (0.067)</w:t>
            </w:r>
          </w:p>
        </w:tc>
        <w:tc>
          <w:p>
            <w:pPr>
              <w:pStyle w:val="Compact"/>
              <w:jc w:val="left"/>
            </w:pPr>
            <w:r>
              <w:t xml:space="preserve">81,145 (0.042)</w:t>
            </w:r>
          </w:p>
        </w:tc>
        <w:tc>
          <w:p>
            <w:pPr>
              <w:pStyle w:val="Compact"/>
              <w:jc w:val="left"/>
            </w:pPr>
            <w:r>
              <w:t xml:space="preserve">7,803 (0.081)</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176,628 (0.029)</w:t>
            </w:r>
          </w:p>
        </w:tc>
        <w:tc>
          <w:p>
            <w:pPr>
              <w:pStyle w:val="Compact"/>
              <w:jc w:val="left"/>
            </w:pPr>
            <w:r>
              <w:t xml:space="preserve">47,959 (0.036)</w:t>
            </w:r>
          </w:p>
        </w:tc>
        <w:tc>
          <w:p>
            <w:pPr>
              <w:pStyle w:val="Compact"/>
              <w:jc w:val="left"/>
            </w:pPr>
            <w:r>
              <w:t xml:space="preserve">118,185 (0.03)</w:t>
            </w:r>
          </w:p>
        </w:tc>
        <w:tc>
          <w:p>
            <w:pPr>
              <w:pStyle w:val="Compact"/>
              <w:jc w:val="left"/>
            </w:pPr>
            <w:r>
              <w:t xml:space="preserve">10,483 (0.054)</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144,310 (0.031)</w:t>
            </w:r>
          </w:p>
        </w:tc>
        <w:tc>
          <w:p>
            <w:pPr>
              <w:pStyle w:val="Compact"/>
              <w:jc w:val="left"/>
            </w:pPr>
            <w:r>
              <w:t xml:space="preserve">36,141 (0.037)</w:t>
            </w:r>
          </w:p>
        </w:tc>
        <w:tc>
          <w:p>
            <w:pPr>
              <w:pStyle w:val="Compact"/>
              <w:jc w:val="left"/>
            </w:pPr>
            <w:r>
              <w:t xml:space="preserve">101,923 (0.031)</w:t>
            </w:r>
          </w:p>
        </w:tc>
        <w:tc>
          <w:p>
            <w:pPr>
              <w:pStyle w:val="Compact"/>
              <w:jc w:val="left"/>
            </w:pPr>
            <w:r>
              <w:t xml:space="preserve">6,245 (0.056)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104,479 (0.035)</w:t>
            </w:r>
          </w:p>
        </w:tc>
        <w:tc>
          <w:p>
            <w:pPr>
              <w:pStyle w:val="Compact"/>
              <w:jc w:val="left"/>
            </w:pPr>
            <w:r>
              <w:t xml:space="preserve">15,472 (0.039)</w:t>
            </w:r>
          </w:p>
        </w:tc>
        <w:tc>
          <w:p>
            <w:pPr>
              <w:pStyle w:val="Compact"/>
              <w:jc w:val="left"/>
            </w:pPr>
            <w:r>
              <w:t xml:space="preserve">80,707 (0.035)</w:t>
            </w:r>
          </w:p>
        </w:tc>
        <w:tc>
          <w:p>
            <w:pPr>
              <w:pStyle w:val="Compact"/>
              <w:jc w:val="left"/>
            </w:pPr>
            <w:r>
              <w:t xml:space="preserve">8,299 (0.061)</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69,584 (0.033)</w:t>
            </w:r>
          </w:p>
        </w:tc>
        <w:tc>
          <w:p>
            <w:pPr>
              <w:pStyle w:val="Compact"/>
              <w:jc w:val="left"/>
            </w:pPr>
            <w:r>
              <w:t xml:space="preserve">10,105 (0.038)</w:t>
            </w:r>
          </w:p>
        </w:tc>
        <w:tc>
          <w:p>
            <w:pPr>
              <w:pStyle w:val="Compact"/>
              <w:jc w:val="left"/>
            </w:pPr>
            <w:r>
              <w:t xml:space="preserve">56,865 (0.033)</w:t>
            </w:r>
          </w:p>
        </w:tc>
        <w:tc>
          <w:p>
            <w:pPr>
              <w:pStyle w:val="Compact"/>
              <w:jc w:val="left"/>
            </w:pPr>
            <w:r>
              <w:t xml:space="preserve">2,614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56,024 (0.104)</w:t>
            </w:r>
          </w:p>
        </w:tc>
        <w:tc>
          <w:p>
            <w:pPr>
              <w:pStyle w:val="Compact"/>
              <w:jc w:val="left"/>
            </w:pPr>
            <w:r>
              <w:t xml:space="preserve">11,073 (0.248)</w:t>
            </w:r>
          </w:p>
        </w:tc>
        <w:tc>
          <w:p>
            <w:pPr>
              <w:pStyle w:val="Compact"/>
              <w:jc w:val="left"/>
            </w:pPr>
            <w:r>
              <w:t xml:space="preserve">41,726 (0.079)</w:t>
            </w:r>
          </w:p>
        </w:tc>
        <w:tc>
          <w:p>
            <w:pPr>
              <w:pStyle w:val="Compact"/>
              <w:jc w:val="left"/>
            </w:pPr>
            <w:r>
              <w:t xml:space="preserve">3,224 (0.092)</w:t>
            </w:r>
          </w:p>
        </w:tc>
      </w:tr>
    </w:tbl>
    <w:p>
      <w:r>
        <w:br w:type="page"/>
      </w:r>
    </w:p>
    <w:p>
      <w:pPr>
        <w:pStyle w:val="Heading1"/>
      </w:pPr>
      <w:bookmarkStart w:id="77" w:name="figures"/>
      <w:r>
        <w:t xml:space="preserve">Figures</w:t>
      </w:r>
      <w:bookmarkEnd w:id="77"/>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7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2" w:name="append1"/>
      <w:r>
        <w:t xml:space="preserve">Appendix A - STADEM Model Description</w:t>
      </w:r>
      <w:bookmarkEnd w:id="82"/>
    </w:p>
    <w:p>
      <w:pPr>
        <w:pStyle w:val="Heading2"/>
      </w:pPr>
      <w:bookmarkStart w:id="83" w:name="total-and-weekly-escapement"/>
      <w:r>
        <w:t xml:space="preserve">Total and Weekly Escapement</w:t>
      </w:r>
      <w:bookmarkEnd w:id="83"/>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ln</m:t>
                </m:r>
                <m:d>
                  <m:dPr>
                    <m:begChr m:val="("/>
                    <m:endChr m:val=")"/>
                    <m:grow/>
                  </m:dPr>
                  <m:e>
                    <m:sSub>
                      <m:e>
                        <m:r>
                          <m:t>X</m:t>
                        </m:r>
                      </m:e>
                      <m:sub>
                        <m:r>
                          <m:t>t</m:t>
                        </m:r>
                      </m:sub>
                    </m:sSub>
                  </m:e>
                </m:d>
              </m:e>
              <m:e>
                <m:r>
                  <m:t>=</m:t>
                </m:r>
                <m:r>
                  <m:rP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true trap rate is estimated from a beta distribution with previously estimated parameters,</w:t>
      </w:r>
      <w:r>
        <w:t xml:space="preserve"> </w:t>
      </w:r>
      <m:oMath>
        <m:acc>
          <m:accPr>
            <m:chr m:val="̂"/>
          </m:accPr>
          <m:e>
            <m:sSub>
              <m:e>
                <m:r>
                  <m:t>α</m:t>
                </m:r>
              </m:e>
              <m:sub>
                <m:r>
                  <m:t>t</m:t>
                </m:r>
              </m:sub>
            </m:sSub>
          </m:e>
        </m:acc>
      </m:oMath>
      <w:r>
        <w:t xml:space="preserve"> </w:t>
      </w:r>
      <w:r>
        <w:t xml:space="preserve">and</w:t>
      </w:r>
      <w:r>
        <w:t xml:space="preserve"> </w:t>
      </w:r>
      <m:oMath>
        <m:acc>
          <m:accPr>
            <m:chr m:val="̂"/>
          </m:accPr>
          <m:e>
            <m:sSub>
              <m:e>
                <m:r>
                  <m:t>β</m:t>
                </m:r>
              </m:e>
              <m:sub>
                <m:r>
                  <m:t>t</m:t>
                </m:r>
              </m:sub>
            </m:sSub>
          </m:e>
        </m:acc>
      </m:oMath>
      <w:r>
        <w:t xml:space="preserve">, informed by the mark-recapture estimate of the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ν</m:t>
                    </m:r>
                  </m:e>
                  <m:sub>
                    <m:r>
                      <m:t>t</m:t>
                    </m:r>
                  </m:sub>
                </m:sSub>
              </m:e>
              <m:e>
                <m:r>
                  <m:t>∼</m:t>
                </m:r>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e>
            </m:mr>
            <m:mr>
              <m:e>
                <m:sSubSup>
                  <m:e>
                    <m:r>
                      <m:t>Y</m:t>
                    </m:r>
                  </m:e>
                  <m:sub>
                    <m:r>
                      <m:t>t</m:t>
                    </m:r>
                  </m:sub>
                  <m:sup>
                    <m:r>
                      <m:t>T</m:t>
                    </m:r>
                  </m:sup>
                </m:sSubSup>
              </m:e>
              <m:e>
                <m:r>
                  <m:t>∼</m:t>
                </m:r>
                <m:r>
                  <m:rP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estimate of the weekly trap rate is derived based on previously PIT-tagged spring/summer Chinook and steelhead who are crossing LGD that week. The fish caught in the trap that week are considered the</w:t>
      </w:r>
      <w:r>
        <w:t xml:space="preserve"> </w:t>
      </w:r>
      <w:r>
        <w:t xml:space="preserve">“</w:t>
      </w:r>
      <w:r>
        <w:t xml:space="preserve">mark</w:t>
      </w:r>
      <w:r>
        <w:t xml:space="preserve">”</w:t>
      </w:r>
      <w:r>
        <w:t xml:space="preserve"> </w:t>
      </w:r>
      <w:r>
        <w:t xml:space="preserve">group, and all the PIT tagged fish who are detected at the upper end of the LGD fish ladder that week are considered the second capture group (which includes recaptures of the the</w:t>
      </w:r>
      <w:r>
        <w:t xml:space="preserve"> </w:t>
      </w:r>
      <w:r>
        <w:t xml:space="preserve">“</w:t>
      </w:r>
      <w:r>
        <w:t xml:space="preserve">marked</w:t>
      </w:r>
      <w:r>
        <w:t xml:space="preserve">”</w:t>
      </w:r>
      <w:r>
        <w:t xml:space="preserve"> </w:t>
      </w:r>
      <w:r>
        <w:t xml:space="preserve">fish). From this data, we can estimate the total number of previoiusly PIT tagged fish crossing LGD that week, and the proportion of those that are caught in the trap is the weekly trap rate. The uncertainty in estimates of total fish is translated into uncertainty in the trap rate, and this is then summarised with a beta distribution (</w:t>
      </w:r>
      <m:oMath>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oMath>
      <w:r>
        <w:t xml:space="preserve">) that becomes an input into STADEM. Although the group of previously PIT tagged fish is not assumed to be representative of the overall run, the rate at which they are caught in the trap should be the same rate that the overall run experiences.</w:t>
      </w:r>
    </w:p>
    <w:p>
      <w:pPr>
        <w:pStyle w:val="BodyText"/>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84" w:name="day-time-passage-and-re-ascension-rates"/>
      <w:r>
        <w:t xml:space="preserve">Day-time Passage and Re-ascension Rates</w:t>
      </w:r>
      <w:bookmarkEnd w:id="84"/>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sty m:val="p"/>
                  </m:rPr>
                  <m:t>Bin</m:t>
                </m:r>
                <m:d>
                  <m:dPr>
                    <m:begChr m:val="("/>
                    <m:endChr m:val=")"/>
                    <m:grow/>
                  </m:dPr>
                  <m:e>
                    <m:sSub>
                      <m:e>
                        <m:r>
                          <m:t>θ</m:t>
                        </m:r>
                      </m:e>
                      <m:sub>
                        <m:r>
                          <m:t>t</m:t>
                        </m:r>
                      </m:sub>
                    </m:sSub>
                    <m:r>
                      <m:t>,</m:t>
                    </m:r>
                    <m:sSub>
                      <m:e>
                        <m:r>
                          <m:t>N</m:t>
                        </m:r>
                      </m:e>
                      <m:sub>
                        <m:r>
                          <m:t>t</m:t>
                        </m:r>
                      </m:sub>
                    </m:sSub>
                  </m:e>
                </m:d>
              </m:e>
            </m:mr>
            <m:mr>
              <m:e>
                <m:r>
                  <m:rPr>
                    <m:sty m:val="p"/>
                  </m:rPr>
                  <m:t>logit</m:t>
                </m:r>
                <m:r>
                  <m:t>(</m:t>
                </m:r>
                <m:sSub>
                  <m:e>
                    <m:r>
                      <m:t>θ</m:t>
                    </m:r>
                  </m:e>
                  <m:sub>
                    <m:r>
                      <m:t>t</m:t>
                    </m:r>
                  </m:sub>
                </m:sSub>
                <m:r>
                  <m:t>)</m:t>
                </m:r>
              </m:e>
              <m:e>
                <m:r>
                  <m:t>=</m:t>
                </m:r>
                <m:r>
                  <m:rP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sty m:val="p"/>
                  </m:rPr>
                  <m:t>Bin</m:t>
                </m:r>
                <m:d>
                  <m:dPr>
                    <m:begChr m:val="("/>
                    <m:endChr m:val=")"/>
                    <m:grow/>
                  </m:dPr>
                  <m:e>
                    <m:sSub>
                      <m:e>
                        <m:r>
                          <m:t>η</m:t>
                        </m:r>
                      </m:e>
                      <m:sub>
                        <m:r>
                          <m:t>t</m:t>
                        </m:r>
                      </m:sub>
                    </m:sSub>
                    <m:r>
                      <m:t>,</m:t>
                    </m:r>
                    <m:sSub>
                      <m:e>
                        <m:r>
                          <m:t>N</m:t>
                        </m:r>
                      </m:e>
                      <m:sub>
                        <m:r>
                          <m:t>t</m:t>
                        </m:r>
                      </m:sub>
                    </m:sSub>
                  </m:e>
                </m:d>
              </m:e>
            </m:mr>
            <m:mr>
              <m:e>
                <m:r>
                  <m:rPr>
                    <m:sty m:val="p"/>
                  </m:rPr>
                  <m:t>logit</m:t>
                </m:r>
                <m:d>
                  <m:dPr>
                    <m:begChr m:val="("/>
                    <m:endChr m:val=")"/>
                    <m:grow/>
                  </m:dPr>
                  <m:e>
                    <m:sSub>
                      <m:e>
                        <m:r>
                          <m:t>η</m:t>
                        </m:r>
                      </m:e>
                      <m:sub>
                        <m:r>
                          <m:t>t</m:t>
                        </m:r>
                      </m:sub>
                    </m:sSub>
                  </m:e>
                </m:d>
              </m:e>
              <m:e>
                <m:r>
                  <m:t>=</m:t>
                </m:r>
                <m:r>
                  <m:rP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5" w:name="origin-proportions"/>
      <w:r>
        <w:t xml:space="preserve">Origin Proportions</w:t>
      </w:r>
      <w:bookmarkEnd w:id="85"/>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fish,</w:t>
      </w:r>
      <w:r>
        <w:t xml:space="preserve"> </w:t>
      </w:r>
      <m:oMath>
        <m:sSub>
          <m:e>
            <m:r>
              <m:t>X</m:t>
            </m:r>
          </m:e>
          <m:sub>
            <m:r>
              <m:t>h</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w:t>
      </w:r>
      <w:r>
        <w:t xml:space="preserve"> </w:t>
      </w:r>
      <m:oMath>
        <m:sSubSup>
          <m:e>
            <m:r>
              <m:t>Y</m:t>
            </m:r>
          </m:e>
          <m:sub>
            <m:r>
              <m:t>h</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hatchery fish,</w:t>
      </w:r>
      <w:r>
        <w:t xml:space="preserve"> </w:t>
      </w:r>
      <m:oMath>
        <m:sSub>
          <m:e>
            <m:r>
              <m:t>ω</m:t>
            </m:r>
          </m:e>
          <m:sub>
            <m:r>
              <m:t>h</m:t>
            </m:r>
            <m:r>
              <m:t>,</m:t>
            </m:r>
            <m:r>
              <m:t>t</m:t>
            </m:r>
          </m:sub>
        </m:sSub>
      </m:oMath>
      <w:r>
        <w:t xml:space="preserve"> </w:t>
      </w:r>
      <w:r>
        <w:t xml:space="preserve">is modeled as a random walk, so it can change through time. This allows the proportions of wild, hatchery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m:t>
                        </m:r>
                        <m:r>
                          <m:t>t</m:t>
                        </m:r>
                      </m:sub>
                      <m:sup>
                        <m:r>
                          <m:t>T</m:t>
                        </m:r>
                      </m:sup>
                    </m:sSubSup>
                    <m:r>
                      <m:t>,</m:t>
                    </m:r>
                    <m:sSubSup>
                      <m:e>
                        <m:r>
                          <m:t>Y</m:t>
                        </m:r>
                      </m:e>
                      <m:sub>
                        <m:r>
                          <m:t>h</m:t>
                        </m:r>
                        <m:r>
                          <m:t>n</m:t>
                        </m:r>
                        <m:r>
                          <m:t>c</m:t>
                        </m:r>
                        <m:r>
                          <m:t>,</m:t>
                        </m:r>
                        <m:r>
                          <m:t>t</m:t>
                        </m:r>
                      </m:sub>
                      <m:sup>
                        <m:r>
                          <m:t>T</m:t>
                        </m:r>
                      </m:sup>
                    </m:sSubSup>
                  </m:e>
                </m:d>
              </m:e>
              <m:e>
                <m:r>
                  <m:t>∼</m:t>
                </m:r>
                <m:r>
                  <m:rP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sty m:val="p"/>
                      </m:rPr>
                      <m:t>exp</m:t>
                    </m:r>
                    <m:r>
                      <m:t>(</m:t>
                    </m:r>
                    <m:sSub>
                      <m:e>
                        <m:r>
                          <m:t>ϕ</m:t>
                        </m:r>
                      </m:e>
                      <m:sub>
                        <m:r>
                          <m:t>t</m:t>
                        </m:r>
                      </m:sub>
                    </m:sSub>
                    <m:r>
                      <m:t>)</m:t>
                    </m:r>
                  </m:num>
                  <m:den>
                    <m:r>
                      <m:t>∑</m:t>
                    </m:r>
                    <m:r>
                      <m:rPr>
                        <m:sty m:val="p"/>
                      </m:rPr>
                      <m:t>exp</m:t>
                    </m:r>
                    <m:r>
                      <m:t>(</m:t>
                    </m:r>
                    <m:sSub>
                      <m:e>
                        <m:r>
                          <m:t>ϕ</m:t>
                        </m:r>
                      </m:e>
                      <m:sub>
                        <m:r>
                          <m:t>t</m:t>
                        </m:r>
                      </m:sub>
                    </m:sSub>
                    <m:r>
                      <m:t>)</m:t>
                    </m:r>
                  </m:den>
                </m:f>
              </m:e>
            </m:mr>
            <m:mr>
              <m:e>
                <m:sSub>
                  <m:e>
                    <m:r>
                      <m:t>ϕ</m:t>
                    </m:r>
                  </m:e>
                  <m:sub>
                    <m:r>
                      <m:t>w</m:t>
                    </m:r>
                    <m:r>
                      <m:t>,</m:t>
                    </m:r>
                    <m:r>
                      <m:t>t</m:t>
                    </m:r>
                  </m:sub>
                </m:sSub>
              </m:e>
              <m:e>
                <m:r>
                  <m:t>=</m:t>
                </m:r>
                <m:r>
                  <m:rPr>
                    <m:sty m:val="p"/>
                  </m:rPr>
                  <m:t>ln</m:t>
                </m:r>
                <m:d>
                  <m:dPr>
                    <m:begChr m:val="("/>
                    <m:endChr m:val=")"/>
                    <m:grow/>
                  </m:dPr>
                  <m:e>
                    <m:f>
                      <m:fPr>
                        <m:type m:val="bar"/>
                      </m:fPr>
                      <m:num>
                        <m:sSub>
                          <m:e>
                            <m:r>
                              <m:t>ω</m:t>
                            </m:r>
                          </m:e>
                          <m:sub>
                            <m:r>
                              <m:t>w</m:t>
                            </m:r>
                            <m:r>
                              <m:t>,</m:t>
                            </m:r>
                            <m:r>
                              <m:t>t</m:t>
                            </m:r>
                          </m:sub>
                        </m:sSub>
                      </m:num>
                      <m:den>
                        <m:sSub>
                          <m:e>
                            <m:r>
                              <m:t>ω</m:t>
                            </m:r>
                          </m:e>
                          <m:sub>
                            <m:r>
                              <m:t>h</m:t>
                            </m:r>
                            <m:r>
                              <m:t>,</m:t>
                            </m:r>
                            <m:r>
                              <m:t>t</m:t>
                            </m:r>
                          </m:sub>
                        </m:sSub>
                      </m:den>
                    </m:f>
                  </m:e>
                </m:d>
              </m:e>
            </m:mr>
            <m:mr>
              <m:e>
                <m:sSub>
                  <m:e>
                    <m:r>
                      <m:t>ϕ</m:t>
                    </m:r>
                  </m:e>
                  <m:sub>
                    <m:r>
                      <m:t>h</m:t>
                    </m:r>
                    <m:r>
                      <m:t>n</m:t>
                    </m:r>
                    <m:r>
                      <m:t>c</m:t>
                    </m:r>
                    <m:r>
                      <m:t>,</m:t>
                    </m:r>
                    <m:r>
                      <m:t>t</m:t>
                    </m:r>
                  </m:sub>
                </m:sSub>
              </m:e>
              <m:e>
                <m:r>
                  <m:t>=</m:t>
                </m:r>
                <m:r>
                  <m:rPr>
                    <m:sty m:val="p"/>
                  </m:rPr>
                  <m:t>ln</m:t>
                </m:r>
                <m:d>
                  <m:dPr>
                    <m:begChr m:val="("/>
                    <m:endChr m:val=")"/>
                    <m:grow/>
                  </m:dPr>
                  <m:e>
                    <m:f>
                      <m:fPr>
                        <m:type m:val="bar"/>
                      </m:fPr>
                      <m:num>
                        <m:sSub>
                          <m:e>
                            <m:r>
                              <m:t>ω</m:t>
                            </m:r>
                          </m:e>
                          <m:sub>
                            <m:r>
                              <m:t>h</m:t>
                            </m:r>
                            <m:r>
                              <m:t>n</m:t>
                            </m:r>
                            <m:r>
                              <m:t>c</m:t>
                            </m:r>
                            <m:r>
                              <m:t>,</m:t>
                            </m:r>
                            <m:r>
                              <m:t>t</m:t>
                            </m:r>
                          </m:sub>
                        </m:sSub>
                      </m:num>
                      <m:den>
                        <m:sSub>
                          <m:e>
                            <m:r>
                              <m:t>ω</m:t>
                            </m:r>
                          </m:e>
                          <m:sub>
                            <m:r>
                              <m:t>h</m:t>
                            </m:r>
                            <m:r>
                              <m:t>,</m:t>
                            </m:r>
                            <m:r>
                              <m:t>t</m:t>
                            </m:r>
                          </m:sub>
                        </m:sSub>
                      </m:den>
                    </m:f>
                  </m:e>
                </m:d>
              </m:e>
            </m:mr>
            <m:mr>
              <m:e>
                <m:sSub>
                  <m:e>
                    <m:r>
                      <m:t>ϕ</m:t>
                    </m:r>
                  </m:e>
                  <m:sub>
                    <m:r>
                      <m:t>h</m:t>
                    </m:r>
                    <m:r>
                      <m:t>,</m:t>
                    </m:r>
                    <m:r>
                      <m:t>t</m:t>
                    </m:r>
                  </m:sub>
                </m:sSub>
              </m:e>
              <m:e>
                <m:r>
                  <m:t>=</m:t>
                </m:r>
                <m:r>
                  <m:t>0</m:t>
                </m:r>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m:t>
                              </m:r>
                              <m:r>
                                <m:t>t</m:t>
                              </m:r>
                            </m:sub>
                          </m:sSub>
                        </m:e>
                      </m:mr>
                      <m:mr>
                        <m:e>
                          <m:sSub>
                            <m:e>
                              <m:r>
                                <m:t>ω</m:t>
                              </m:r>
                            </m:e>
                            <m:sub>
                              <m:r>
                                <m:t>h</m:t>
                              </m:r>
                              <m:r>
                                <m:t>n</m:t>
                              </m:r>
                              <m:r>
                                <m:t>c</m:t>
                              </m:r>
                              <m:r>
                                <m:t>,</m:t>
                              </m:r>
                              <m:r>
                                <m:t>t</m:t>
                              </m:r>
                            </m:sub>
                          </m:sSub>
                        </m:e>
                      </m:mr>
                    </m:m>
                  </m:e>
                </m:d>
              </m:e>
            </m:mr>
          </m:m>
        </m:oMath>
      </m:oMathPara>
    </w:p>
    <w:p>
      <w:pPr>
        <w:pStyle w:val="Heading2"/>
      </w:pPr>
      <w:bookmarkStart w:id="86" w:name="model-fitting"/>
      <w:r>
        <w:t xml:space="preserve">Model Fitting</w:t>
      </w:r>
      <w:bookmarkEnd w:id="86"/>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Uninformative priors were used for</w:t>
      </w:r>
      <w:r>
        <w:t xml:space="preserve"> </w:t>
      </w:r>
      <m:oMath>
        <m:sSub>
          <m:e>
            <m:r>
              <m:t>σ</m:t>
            </m:r>
          </m:e>
          <m:sub>
            <m:r>
              <m:t>X</m:t>
            </m:r>
          </m:sub>
        </m:sSub>
        <m:r>
          <m:t>,</m:t>
        </m:r>
        <m:sSub>
          <m:e>
            <m:r>
              <m:t>σ</m:t>
            </m:r>
          </m:e>
          <m:sub>
            <m:r>
              <m:t>η</m:t>
            </m:r>
          </m:sub>
        </m:sSub>
        <m:r>
          <m:t>,</m:t>
        </m:r>
        <m:sSub>
          <m:e>
            <m:r>
              <m:t>σ</m:t>
            </m:r>
          </m:e>
          <m:sub>
            <m:r>
              <m:t>θ</m:t>
            </m:r>
          </m:sub>
        </m:sSub>
        <m:r>
          <m:t>,</m:t>
        </m:r>
        <m:sSub>
          <m:e>
            <m:r>
              <m:t>σ</m:t>
            </m:r>
          </m:e>
          <m:sub>
            <m:r>
              <m:t>ω</m:t>
            </m:r>
          </m:sub>
        </m:sSub>
      </m:oMath>
      <w:r>
        <w:t xml:space="preserve"> </w:t>
      </w:r>
      <w:r>
        <w:t xml:space="preserve">and</w:t>
      </w:r>
      <w:r>
        <w:t xml:space="preserve"> </w:t>
      </w:r>
      <m:oMath>
        <m:r>
          <m:rPr>
            <m:sty m:val="p"/>
          </m:rPr>
          <m:t>ln</m:t>
        </m:r>
        <m:r>
          <m:t>(</m:t>
        </m:r>
        <m:sSub>
          <m:e>
            <m:r>
              <m:t>X</m:t>
            </m:r>
          </m:e>
          <m:sub>
            <m:r>
              <m:t>1</m:t>
            </m:r>
          </m:sub>
        </m:sSub>
        <m:r>
          <m:t>)</m:t>
        </m:r>
      </m:oMath>
      <w:r>
        <w:t xml:space="preserve"> </w:t>
      </w:r>
      <w:r>
        <w:t xml:space="preserve">(Uniform(0,10)), as well as logit(</w:t>
      </w:r>
      <m:oMath>
        <m:sSub>
          <m:e>
            <m:r>
              <m:t>η</m:t>
            </m:r>
          </m:e>
          <m:sub>
            <m:r>
              <m:t>1</m:t>
            </m:r>
          </m:sub>
        </m:sSub>
      </m:oMath>
      <w:r>
        <w:t xml:space="preserve">) and logit(</w:t>
      </w:r>
      <m:oMath>
        <m:sSub>
          <m:e>
            <m:r>
              <m:t>θ</m:t>
            </m:r>
          </m:e>
          <m:sub>
            <m:r>
              <m:t>1</m:t>
            </m:r>
          </m:sub>
        </m:sSub>
      </m:oMath>
      <w:r>
        <w:t xml:space="preserve">) (</w:t>
      </w:r>
      <m:oMath>
        <m:r>
          <m:rPr>
            <m:sty m:val="p"/>
            <m:scr m:val="script"/>
          </m:rPr>
          <m:t>N</m:t>
        </m:r>
        <m:r>
          <m:t>(</m:t>
        </m:r>
        <m:r>
          <m:t>0</m:t>
        </m:r>
        <m:r>
          <m:t>,</m:t>
        </m:r>
        <m:r>
          <m:t>1000</m:t>
        </m:r>
        <m:r>
          <m:t>)</m:t>
        </m:r>
      </m:oMath>
      <w:r>
        <w:t xml:space="preserve">), and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t>
      </w:r>
      <m:oMath>
        <m:r>
          <m:rPr>
            <m:sty m:val="p"/>
            <m:scr m:val="script"/>
          </m:rPr>
          <m:t>N</m:t>
        </m:r>
        <m:r>
          <m:t>(</m:t>
        </m:r>
        <m:r>
          <m:t>0</m:t>
        </m:r>
        <m:r>
          <m:t>,</m:t>
        </m:r>
        <m:r>
          <m:t>100</m:t>
        </m:r>
        <m:r>
          <m:t>)</m:t>
        </m:r>
      </m:oMath>
      <w:r>
        <w:t xml:space="preserve">).</w:t>
      </w:r>
    </w:p>
    <w:p>
      <w:r>
        <w:br w:type="page"/>
      </w:r>
    </w:p>
    <w:p>
      <w:pPr>
        <w:pStyle w:val="Heading1"/>
      </w:pPr>
      <w:bookmarkStart w:id="87" w:name="append2"/>
      <w:r>
        <w:t xml:space="preserve">Appendix B - Simulation Details</w:t>
      </w:r>
      <w:bookmarkEnd w:id="87"/>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poplulation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η</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η</m:t>
            </m:r>
          </m:e>
          <m:sub>
            <m:r>
              <m:t>j</m:t>
            </m:r>
          </m:sub>
        </m:sSub>
      </m:oMath>
      <w:r>
        <w:t xml:space="preserve"> </w:t>
      </w:r>
      <w:r>
        <w:t xml:space="preserve">originates from a bernoulli</w:t>
      </w:r>
      <w:r>
        <w:t xml:space="preserve"> </w:t>
      </w:r>
      <m:oMath>
        <m:r>
          <m:rPr>
            <m:sty m:val="p"/>
            <m:scr m:val="script"/>
          </m:rPr>
          <m:t>P</m:t>
        </m:r>
        <m:r>
          <m:rPr>
            <m:sty m:val="p"/>
            <m:scr m:val="script"/>
          </m:rPr>
          <m:t>D</m:t>
        </m:r>
        <m:r>
          <m:rPr>
            <m:sty m:val="p"/>
            <m:scr m:val="script"/>
          </m:rPr>
          <m:t>F</m:t>
        </m:r>
      </m:oMath>
      <w:r>
        <w:t xml:space="preserve"> </w:t>
      </w:r>
      <w:r>
        <w:t xml:space="preserve">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η</m:t>
                        </m:r>
                      </m:e>
                      <m:sub>
                        <m:r>
                          <m:t>j</m:t>
                        </m:r>
                        <m:r>
                          <m:t>,</m:t>
                        </m:r>
                        <m:r>
                          <m:t>p</m:t>
                        </m:r>
                        <m:r>
                          <m:t>=</m:t>
                        </m:r>
                        <m:r>
                          <m:t>1</m:t>
                        </m:r>
                      </m:sub>
                    </m:sSub>
                    <m:r>
                      <m:t>,</m:t>
                    </m:r>
                    <m:r>
                      <m:t>.</m:t>
                    </m:r>
                    <m:r>
                      <m:t>.</m:t>
                    </m:r>
                    <m:r>
                      <m:t>.</m:t>
                    </m:r>
                    <m:r>
                      <m:t>,</m:t>
                    </m:r>
                    <m:sSub>
                      <m:e>
                        <m:r>
                          <m:t>η</m:t>
                        </m:r>
                      </m:e>
                      <m:sub>
                        <m:r>
                          <m:t>j</m:t>
                        </m:r>
                        <m:r>
                          <m:t>,</m:t>
                        </m:r>
                        <m:r>
                          <m:t>p</m:t>
                        </m:r>
                        <m:r>
                          <m:t>=</m:t>
                        </m:r>
                        <m:r>
                          <m:t>n</m:t>
                        </m:r>
                      </m:sub>
                    </m:sSub>
                  </m:e>
                </m:d>
              </m:e>
              <m:e>
                <m:r>
                  <m:t>∼</m:t>
                </m:r>
                <m:r>
                  <m:rPr>
                    <m:sty m:val="p"/>
                  </m:rPr>
                  <m:t>Bern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sty m:val="p"/>
                  </m:rPr>
                  <m:t>Dir</m:t>
                </m:r>
                <m:r>
                  <m:t>(</m:t>
                </m:r>
                <m:sSub>
                  <m:e>
                    <m:r>
                      <m:t>η</m:t>
                    </m:r>
                  </m:e>
                  <m:sub>
                    <m:r>
                      <m:t>j</m:t>
                    </m:r>
                    <m:r>
                      <m:t>,</m:t>
                    </m:r>
                    <m:r>
                      <m:t>p</m:t>
                    </m:r>
                    <m:r>
                      <m:t>=</m:t>
                    </m:r>
                    <m:r>
                      <m:t>1</m:t>
                    </m:r>
                  </m:sub>
                </m:sSub>
                <m:r>
                  <m:t>,</m:t>
                </m:r>
                <m:r>
                  <m:t>.</m:t>
                </m:r>
                <m:r>
                  <m:t>.</m:t>
                </m:r>
                <m:r>
                  <m:t>.</m:t>
                </m:r>
                <m:r>
                  <m:t>,</m:t>
                </m:r>
                <m:sSub>
                  <m:e>
                    <m:r>
                      <m:t>η</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sensitivites of models to different fish behavior and dam operational scenarios, seven addtional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sty m:val="p"/>
                  </m:rPr>
                  <m:t>Bern</m:t>
                </m:r>
                <m:r>
                  <m:t>(</m:t>
                </m:r>
                <m:r>
                  <m:t>1</m:t>
                </m:r>
                <m:r>
                  <m:t>−</m:t>
                </m:r>
                <m:r>
                  <m:t>ν</m:t>
                </m:r>
                <m:r>
                  <m:t>)</m:t>
                </m:r>
              </m:e>
            </m:mr>
            <m:mr>
              <m:e>
                <m:r>
                  <m:t>w</m:t>
                </m:r>
                <m:r>
                  <m:t>i</m:t>
                </m:r>
                <m:r>
                  <m:t>n</m:t>
                </m:r>
                <m:r>
                  <m:t>d</m:t>
                </m:r>
                <m:r>
                  <m:t>o</m:t>
                </m:r>
                <m:sSub>
                  <m:e>
                    <m:r>
                      <m:t>w</m:t>
                    </m:r>
                  </m:e>
                  <m:sub>
                    <m:r>
                      <m:t>i</m:t>
                    </m:r>
                    <m:r>
                      <m:t>|</m:t>
                    </m:r>
                    <m:r>
                      <m:t>d</m:t>
                    </m:r>
                    <m:r>
                      <m:t>=</m:t>
                    </m:r>
                    <m:r>
                      <m:t>T</m:t>
                    </m:r>
                    <m:r>
                      <m:t>R</m:t>
                    </m:r>
                    <m:r>
                      <m:t>U</m:t>
                    </m:r>
                    <m:r>
                      <m:t>E</m:t>
                    </m:r>
                  </m:sub>
                </m:sSub>
              </m:e>
              <m:e>
                <m:r>
                  <m:t>∼</m:t>
                </m:r>
                <m:r>
                  <m:rPr>
                    <m:sty m:val="p"/>
                  </m:rPr>
                  <m:t>Bern</m:t>
                </m:r>
                <m:r>
                  <m:t>(</m:t>
                </m:r>
                <m:r>
                  <m:t>γ</m:t>
                </m:r>
                <m:r>
                  <m:t>)</m:t>
                </m:r>
              </m:e>
            </m:mr>
            <m:mr>
              <m:e>
                <m:r>
                  <m:t>t</m:t>
                </m:r>
                <m:r>
                  <m:t>r</m:t>
                </m:r>
                <m:r>
                  <m:t>a</m:t>
                </m:r>
                <m:r>
                  <m:t>p</m:t>
                </m:r>
                <m:r>
                  <m:t>p</m:t>
                </m:r>
                <m:r>
                  <m:t>e</m:t>
                </m:r>
                <m:sSub>
                  <m:e>
                    <m:r>
                      <m:t>d</m:t>
                    </m:r>
                  </m:e>
                  <m:sub>
                    <m:r>
                      <m:t>i</m:t>
                    </m:r>
                  </m:sub>
                </m:sSub>
              </m:e>
              <m:e>
                <m:r>
                  <m:t>∼</m:t>
                </m:r>
                <m:r>
                  <m:rPr>
                    <m:sty m:val="p"/>
                  </m:rPr>
                  <m:t>Bern</m:t>
                </m:r>
                <m:r>
                  <m:t>(</m:t>
                </m:r>
                <m:sSub>
                  <m:e>
                    <m:r>
                      <m:t>δ</m:t>
                    </m:r>
                  </m:e>
                  <m:sub>
                    <m:r>
                      <m:t>t</m:t>
                    </m:r>
                  </m:sub>
                </m:sSub>
                <m:r>
                  <m:t>)</m:t>
                </m:r>
              </m:e>
            </m:mr>
            <m:mr>
              <m:e>
                <m:r>
                  <m:t>t</m:t>
                </m:r>
                <m:r>
                  <m:t>a</m:t>
                </m:r>
                <m:r>
                  <m:t>g</m:t>
                </m:r>
                <m:r>
                  <m:t>g</m:t>
                </m:r>
                <m:r>
                  <m:t>e</m:t>
                </m:r>
                <m:sSub>
                  <m:e>
                    <m:r>
                      <m:t>d</m:t>
                    </m:r>
                  </m:e>
                  <m:sub>
                    <m:r>
                      <m:t>i</m:t>
                    </m:r>
                  </m:sub>
                </m:sSub>
              </m:e>
              <m:e>
                <m:r>
                  <m:t>∼</m:t>
                </m:r>
                <m:r>
                  <m:rPr>
                    <m:sty m:val="p"/>
                  </m:rPr>
                  <m:t>Bern</m:t>
                </m:r>
                <m:r>
                  <m:t>(</m:t>
                </m:r>
                <m:r>
                  <m:t>λ</m:t>
                </m:r>
                <m:r>
                  <m:t>)</m:t>
                </m:r>
              </m:e>
            </m:mr>
            <m:mr>
              <m:e>
                <m:r>
                  <m:t>l</m:t>
                </m:r>
                <m:r>
                  <m:t>a</m:t>
                </m:r>
                <m:r>
                  <m:t>d</m:t>
                </m:r>
                <m:r>
                  <m:t>d</m:t>
                </m:r>
                <m:r>
                  <m:t>e</m:t>
                </m:r>
                <m:sSub>
                  <m:e>
                    <m:r>
                      <m:t>r</m:t>
                    </m:r>
                  </m:e>
                  <m:sub>
                    <m:r>
                      <m:t>i</m:t>
                    </m:r>
                    <m:r>
                      <m:t>|</m:t>
                    </m:r>
                    <m:r>
                      <m:t>m</m:t>
                    </m:r>
                    <m:r>
                      <m:t>=</m:t>
                    </m:r>
                    <m:r>
                      <m:t>T</m:t>
                    </m:r>
                    <m:r>
                      <m:t>R</m:t>
                    </m:r>
                    <m:r>
                      <m:t>U</m:t>
                    </m:r>
                    <m:r>
                      <m:t>E</m:t>
                    </m:r>
                  </m:sub>
                </m:sSub>
              </m:e>
              <m:e>
                <m:r>
                  <m:t>∼</m:t>
                </m:r>
                <m:r>
                  <m:rPr>
                    <m:sty m:val="p"/>
                  </m:rPr>
                  <m:t>Bern</m:t>
                </m:r>
                <m:r>
                  <m:t>(</m:t>
                </m:r>
                <m:r>
                  <m:t>κ</m:t>
                </m:r>
                <m:r>
                  <m:t>)</m:t>
                </m:r>
              </m:e>
            </m:mr>
            <m:mr>
              <m:e>
                <m:r>
                  <m:t>f</m:t>
                </m:r>
                <m:r>
                  <m:t>a</m:t>
                </m:r>
                <m:r>
                  <m:t>l</m:t>
                </m:r>
                <m:r>
                  <m:t>l</m:t>
                </m:r>
                <m:r>
                  <m:t>b</m:t>
                </m:r>
                <m:r>
                  <m:t>a</m:t>
                </m:r>
                <m:r>
                  <m:t>c</m:t>
                </m:r>
                <m:sSub>
                  <m:e>
                    <m:r>
                      <m:t>k</m:t>
                    </m:r>
                  </m:e>
                  <m:sub>
                    <m:r>
                      <m:t>i</m:t>
                    </m:r>
                  </m:sub>
                </m:sSub>
              </m:e>
              <m:e>
                <m:r>
                  <m:t>∼</m:t>
                </m:r>
                <m:r>
                  <m:rPr>
                    <m:sty m:val="p"/>
                  </m:rPr>
                  <m:t>Bern</m:t>
                </m:r>
                <m:r>
                  <m:t>(</m:t>
                </m:r>
                <m:r>
                  <m:t>ψ</m:t>
                </m:r>
                <m:r>
                  <m:t>)</m:t>
                </m:r>
              </m:e>
            </m:mr>
            <m:mr>
              <m:e>
                <m:r>
                  <m:t>r</m:t>
                </m:r>
                <m:r>
                  <m:t>e</m:t>
                </m:r>
                <m:r>
                  <m:t>−</m:t>
                </m:r>
                <m:r>
                  <m:t>a</m:t>
                </m:r>
                <m:r>
                  <m:t>s</m:t>
                </m:r>
                <m:r>
                  <m:t>c</m:t>
                </m:r>
                <m:r>
                  <m:t>e</m:t>
                </m:r>
                <m:r>
                  <m:t>n</m:t>
                </m:r>
                <m:sSub>
                  <m:e>
                    <m:r>
                      <m:t>d</m:t>
                    </m:r>
                  </m:e>
                  <m:sub>
                    <m:r>
                      <m:t>i</m:t>
                    </m:r>
                    <m:r>
                      <m:t>|</m:t>
                    </m:r>
                    <m:r>
                      <m:t>f</m:t>
                    </m:r>
                    <m:r>
                      <m:t>=</m:t>
                    </m:r>
                    <m:r>
                      <m:t>T</m:t>
                    </m:r>
                    <m:r>
                      <m:t>R</m:t>
                    </m:r>
                    <m:r>
                      <m:t>U</m:t>
                    </m:r>
                    <m:r>
                      <m:t>E</m:t>
                    </m:r>
                  </m:sub>
                </m:sSub>
              </m:e>
              <m:e>
                <m:r>
                  <m:t>∼</m:t>
                </m:r>
                <m:r>
                  <m:rPr>
                    <m:sty m:val="p"/>
                  </m:rPr>
                  <m:t>Bern</m:t>
                </m:r>
                <m:r>
                  <m:t>(</m:t>
                </m:r>
                <m:r>
                  <m:t>ρ</m:t>
                </m:r>
                <m:r>
                  <m:t>)</m:t>
                </m:r>
              </m:e>
            </m:mr>
          </m:m>
        </m:oMath>
      </m:oMathPara>
    </w:p>
    <w:p>
      <w:pPr>
        <w:pStyle w:val="FirstParagraph"/>
      </w:pPr>
      <w:r>
        <w:t xml:space="preserve">Simulation parameters for model evaluations were set to mimic typical ecapement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88">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escapment from the combinations of two seperate trapping rates, two fallback, re-ascension and night-passage combinations and three window count error rates; resulting in twelve different scenarios. First, trapping rates were set static at 0.15 across all weeks for six scenarios to mimic an optimium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sensitivites of STADEM to potential rates of window count error; 0%, 5% and 10%</w:t>
      </w:r>
      <w:r>
        <w:t xml:space="preserve"> </w:t>
      </w:r>
      <w:r>
        <w:t xml:space="preserve">(Hatch et al. 1994)</w:t>
      </w:r>
      <w:r>
        <w:t xml:space="preserve">. Error at the window was simulated as unbiased (i.e., expect varying high and low counts to cancel each other) and is introduced to the sum of daily window counts using a normal</w:t>
      </w:r>
      <w:r>
        <w:t xml:space="preserve"> </w:t>
      </w:r>
      <m:oMath>
        <m:r>
          <m:rPr>
            <m:sty m:val="p"/>
            <m:scr m:val="script"/>
          </m:rPr>
          <m:t>P</m:t>
        </m:r>
        <m:r>
          <m:rPr>
            <m:sty m:val="p"/>
            <m:scr m:val="script"/>
          </m:rPr>
          <m:t>D</m:t>
        </m:r>
        <m:r>
          <m:rPr>
            <m:sty m:val="p"/>
            <m:scr m:val="script"/>
          </m:rPr>
          <m:t>F</m:t>
        </m:r>
      </m:oMath>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hyperlink" Id="rId25" Target="http://fishbull.noaa.gov/" TargetMode="External" /><Relationship Type="http://schemas.openxmlformats.org/officeDocument/2006/relationships/hyperlink" Id="rId26" Target="http://onlinelibrary.wiley.com/journal/10.1111/(ISSN)1467-2979/homepage/ProductInformation.html" TargetMode="External" /><Relationship Type="http://schemas.openxmlformats.org/officeDocument/2006/relationships/hyperlink" Id="rId88" Target="http://www.cbr.washington.edu/dart/query/pit_adult_window" TargetMode="External" /><Relationship Type="http://schemas.openxmlformats.org/officeDocument/2006/relationships/hyperlink" Id="rId35" Target="http://www.cbr.washington.edu/dart/query/pitadult_obsyr_detail" TargetMode="External" /><Relationship Type="http://schemas.openxmlformats.org/officeDocument/2006/relationships/hyperlink" Id="rId23" Target="http://www.nrcresearchpress.com/page/cjfas/editors" TargetMode="External" /><Relationship Type="http://schemas.openxmlformats.org/officeDocument/2006/relationships/hyperlink" Id="rId22" Target="https://afspubs.onlinelibrary.wiley.com/journal/15488659" TargetMode="External" /><Relationship Type="http://schemas.openxmlformats.org/officeDocument/2006/relationships/hyperlink" Id="rId21" Target="https://afspubs.onlinelibrary.wiley.com/journal/15488675" TargetMode="External" /><Relationship Type="http://schemas.openxmlformats.org/officeDocument/2006/relationships/hyperlink" Id="rId28" Target="https://github.com/KevinSee/STADEM" TargetMode="External" /><Relationship Type="http://schemas.openxmlformats.org/officeDocument/2006/relationships/hyperlink" Id="rId24" Target="https://www.journals.elsevier.com/fisheries-research" TargetMode="External" /><Relationship Type="http://schemas.openxmlformats.org/officeDocument/2006/relationships/hyperlink" Id="rId39" Target="https://www.ptagis.org/" TargetMode="External" /><Relationship Type="http://schemas.openxmlformats.org/officeDocument/2006/relationships/hyperlink" Id="rId20" Target="mailto:Kevin.See@merck.com" TargetMode="External" /><Relationship Type="http://schemas.openxmlformats.org/officeDocument/2006/relationships/hyperlink" Id="rId32"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25" Target="http://fishbull.noaa.gov/" TargetMode="External" /><Relationship Type="http://schemas.openxmlformats.org/officeDocument/2006/relationships/hyperlink" Id="rId26" Target="http://onlinelibrary.wiley.com/journal/10.1111/(ISSN)1467-2979/homepage/ProductInformation.html" TargetMode="External" /><Relationship Type="http://schemas.openxmlformats.org/officeDocument/2006/relationships/hyperlink" Id="rId88" Target="http://www.cbr.washington.edu/dart/query/pit_adult_window" TargetMode="External" /><Relationship Type="http://schemas.openxmlformats.org/officeDocument/2006/relationships/hyperlink" Id="rId35" Target="http://www.cbr.washington.edu/dart/query/pitadult_obsyr_detail" TargetMode="External" /><Relationship Type="http://schemas.openxmlformats.org/officeDocument/2006/relationships/hyperlink" Id="rId23" Target="http://www.nrcresearchpress.com/page/cjfas/editors" TargetMode="External" /><Relationship Type="http://schemas.openxmlformats.org/officeDocument/2006/relationships/hyperlink" Id="rId22" Target="https://afspubs.onlinelibrary.wiley.com/journal/15488659" TargetMode="External" /><Relationship Type="http://schemas.openxmlformats.org/officeDocument/2006/relationships/hyperlink" Id="rId21" Target="https://afspubs.onlinelibrary.wiley.com/journal/15488675" TargetMode="External" /><Relationship Type="http://schemas.openxmlformats.org/officeDocument/2006/relationships/hyperlink" Id="rId28" Target="https://github.com/KevinSee/STADEM" TargetMode="External" /><Relationship Type="http://schemas.openxmlformats.org/officeDocument/2006/relationships/hyperlink" Id="rId24" Target="https://www.journals.elsevier.com/fisheries-research" TargetMode="External" /><Relationship Type="http://schemas.openxmlformats.org/officeDocument/2006/relationships/hyperlink" Id="rId39" Target="https://www.ptagis.org/" TargetMode="External" /><Relationship Type="http://schemas.openxmlformats.org/officeDocument/2006/relationships/hyperlink" Id="rId20" Target="mailto:Kevin.See@merck.com" TargetMode="External" /><Relationship Type="http://schemas.openxmlformats.org/officeDocument/2006/relationships/hyperlink" Id="rId32"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Mike W. Ackerman1</dc:creator>
  <cp:keywords/>
  <dcterms:created xsi:type="dcterms:W3CDTF">2020-08-20T22:19:18Z</dcterms:created>
  <dcterms:modified xsi:type="dcterms:W3CDTF">2020-08-20T22:19:18Z</dcterms:modified>
</cp:coreProperties>
</file>