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1.png" ContentType="image/png"/>
  <Override PartName="/word/media/rId79.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August</w:t>
      </w:r>
      <w:r>
        <w:t xml:space="preserve"> </w:t>
      </w:r>
      <w:r>
        <w:t xml:space="preserve">27,</w:t>
      </w:r>
      <w:r>
        <w:t xml:space="preserve"> </w:t>
      </w:r>
      <w:r>
        <w:t xml:space="preserve">2020</w:t>
      </w:r>
    </w:p>
    <w:p>
      <w:pPr>
        <w:pStyle w:val="Compact"/>
        <w:pStyle w:val="Abstract"/>
      </w:pPr>
      <w:r>
        <w:t xml:space="preserve">Accurate</w:t>
      </w:r>
      <w:r>
        <w:t xml:space="preserve"> </w:t>
      </w:r>
      <w:r>
        <w:t xml:space="preserve">estimates</w:t>
      </w:r>
      <w:r>
        <w:t xml:space="preserve"> </w:t>
      </w:r>
      <w:r>
        <w:t xml:space="preserve">of</w:t>
      </w:r>
      <w:r>
        <w:t xml:space="preserve"> </w:t>
      </w:r>
      <w:r>
        <w:t xml:space="preserve">the</w:t>
      </w:r>
      <w:r>
        <w:t xml:space="preserve"> </w:t>
      </w:r>
      <w:r>
        <w:t xml:space="preserve">number</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successfully</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that</w:t>
      </w:r>
      <w:r>
        <w:t xml:space="preserve"> </w:t>
      </w:r>
      <w:r>
        <w:t xml:space="preserve">area.</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this</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and</w:t>
      </w:r>
      <w:r>
        <w:t xml:space="preserve"> </w:t>
      </w:r>
      <w:r>
        <w:t xml:space="preserve">found</w:t>
      </w:r>
      <w:r>
        <w:t xml:space="preserve"> </w:t>
      </w:r>
      <w:r>
        <w:t xml:space="preserve">it</w:t>
      </w:r>
      <w:r>
        <w:t xml:space="preserve"> </w:t>
      </w:r>
      <w:r>
        <w:t xml:space="preserve">to</w:t>
      </w:r>
      <w:r>
        <w:t xml:space="preserve"> </w:t>
      </w:r>
      <w:r>
        <w:t xml:space="preserve">produce</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produces</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w:t>
      </w:r>
      <w:r>
        <w:t xml:space="preserve"> </w:t>
      </w:r>
      <w:r>
        <w:t xml:space="preserve">run</w:t>
      </w:r>
      <w:r>
        <w:t xml:space="preserve"> </w:t>
      </w:r>
      <w:r>
        <w:t xml:space="preserve">Chinook</w:t>
      </w:r>
      <w:r>
        <w:t xml:space="preserve"> </w:t>
      </w:r>
      <w:r>
        <w:t xml:space="preserve">Salmon</w:t>
      </w:r>
      <w:r>
        <w:t xml:space="preserve"> </w:t>
      </w:r>
      <w:r>
        <w:t xml:space="preserve">and</w:t>
      </w:r>
      <w:r>
        <w:t xml:space="preserve"> </w:t>
      </w:r>
      <w:r>
        <w:t xml:space="preserve">steelhead</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 Boise, Idaho, 83702, USA</w:t>
      </w:r>
      <w:r>
        <w:br w:type="textWrapping"/>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often refers to the number of adults that survive juvenile and subadult rearing, escape harvest and return to their natal habitat to potentially spawn (e.g.</w:t>
      </w:r>
      <w:r>
        <w:t xml:space="preserve"> </w:t>
      </w:r>
      <w:r>
        <w:t xml:space="preserve">Bue et al. (1998)</w:t>
      </w:r>
      <w:r>
        <w:t xml:space="preserve">). For anadromous fishes, escapement is often estimated at a fixed location in a river system prior to fish reaching their spawning area. Escapement estimates facilitate effective fisheries management, and particularly, estimates of escapement for component groups (e.g., by stock, population, age, origin [wild, hatchery];</w:t>
      </w:r>
      <w:r>
        <w:t xml:space="preserve"> </w:t>
      </w:r>
      <w:r>
        <w:t xml:space="preserve">Hess et al. (2014)</w:t>
      </w:r>
      <w:r>
        <w:t xml:space="preserve">;</w:t>
      </w:r>
      <w:r>
        <w:t xml:space="preserve"> </w:t>
      </w:r>
      <w:r>
        <w:t xml:space="preserve">Steinhorst et al. (2017)</w:t>
      </w:r>
      <w:r>
        <w:t xml:space="preserve">;</w:t>
      </w:r>
      <w:r>
        <w:t xml:space="preserve"> </w:t>
      </w:r>
      <w:r>
        <w:t xml:space="preserve">Camacho et al. (2017)</w:t>
      </w:r>
      <w:r>
        <w:t xml:space="preserve">)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and facilitate assessments of population viability and extinction risk</w:t>
      </w:r>
      <w:r>
        <w:t xml:space="preserve"> </w:t>
      </w:r>
      <w:r>
        <w:t xml:space="preserve">(Ford et al.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cultural, recreational, commercial and subsistence value both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w:t>
      </w:r>
      <w:r>
        <w:t xml:space="preserve"> </w:t>
      </w:r>
      <w:r>
        <w:t xml:space="preserve">(NPCC 2014; Northwest Fisheries Science Center 2015; National Marine Fisheries Service 2019)</w:t>
      </w:r>
      <w:r>
        <w:t xml:space="preserve">. Additionally, harvest openings and closures, both upstream in Snake River fisheries and downstream in mainstem Snake and Columbia rivers fisheries, are predicated on escapements at Lower Granite Dam.</w:t>
      </w:r>
    </w:p>
    <w:p>
      <w:pPr>
        <w:pStyle w:val="BodyText"/>
      </w:pPr>
      <w:r>
        <w:t xml:space="preserve">Chinook Salmon and steelhead returning to a majority of populations in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(Camacho et al. 2017; Steinhorst et al. 2017; Steele et al. 2019)</w:t>
      </w:r>
      <w:r>
        <w:t xml:space="preserve">. Window counts as a census proved beneficial as being an easy, straight-forward method that was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Using window counts, however, as a census of Chinook Salmon and steelhead passing Lower Granite Dam can be problematic as it avoids multiple sources of uncertainty and disregards known biological processes. First, live (i.e., in-person) window counts only occur from April through October each year. Additionally, live window counts only occur for 16-hours each day, and fish counters working at the observation window look directly into the fish ladders to identify and count all passing fish, by species, for 50 minutes of each hour. Counts are then expanded to provide an estimate for the entire hour</w:t>
      </w:r>
      <w:r>
        <w:t xml:space="preserve"> </w:t>
      </w:r>
      <w:r>
        <w:t xml:space="preserve">(USACE 2015)</w:t>
      </w:r>
      <w:r>
        <w:t xml:space="preserve">. From November through March, the remainder of the year, video tape fish counting is used and only occurs for 10 hours each day; fish counters then read the video tapes and submit daily fish counts</w:t>
      </w:r>
      <w:r>
        <w:t xml:space="preserve"> </w:t>
      </w:r>
      <w:r>
        <w:t xml:space="preserve">(Hatch et al. 1994)</w:t>
      </w:r>
      <w:r>
        <w:t xml:space="preserve">. Typically, the observational error rates of live and video window counts are unknown, and sampling error rates are ignored. Additionally, two biological processes are unaccounted for: 1) fish that cross the dam during the 8-hours when the window is closed for counting (i.e., nighttime passage) which may result in an underestimate of escapement, and 2) fish that migrate through the ladder and past the dam may fallback over the dam (e.g., over spillway, through navigation locks), and later, may or may not re-ascend the fish ladder again</w:t>
      </w:r>
      <w:r>
        <w:t xml:space="preserve"> </w:t>
      </w:r>
      <w:r>
        <w:t xml:space="preserve">(Boggs et al. 2004)</w:t>
      </w:r>
      <w:r>
        <w:t xml:space="preserve">. Both fallback with no re-ascension and fallback with re-ascension potentially result in an overestimate of escapement</w:t>
      </w:r>
      <w:r>
        <w:t xml:space="preserve"> </w:t>
      </w:r>
      <w:r>
        <w:t xml:space="preserve">(Dauble and Mueller 2000)</w:t>
      </w:r>
      <w:r>
        <w:t xml:space="preserve">. Previously, it was assumed that nighttime passage rates and fallback/re-ascension rates canceled each other out resulting in window counts providing an unbiased estimate of escapement</w:t>
      </w:r>
      <w:r>
        <w:t xml:space="preserve"> </w:t>
      </w:r>
      <w:r>
        <w:t xml:space="preserve">(Camacho et al. 2017)</w:t>
      </w:r>
      <w:r>
        <w:t xml:space="preserve">.</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show that observed nighttime passage and fallback/re-ascension rates are typically unequal. Our method for estimating escapement, by species, past Lower Granite Dam incorporates window counts, data from the adult fish trap, and observations of PIT tagged fish in the adult ladder to explicitly model nighttime passage, re-ascension, and error from both window and trap estimates using a state-space approach</w:t>
      </w:r>
      <w:r>
        <w:t xml:space="preserve"> </w:t>
      </w:r>
      <w:r>
        <w:t xml:space="preserve">(Royle and Dorazio 2008)</w:t>
      </w:r>
      <w:r>
        <w:t xml:space="preserve">. To meet desired management and conservation objectives, modeled escapement includes estimates of uncertainty and is parsed into weekly strata. Further, total and weekly estimates are parsed into three origin groups: wild, hatchery, and hatchery no-clip. Estimates of escapement account for fish that migrate through the ladder at night outside of observation hours and account for fish that may ascend the ladder multiple times due to fallback and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previously PIT tagged fish detected in the adult fish ladder. Below, we describe each of the data sources in more detail as they pertain to Lower Granite Dam; knowing, similar data could likely be obtained from other fish passage facilities.</w:t>
      </w:r>
    </w:p>
    <w:p>
      <w:pPr>
        <w:pStyle w:val="Heading3"/>
      </w:pPr>
      <w:bookmarkStart w:id="25" w:name="window-counts"/>
      <w:r>
        <w:t xml:space="preserve">Window Counts</w:t>
      </w:r>
      <w:bookmarkEnd w:id="25"/>
    </w:p>
    <w:p>
      <w:pPr>
        <w:pStyle w:val="FirstParagraph"/>
      </w:pPr>
      <w:r>
        <w:t xml:space="preserve">Daily counts of adult Chinook Salmon and steelhead passing an observation window located on the Lower Granite Dam fish ladder were the first source of data. Daily counts were made and provided by the US Army Corps of Engineers, and when summed, provide an estimate of the number of fish ascending and passing (i.e., escapement)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 Although window counts were assumed to be a census of every fish passing Lower Granite Dam, corrections were not applied for nighttime passage or re-ascending fish. Further, there was no estimation of daily or seasonal observation or sampling error.</w:t>
      </w:r>
    </w:p>
    <w:p>
      <w:pPr>
        <w:pStyle w:val="Heading3"/>
      </w:pPr>
      <w:bookmarkStart w:id="27" w:name="adult-fish-trap-data"/>
      <w:r>
        <w:t xml:space="preserve">Adult Fish Trap Data</w:t>
      </w:r>
      <w:bookmarkEnd w:id="27"/>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 (e.g.,</w:t>
      </w:r>
      <w:r>
        <w:t xml:space="preserve"> </w:t>
      </w:r>
      <w:r>
        <w:t xml:space="preserve">Camacho et al. (2017)</w:t>
      </w:r>
      <w:r>
        <w:t xml:space="preserve">,</w:t>
      </w:r>
      <w:r>
        <w:t xml:space="preserve"> </w:t>
      </w:r>
      <w:r>
        <w:t xml:space="preserve">Steinhorst et al. (2017)</w:t>
      </w:r>
      <w:r>
        <w:t xml:space="preserve">). The trap was operational for 24 hours per day, and randomly sampled the daily run by opening four times per hour for a length of time determined by a set daily trapping rate. The trap rate was determined by a committee of collaborating management agencies with a goal of capturing a target number of wild fish, but also balancing fish handling concerns. Trap sample rates were typically 10-25%, but fluctuated throughout the season due to high water temperatures, decreased flows, trap malfunctions and/or closures, fish handling logistics, in-season forecast adjustments, etc.</w:t>
      </w:r>
    </w:p>
    <w:p>
      <w:pPr>
        <w:pStyle w:val="BodyText"/>
      </w:pPr>
      <w:r>
        <w:t xml:space="preserve">All captured fish were anesthetized, identified to species, examined for existing marks/tags, and measured for fork length. For adipose-intact (unclipped) adults, which includes wild and hatchery-no clip individuals, some portion or all of fish trapped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origin of wild fish via genetic stock identification (e.g.,</w:t>
      </w:r>
      <w:r>
        <w:t xml:space="preserve"> </w:t>
      </w:r>
      <w:r>
        <w:t xml:space="preserve">Hargrove et al. (2019)</w:t>
      </w:r>
      <w:r>
        <w:t xml:space="preserve">). Prior to 2013, only fish determined to be wild in origin at the trap were sampled for scale and genetics. Starting in 2013, every unclipped Chinook Salmon and steelhead trapped at LGR was genotyped to simplify collaborative logistics and better estimate the proportion of phenotypically wild fish of truly hatchery origin.</w:t>
      </w:r>
      <w:r>
        <w:t xml:space="preserve"> </w:t>
      </w:r>
      <w:r>
        <w:t xml:space="preserve">Camacho et al. (2017)</w:t>
      </w:r>
      <w:r>
        <w:t xml:space="preserve"> </w:t>
      </w:r>
      <w:r>
        <w:t xml:space="preserve">provide further details on trap sample rates and valid sample selection. Prior to release, all non-PIT tagged fish with an intact adipose fin (i.e., putatively wild) received a PIT tag. Final determination of wild, hatchery, and hatchery no-clip origins were assigned using a post-hoc analysis of marks and tags, including genetic parentage-based tags</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2017)</w:t>
      </w:r>
      <w:r>
        <w:t xml:space="preserve">.</w:t>
      </w:r>
    </w:p>
    <w:p>
      <w:pPr>
        <w:pStyle w:val="Heading3"/>
      </w:pPr>
      <w:bookmarkStart w:id="28" w:name="pit-tag-data"/>
      <w:r>
        <w:t xml:space="preserve">PIT tag Data</w:t>
      </w:r>
      <w:bookmarkEnd w:id="28"/>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proportion of fish passing during nighttime hours, and 3) the proportion of fish that ascend the fish ladder multiple times (i.e., the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BodyText"/>
      </w:pPr>
      <w:r>
        <w:t xml:space="preserve">A trap rate estimate was derived using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Using a mark-recapture model with differing capture probabilities, we estimated the trap rate on a weekly basis. Those estimates, with associated uncertainties, were then incorporated into the model as informed priors, while the model estimated the true trap rate based on all the data, including trap and window counts. We want to estimate the</w:t>
      </w:r>
      <w:r>
        <w:t xml:space="preserve"> </w:t>
      </w:r>
      <w:r>
        <w:t xml:space="preserve">“</w:t>
      </w:r>
      <w:r>
        <w:t xml:space="preserve">true</w:t>
      </w:r>
      <w:r>
        <w:t xml:space="preserve">”</w:t>
      </w:r>
      <w:r>
        <w:t xml:space="preserve"> </w:t>
      </w:r>
      <w:r>
        <w:t xml:space="preserve">trapping rate as the set trapping rate, the recorded time that the trap is open to trap adults, does not always reflect the true proportion of fish that are captured in the trap due to various issues including trap malfunctions, separation-by-code fish opening the trap more frequently than expected, and process error, among others. Therefore, we use the mark-recapture estimate of the trap rate to estimate a true trapping rate.</w:t>
      </w:r>
    </w:p>
    <w:p>
      <w:pPr>
        <w:pStyle w:val="BodyText"/>
      </w:pPr>
      <w:r>
        <w:t xml:space="preserve">The nighttime passage rate was estimated as the count of tags that migrated through the fish ladder during non-window observation hours divided by the total number of tags passing the fish ladder, and was calculated on a weekly basis. The re-ascension rate was the count of tags observed passing the upstream most detection sites in the adult fish ladder (i.e., passing the dam) and later detected re-entering the downstream end of the fish ladder at a later time divided by 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0" w:name="model-framework"/>
      <w:r>
        <w:t xml:space="preserve">Model Framework</w:t>
      </w:r>
      <w:bookmarkEnd w:id="30"/>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further accounted for the proportion of fish that ascended the ladder while the counting window was closed (i.e., night), as well as for fish potentially double-counted (or more) after falling back below the dam and later re-ascending the fish ladder.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1" w:name="simulations"/>
      <w:r>
        <w:t xml:space="preserve">Simulations</w:t>
      </w:r>
      <w:bookmarkEnd w:id="31"/>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separate trapping rates,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Further details about simulation procedures can be found in</w:t>
      </w:r>
      <w:r>
        <w:t xml:space="preserve"> </w:t>
      </w:r>
      <w:hyperlink w:anchor="append2">
        <w:r>
          <w:rPr>
            <w:rStyle w:val="Hyperlink"/>
          </w:rPr>
          <w:t xml:space="preserve">Appendix B</w:t>
        </w:r>
      </w:hyperlink>
      <w:r>
        <w:t xml:space="preserve">.</w:t>
      </w:r>
    </w:p>
    <w:p>
      <w:pPr>
        <w:pStyle w:val="Heading2"/>
      </w:pPr>
      <w:bookmarkStart w:id="32" w:name="lower-granite-application"/>
      <w:r>
        <w:t xml:space="preserve">Lower Granite Application</w:t>
      </w:r>
      <w:bookmarkEnd w:id="32"/>
    </w:p>
    <w:p>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3">
        <w:r>
          <w:rPr>
            <w:rStyle w:val="Hyperlink"/>
          </w:rPr>
          <w:t xml:space="preserve">https://www.ptagis.org/</w:t>
        </w:r>
      </w:hyperlink>
      <w:r>
        <w:t xml:space="preserve">).</w:t>
      </w:r>
    </w:p>
    <w:p>
      <w:pPr>
        <w:pStyle w:val="Heading1"/>
      </w:pPr>
      <w:bookmarkStart w:id="34" w:name="results"/>
      <w:r>
        <w:t xml:space="preserve">Results</w:t>
      </w:r>
      <w:bookmarkEnd w:id="34"/>
    </w:p>
    <w:p>
      <w:pPr>
        <w:pStyle w:val="Heading2"/>
      </w:pPr>
      <w:bookmarkStart w:id="35" w:name="simulations-1"/>
      <w:r>
        <w:t xml:space="preserve">Simulations</w:t>
      </w:r>
      <w:bookmarkEnd w:id="35"/>
    </w:p>
    <w:p>
      <w:pPr>
        <w:pStyle w:val="FirstParagraph"/>
      </w:pPr>
      <w:r>
        <w:t xml:space="preserve">Simulation results of observed bias, sampling variation, precision, root mean squared deviation (RMSD), and coverage probabilities were qualitatively similar for the hatchery (N = 70,000) and hatchery no-clip (N = 5,000) origin groups as observed in the wild origin group (N = 25,000) comparisons. As such, only diagnostic measures of Lower Granite Dam model fits to a medium sized escapement level (e.g., wild origin escapement) are presented.</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w:t>
      </w:r>
      <w:r>
        <w:t xml:space="preserve"> </w:t>
      </w:r>
      <w:r>
        <w:t xml:space="preserve">2</w:t>
      </w:r>
      <w:r>
        <w:t xml:space="preserve">).</w:t>
      </w:r>
    </w:p>
    <w:p>
      <w:pPr>
        <w:pStyle w:val="Heading2"/>
      </w:pPr>
      <w:bookmarkStart w:id="36" w:name="lower-granite-application-1"/>
      <w:r>
        <w:t xml:space="preserve">Lower Granite Application</w:t>
      </w:r>
      <w:bookmarkEnd w:id="36"/>
    </w:p>
    <w:p>
      <w:pPr>
        <w:pStyle w:val="FirstParagraph"/>
      </w:pPr>
      <w:r>
        <w:t xml:space="preserve">We applied STADEM to data from Lower Granite Dam for Chinook Salmon and steelhead for spawn years 2010–2019. Estimates of total escapement, as well as estimates of wild, hatchery, and hatchery no-clip estimates are presented in Table</w:t>
      </w:r>
      <w:r>
        <w:t xml:space="preserve"> </w:t>
      </w:r>
      <w:r>
        <w:t xml:space="preserve">3</w:t>
      </w:r>
      <w:r>
        <w:t xml:space="preserve">. Coefficients of variation ranged from 2.7-24.8% for wild fish, 2.2-10.5% for hatchery fish, 3.6-11% for hatchery no-clip fish and 2.1-10.4% for total unique fish past Lower Granite Dam. Excluding 2019, which had the lowest escapement estimates for both species, the maximum CVs were 6.6% for wild fish, 5.6% for clipped hatchery fish, 8% for unclipped hatchery fish and 5.2% for total unque fish.</w:t>
      </w:r>
    </w:p>
    <w:p>
      <w:pPr>
        <w:pStyle w:val="BodyText"/>
      </w:pPr>
      <w:r>
        <w:t xml:space="preserve">Weekly estimates of total escapement over Lower Granite Dam tracked the window counts and trap estimates (Figure</w:t>
      </w:r>
      <w:r>
        <w:t xml:space="preserve"> </w:t>
      </w:r>
      <w:r>
        <w:t xml:space="preserve">3</w:t>
      </w:r>
      <w:r>
        <w:t xml:space="preserve">). STADEM point estimates were often between estimates based on window counts, and those based on the number of fish caught in the adult trap. However, when very few fish were caught in the trap, or there was more uncertainty about the trap rate that week,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w:t>
      </w:r>
    </w:p>
    <w:p>
      <w:pPr>
        <w:pStyle w:val="BodyText"/>
      </w:pPr>
      <w:r>
        <w:t xml:space="preserve">Examining the estimates of nighttime passage and re-ascension rates based on the observed PIT tags crossing over Lower Granite Dam (Figure</w:t>
      </w:r>
      <w:r>
        <w:t xml:space="preserve"> </w:t>
      </w:r>
      <w:r>
        <w:t xml:space="preserve">4</w:t>
      </w:r>
      <w:r>
        <w:t xml:space="preserve">), the two rates did not match up in most cases. In particular, there are several weeks when the window counts are quite high, and the rates differ by as much as 10%. Clearly, those two biological processes do not cancel each other out in nearly all cases, and thus, employing a model that accounts for both will result in more accurate estimates of escapement.</w:t>
      </w:r>
    </w:p>
    <w:p>
      <w:pPr>
        <w:pStyle w:val="Heading1"/>
      </w:pPr>
      <w:bookmarkStart w:id="37" w:name="discussion"/>
      <w:r>
        <w:t xml:space="preserve">Discussion</w:t>
      </w:r>
      <w:bookmarkEnd w:id="37"/>
    </w:p>
    <w:p>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models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w:t>
      </w:r>
      <w:r>
        <w:t xml:space="preserve"> </w:t>
      </w:r>
      <w:r>
        <w:rPr>
          <w:i/>
        </w:rPr>
        <w:t xml:space="preserve">Lampetra tridentata</w:t>
      </w:r>
      <w:r>
        <w:t xml:space="preserve">),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more reasonable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and we believe it’s prudent to capture and account for known sources of error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resulting in potential fish handling stress and/or trap malfunctions. Given predicted Pacific Northwest climate change scenarios 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Although not currently set up for this, STADEM could be modified and run on a weekly basis or in near real-time to provide better in-season estimates for fisheries managers. Currently, the only roadblock to this, at Lower Granite Dam, is the identification of hatchery origin fish from phenotypically wild fish (i.e., hatchery no-clip) using genetic tissue samples</w:t>
      </w:r>
      <w:r>
        <w:t xml:space="preserve"> </w:t>
      </w:r>
      <w:r>
        <w:t xml:space="preserve">(Steele et al. 2013, 2019)</w:t>
      </w:r>
      <w:r>
        <w:t xml:space="preserve"> </w:t>
      </w:r>
      <w:r>
        <w:t xml:space="preserve">collected at the adult trap, which currently is completed post-hoc after the trapping season. The inclusion of genetic information typically results in a reduction in wild escapement estimates and an associated increase in hatchery no-clip escapement.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almost real-time by DART. Provided the Lower Granite Dam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or population specific spawning areas</w:t>
      </w:r>
      <w:r>
        <w:t xml:space="preserve"> </w:t>
      </w:r>
      <w:r>
        <w:t xml:space="preserve">(Kinzer et al. 2020a, 2020b)</w:t>
      </w:r>
      <w:r>
        <w:t xml:space="preserve">. Estimates of escapement at Lower Granite Dam, by species and origin, including known uncertainty, are available to further parse into sex- or age-structured escapement estimates (e.g.,</w:t>
      </w:r>
      <w:r>
        <w:t xml:space="preserve"> </w:t>
      </w:r>
      <w:r>
        <w:t xml:space="preserve">Camacho et al. (2017)</w:t>
      </w:r>
      <w:r>
        <w:t xml:space="preserve">,</w:t>
      </w:r>
      <w:r>
        <w:t xml:space="preserve"> </w:t>
      </w:r>
      <w:r>
        <w:t xml:space="preserve">Schrader et al. (2013)</w:t>
      </w:r>
      <w:r>
        <w:t xml:space="preserve">) 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that, joined with sex and age data collected at the adult fish trap</w:t>
      </w:r>
      <w:r>
        <w:t xml:space="preserve"> </w:t>
      </w:r>
      <w:r>
        <w:t xml:space="preserve">(Hargrove et al. 2019)</w:t>
      </w:r>
      <w:r>
        <w:t xml:space="preserve">,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38" w:name="acknowledgements"/>
      <w:r>
        <w:t xml:space="preserve">Acknowledgements</w:t>
      </w:r>
      <w:bookmarkEnd w:id="38"/>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39" w:name="references"/>
      <w:r>
        <w:t xml:space="preserve">References</w:t>
      </w:r>
      <w:bookmarkEnd w:id="39"/>
    </w:p>
    <w:bookmarkStart w:id="75" w:name="refs"/>
    <w:bookmarkStart w:id="40" w:name="ref-Boggs2004"/>
    <w:p>
      <w:pPr>
        <w:pStyle w:val="FirstParagraph"/>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0"/>
    <w:bookmarkStart w:id="41" w:name="ref-Bue1998"/>
    <w:p>
      <w:pPr>
        <w:pStyle w:val="BodyText"/>
      </w:pPr>
      <w:r>
        <w:t xml:space="preserve">Bue, B., S. Fried, S. Sharr, D. Sharp, J. Wilcock, and H. Geiger. 1998. Estimating salmon escapement using area-under-the-curve, aerial observer efficiency, and stream-life estimates: The prince william sound pink salmon example. North Pacific Anadromous Fish Commission Bulletin 1:240–250.</w:t>
      </w:r>
    </w:p>
    <w:bookmarkEnd w:id="41"/>
    <w:bookmarkStart w:id="42" w:name="ref-Camacho2017"/>
    <w:p>
      <w:pPr>
        <w:pStyle w:val="BodyText"/>
      </w:pPr>
      <w:r>
        <w:t xml:space="preserve">Camacho, C., K. Wright, J. Powell, W. C. Schrader, T. Copeland, M. Ackerman, M. Dobos, M. Corsi, and M. R. Campbell. 2017. Wild adult steelhead and Chinook salmon abundance and composition at Lower Granite Dam, spawn years 2009-2016. Idaho Department of Fish and Game, 17-06.</w:t>
      </w:r>
    </w:p>
    <w:bookmarkEnd w:id="42"/>
    <w:bookmarkStart w:id="43" w:name="ref-Campbell2012a"/>
    <w:p>
      <w:pPr>
        <w:pStyle w:val="BodyText"/>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3"/>
    <w:bookmarkStart w:id="44" w:name="ref-crozier2019climate"/>
    <w:p>
      <w:pPr>
        <w:pStyle w:val="BodyText"/>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44"/>
    <w:bookmarkStart w:id="45" w:name="ref-Dauble2000"/>
    <w:p>
      <w:pPr>
        <w:pStyle w:val="BodyText"/>
      </w:pPr>
      <w:r>
        <w:t xml:space="preserve">Dauble, D. D., and R. P. Mueller. 2000. Upstream passage monitoring: Difficulties in estimating survival for adult chinook salmon in the columbia and snake rivers. Fisheries 25(8):24–34. Taylor &amp; Francis.</w:t>
      </w:r>
    </w:p>
    <w:bookmarkEnd w:id="45"/>
    <w:bookmarkStart w:id="46" w:name="ref-nwfsc2015"/>
    <w:p>
      <w:pPr>
        <w:pStyle w:val="BodyText"/>
      </w:pPr>
      <w:r>
        <w:t xml:space="preserve">Ford, M., K. Barnas, T. Cooney, L. Crozier, M. Diaz, J.J. Hard, E. Holmes, D. Holzer, R. Kope, P. Lawson, M. Liermann, J. Myers, M. Rowse, D. Teel, D. V. Doornik, T. Wainwright, L. Weitkamp, and M. Williams. 2015. Status review update for pacific salmon and steelhead listed under the endangered species act: Pacific northwest. National Marine Fisheries Service, Northwest Fisheries Science Center.</w:t>
      </w:r>
    </w:p>
    <w:bookmarkEnd w:id="46"/>
    <w:bookmarkStart w:id="47" w:name="ref-Hargrove2019"/>
    <w:p>
      <w:pPr>
        <w:pStyle w:val="BodyText"/>
      </w:pPr>
      <w:r>
        <w:t xml:space="preserve">Hargrove, J. S., T. A. Delomas, and M. Davison. 2019. Chinook and steelhead genotyping for genetic stock identification at Lower Granite Dam. Idaho Department of Fish and Game, 19-08.</w:t>
      </w:r>
    </w:p>
    <w:bookmarkEnd w:id="47"/>
    <w:bookmarkStart w:id="48" w:name="ref-Hatch1994"/>
    <w:p>
      <w:pPr>
        <w:pStyle w:val="BodyText"/>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48"/>
    <w:bookmarkStart w:id="49" w:name="ref-hess2014monitoring"/>
    <w:p>
      <w:pPr>
        <w:pStyle w:val="BodyText"/>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49"/>
    <w:bookmarkStart w:id="50" w:name="ref-WDFW2019"/>
    <w:p>
      <w:pPr>
        <w:pStyle w:val="BodyText"/>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0"/>
    <w:bookmarkStart w:id="51" w:name="ref-kinzer2020report"/>
    <w:p>
      <w:pPr>
        <w:pStyle w:val="BodyText"/>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1"/>
    <w:bookmarkStart w:id="52" w:name="ref-iptds2020report"/>
    <w:p>
      <w:pPr>
        <w:pStyle w:val="BodyText"/>
      </w:pPr>
      <w:r>
        <w:t xml:space="preserve">Kinzer, R. N., Orme Rick, M. Campbell, J. Hargrove, and K. See. 2020b. REPORT to noaa fisheries for 5-year esa status review: SNAKE river basin steelhead and chinook salmon population abundance, life history, and diversity metrics calculated from in-stream pit-tag observations (sy2010-sy2019).</w:t>
      </w:r>
    </w:p>
    <w:bookmarkEnd w:id="52"/>
    <w:bookmarkStart w:id="53" w:name="ref-mcclure2003large"/>
    <w:p>
      <w:pPr>
        <w:pStyle w:val="BodyText"/>
      </w:pPr>
      <w:r>
        <w:t xml:space="preserve">McClure, M. M., E. E. Holmes, B. L. Sanderson, and C. E. Jordan. 2003. A large-scale, multispecies status assessment: Anadromous salmonids in the columbia river basin. Ecological Applications 13(4):964–989. Wiley Online Library.</w:t>
      </w:r>
    </w:p>
    <w:bookmarkEnd w:id="53"/>
    <w:bookmarkStart w:id="54" w:name="ref-mcelhany2000viable"/>
    <w:p>
      <w:pPr>
        <w:pStyle w:val="BodyText"/>
      </w:pPr>
      <w:r>
        <w:t xml:space="preserve">McElhany, P., M. H. Rucklelshaus, M. J. Ford, T. C. Wainwright, and E. P. Bjorkstedt. 2000. Viable salmonid populations and the recovery of evolutionarily significant units.</w:t>
      </w:r>
    </w:p>
    <w:bookmarkEnd w:id="54"/>
    <w:bookmarkStart w:id="55" w:name="ref-NMFS2019BiOp"/>
    <w:p>
      <w:pPr>
        <w:pStyle w:val="BodyText"/>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bookmarkEnd w:id="55"/>
    <w:bookmarkStart w:id="56" w:name="ref-nehlsen1991pacific"/>
    <w:p>
      <w:pPr>
        <w:pStyle w:val="BodyText"/>
      </w:pPr>
      <w:r>
        <w:t xml:space="preserve">Nehlsen, W., J. E. Williams, and J. A. Lichatowich. 1991. Pacific salmon at the crossroads: Stocks at risk from california, oregon, idaho, and washington. Fisheries 16(2):4–21. Wiley Online Library.</w:t>
      </w:r>
    </w:p>
    <w:bookmarkEnd w:id="56"/>
    <w:bookmarkStart w:id="57" w:name="ref-NFSC2015"/>
    <w:p>
      <w:pPr>
        <w:pStyle w:val="BodyText"/>
      </w:pPr>
      <w:r>
        <w:t xml:space="preserve">Northwest Fisheries Science Center. 2015. Status review update for Pacific salmon and steelhead listed under the Endangered Species Act: Pacific Northwest.</w:t>
      </w:r>
    </w:p>
    <w:bookmarkEnd w:id="57"/>
    <w:bookmarkStart w:id="58" w:name="ref-NPCC2014"/>
    <w:p>
      <w:pPr>
        <w:pStyle w:val="BodyText"/>
      </w:pPr>
      <w:r>
        <w:t xml:space="preserve">NPCC. 2014. Columbia River basin fish and wildlife program. Northwest Power; Conservation Council.</w:t>
      </w:r>
    </w:p>
    <w:bookmarkEnd w:id="58"/>
    <w:bookmarkStart w:id="59" w:name="ref-Ogden2014"/>
    <w:p>
      <w:pPr>
        <w:pStyle w:val="BodyText"/>
      </w:pPr>
      <w:r>
        <w:t xml:space="preserve">Ogden, D. A. 2014. Operation of the adult trap at lower granite dam 2013.</w:t>
      </w:r>
    </w:p>
    <w:bookmarkEnd w:id="59"/>
    <w:bookmarkStart w:id="60" w:name="ref-Ogden2016b"/>
    <w:p>
      <w:pPr>
        <w:pStyle w:val="BodyText"/>
      </w:pPr>
      <w:r>
        <w:t xml:space="preserve">Ogden, D. A. 2016a. Operation of the adult trap at Lower Granite Dam 2015.</w:t>
      </w:r>
    </w:p>
    <w:bookmarkEnd w:id="60"/>
    <w:bookmarkStart w:id="61" w:name="ref-Ogden2016"/>
    <w:p>
      <w:pPr>
        <w:pStyle w:val="BodyText"/>
      </w:pPr>
      <w:r>
        <w:t xml:space="preserve">Ogden, D. A. 2016b. Operation of the adult trap at Lower Granite Dam 2014.</w:t>
      </w:r>
    </w:p>
    <w:bookmarkEnd w:id="61"/>
    <w:bookmarkStart w:id="62" w:name="ref-orme2018population"/>
    <w:p>
      <w:pPr>
        <w:pStyle w:val="BodyText"/>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2"/>
    <w:bookmarkStart w:id="63" w:name="ref-R-rjags"/>
    <w:p>
      <w:pPr>
        <w:pStyle w:val="BodyText"/>
      </w:pPr>
      <w:r>
        <w:t xml:space="preserve">Plummer, M. 2019. Rjags: Bayesian graphical models using mcmc.</w:t>
      </w:r>
    </w:p>
    <w:bookmarkEnd w:id="63"/>
    <w:bookmarkStart w:id="64" w:name="ref-R-Core-Team2020"/>
    <w:p>
      <w:pPr>
        <w:pStyle w:val="BodyText"/>
      </w:pPr>
      <w:r>
        <w:t xml:space="preserve">R Core Team. 2020. R: A Language and Environment for Statistical Computing. R Foundation for Statistical Computing, Vienna, Austria.</w:t>
      </w:r>
    </w:p>
    <w:bookmarkEnd w:id="64"/>
    <w:bookmarkStart w:id="65" w:name="ref-royle2008hierarchical"/>
    <w:p>
      <w:pPr>
        <w:pStyle w:val="BodyText"/>
      </w:pPr>
      <w:r>
        <w:t xml:space="preserve">Royle, J. A., and R. M. Dorazio. 2008. Hierarchical modeling and inference in ecology: The analysis of data from populations, metapopulations and communities. Elsevier.</w:t>
      </w:r>
    </w:p>
    <w:bookmarkEnd w:id="65"/>
    <w:bookmarkStart w:id="66" w:name="ref-Schrader2013"/>
    <w:p>
      <w:pPr>
        <w:pStyle w:val="BodyText"/>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6"/>
    <w:bookmarkStart w:id="67" w:name="ref-Shumway2010"/>
    <w:p>
      <w:pPr>
        <w:pStyle w:val="BodyText"/>
      </w:pPr>
      <w:r>
        <w:t xml:space="preserve">Shumway, R. H., and D. S. Stoffer. 2010. Time series analysis and its applications: With R examples. Springer.</w:t>
      </w:r>
    </w:p>
    <w:bookmarkEnd w:id="67"/>
    <w:bookmarkStart w:id="68" w:name="ref-Steele2013"/>
    <w:p>
      <w:pPr>
        <w:pStyle w:val="BodyText"/>
      </w:pPr>
      <w:r>
        <w:t xml:space="preserve">Steele, C. A., E. C. Anderson, M. W. Ackerman, M. A. Hess, N. R. Campbell, S. R. Narum, and M. R. Campbell. 2013. A validation of parentage-based tagging using hatchery steelhead in the snake river basin. Canadian Journal of Fisheries and Aquatic Sciences 70(7):1046–1054. NRC Research Press.</w:t>
      </w:r>
    </w:p>
    <w:bookmarkEnd w:id="68"/>
    <w:bookmarkStart w:id="69" w:name="ref-Steele2019"/>
    <w:p>
      <w:pPr>
        <w:pStyle w:val="BodyText"/>
      </w:pPr>
      <w:r>
        <w:t xml:space="preserve">Steele, C. A., M. Hess, S. Narum, and M. Campbell. 2019. Parentage-based tagging: Reviewing the implementation of a new tool for an old problem. Fisheries. Wiley Online Library.</w:t>
      </w:r>
    </w:p>
    <w:bookmarkEnd w:id="69"/>
    <w:bookmarkStart w:id="70" w:name="ref-Steinhorst2017"/>
    <w:p>
      <w:pPr>
        <w:pStyle w:val="BodyText"/>
      </w:pPr>
      <w:r>
        <w:t xml:space="preserve">Steinhorst, K., T. Copeland, M. W. Ackerman, W. C. Schrader, and E. C. Anderson. 2017. Abundance estimates and confidence intervals for the run composition of returning salmonids. Fishery Bulletin 115(1):1–12.</w:t>
      </w:r>
    </w:p>
    <w:bookmarkEnd w:id="70"/>
    <w:bookmarkStart w:id="71" w:name="ref-USACE2015"/>
    <w:p>
      <w:pPr>
        <w:pStyle w:val="BodyText"/>
      </w:pPr>
      <w:r>
        <w:t xml:space="preserve">USACE. 2015. Annual fish passage report Columbia and Snake rivers. U.S. Army Corps of Engineers.</w:t>
      </w:r>
    </w:p>
    <w:bookmarkEnd w:id="71"/>
    <w:bookmarkStart w:id="72" w:name="ref-waterhouse2020bayesian"/>
    <w:p>
      <w:pPr>
        <w:pStyle w:val="BodyText"/>
      </w:pPr>
      <w:r>
        <w:t xml:space="preserve">Waterhouse, L., J. White, K. See, A. Murdoch, and B. X. Semmens. 2020. A bayesian nested patch occupancy model to estimate steelhead movement and abundance. Ecological Applications:e02202. Wiley Online Library.</w:t>
      </w:r>
    </w:p>
    <w:bookmarkEnd w:id="72"/>
    <w:bookmarkStart w:id="73" w:name="ref-williams2016viability"/>
    <w:p>
      <w:pPr>
        <w:pStyle w:val="BodyText"/>
      </w:pPr>
      <w:r>
        <w:t xml:space="preserve">Williams, T. H., B. C. Spence, D. A. Boughton, R. C. Johnson, E. G. R. Crozier, N. J. Mantua, M. R. O’Farrell, and S. T. Lindley. 2016. Viability assessment for pacific salmon and steelhead listed under the endangered species act: Southwest.</w:t>
      </w:r>
    </w:p>
    <w:bookmarkEnd w:id="73"/>
    <w:bookmarkStart w:id="74" w:name="ref-Wright2015"/>
    <w:p>
      <w:pPr>
        <w:pStyle w:val="BodyText"/>
      </w:pPr>
      <w:r>
        <w:t xml:space="preserve">Wright, K. K., W. C. Schrader, L. Reinhardt, K. Hernandez, C. Hohman, and T. Copeland. 2015. Process and methods for assigning ages to anadromous salmonids from scale samples. Idaho Department of Fish; Game, 15-03.</w:t>
      </w:r>
    </w:p>
    <w:bookmarkEnd w:id="74"/>
    <w:bookmarkEnd w:id="75"/>
    <w:p>
      <w:r>
        <w:br w:type="page"/>
      </w:r>
    </w:p>
    <w:p>
      <w:pPr>
        <w:pStyle w:val="Heading1"/>
      </w:pPr>
      <w:bookmarkStart w:id="76" w:name="tables"/>
      <w:r>
        <w:t xml:space="preserve">Tables</w:t>
      </w:r>
      <w:bookmarkEnd w:id="76"/>
    </w:p>
    <w:p>
      <w:pPr>
        <w:pStyle w:val="TableCaption"/>
      </w:pPr>
      <w:r>
        <w:t xml:space="preserve">Table 1: Summary of simulation scenarios including varying adult trapping, fallback rates, re-ascension, nighttime passage, and window count error rates use to evaluate the performance of STADEM.</w:t>
      </w:r>
    </w:p>
    <w:tbl>
      <w:tblPr>
        <w:tblStyle w:val="Table"/>
        <w:tblW w:type="pct" w:w="0.0"/>
        <w:tblLook w:firstRow="1"/>
        <w:tblCaption w:val="Table 1: Summary of simulation scenarios including varying adult trapping, fallback rates, re-ascension,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rate</w:t>
            </w:r>
          </w:p>
        </w:tc>
        <w:tc>
          <w:tcPr>
            <w:tcBorders>
              <w:bottom w:val="single"/>
            </w:tcBorders>
            <w:vAlign w:val="bottom"/>
          </w:tcPr>
          <w:p>
            <w:pPr>
              <w:pStyle w:val="Compact"/>
              <w:jc w:val="right"/>
            </w:pPr>
            <w:r>
              <w:t xml:space="preserve">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bl>
    <w:p>
      <w:pPr>
        <w:pStyle w:val="TableCaption"/>
      </w:pPr>
      <w:r>
        <w:t xml:space="preserve">Table 2: Summary statistics, including relative bias, mean coefficient of variation (CV), root mean squared deviation (RMSD) and coverage for results from each of the twelve simulation scenarios.</w:t>
      </w:r>
    </w:p>
    <w:tbl>
      <w:tblPr>
        <w:tblStyle w:val="Table"/>
        <w:tblW w:type="pct" w:w="0.0"/>
        <w:tblLook w:firstRow="1"/>
        <w:tblCaption w:val="Table 2: Summary statistics, including relative bias, mean coefficient of variation (CV), root mean squared deviation (RMSD) and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RMSD</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551.228</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525.404</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553.310</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534.096</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546.582</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566.949</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503.934</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478.226</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508.481</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523.817</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568.434</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580.082</w:t>
            </w:r>
          </w:p>
        </w:tc>
        <w:tc>
          <w:p>
            <w:pPr>
              <w:pStyle w:val="Compact"/>
              <w:jc w:val="right"/>
            </w:pPr>
            <w:r>
              <w:t xml:space="preserve">0.994</w:t>
            </w:r>
          </w:p>
        </w:tc>
      </w:tr>
    </w:tbl>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133,706 (0.046)</w:t>
            </w:r>
          </w:p>
        </w:tc>
        <w:tc>
          <w:p>
            <w:pPr>
              <w:pStyle w:val="Compact"/>
              <w:jc w:val="left"/>
            </w:pPr>
            <w:r>
              <w:t xml:space="preserve">26,994 (0.053)</w:t>
            </w:r>
          </w:p>
        </w:tc>
        <w:tc>
          <w:p>
            <w:pPr>
              <w:pStyle w:val="Compact"/>
              <w:jc w:val="left"/>
            </w:pPr>
            <w:r>
              <w:t xml:space="preserve">99,609 (0.047)</w:t>
            </w:r>
          </w:p>
        </w:tc>
        <w:tc>
          <w:p>
            <w:pPr>
              <w:pStyle w:val="Compact"/>
              <w:jc w:val="left"/>
            </w:pPr>
            <w:r>
              <w:t xml:space="preserve">7,103 (0.079)</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123,610 (0.021)</w:t>
            </w:r>
          </w:p>
        </w:tc>
        <w:tc>
          <w:p>
            <w:pPr>
              <w:pStyle w:val="Compact"/>
              <w:jc w:val="left"/>
            </w:pPr>
            <w:r>
              <w:t xml:space="preserve">24,692 (0.027)</w:t>
            </w:r>
          </w:p>
        </w:tc>
        <w:tc>
          <w:p>
            <w:pPr>
              <w:pStyle w:val="Compact"/>
              <w:jc w:val="left"/>
            </w:pPr>
            <w:r>
              <w:t xml:space="preserve">93,845 (0.022)</w:t>
            </w:r>
          </w:p>
        </w:tc>
        <w:tc>
          <w:p>
            <w:pPr>
              <w:pStyle w:val="Compact"/>
              <w:jc w:val="left"/>
            </w:pPr>
            <w:r>
              <w:t xml:space="preserve">5,072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83,875 (0.052)</w:t>
            </w:r>
          </w:p>
        </w:tc>
        <w:tc>
          <w:p>
            <w:pPr>
              <w:pStyle w:val="Compact"/>
              <w:jc w:val="left"/>
            </w:pPr>
            <w:r>
              <w:t xml:space="preserve">21,424 (0.048)</w:t>
            </w:r>
          </w:p>
        </w:tc>
        <w:tc>
          <w:p>
            <w:pPr>
              <w:pStyle w:val="Compact"/>
              <w:jc w:val="left"/>
            </w:pPr>
            <w:r>
              <w:t xml:space="preserve">57,929 (0.056)</w:t>
            </w:r>
          </w:p>
        </w:tc>
        <w:tc>
          <w:p>
            <w:pPr>
              <w:pStyle w:val="Compact"/>
              <w:jc w:val="left"/>
            </w:pPr>
            <w:r>
              <w:t xml:space="preserve">4,522 (0.069)</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69,500 (0.023)</w:t>
            </w:r>
          </w:p>
        </w:tc>
        <w:tc>
          <w:p>
            <w:pPr>
              <w:pStyle w:val="Compact"/>
              <w:jc w:val="left"/>
            </w:pPr>
            <w:r>
              <w:t xml:space="preserve">19,086 (0.033)</w:t>
            </w:r>
          </w:p>
        </w:tc>
        <w:tc>
          <w:p>
            <w:pPr>
              <w:pStyle w:val="Compact"/>
              <w:jc w:val="left"/>
            </w:pPr>
            <w:r>
              <w:t xml:space="preserve">44,159 (0.027)</w:t>
            </w:r>
          </w:p>
        </w:tc>
        <w:tc>
          <w:p>
            <w:pPr>
              <w:pStyle w:val="Compact"/>
              <w:jc w:val="left"/>
            </w:pPr>
            <w:r>
              <w:t xml:space="preserve">6,255 (0.048)</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106,741 (0.034)</w:t>
            </w:r>
          </w:p>
        </w:tc>
        <w:tc>
          <w:p>
            <w:pPr>
              <w:pStyle w:val="Compact"/>
              <w:jc w:val="left"/>
            </w:pPr>
            <w:r>
              <w:t xml:space="preserve">28,468 (0.037)</w:t>
            </w:r>
          </w:p>
        </w:tc>
        <w:tc>
          <w:p>
            <w:pPr>
              <w:pStyle w:val="Compact"/>
              <w:jc w:val="left"/>
            </w:pPr>
            <w:r>
              <w:t xml:space="preserve">68,895 (0.038)</w:t>
            </w:r>
          </w:p>
        </w:tc>
        <w:tc>
          <w:p>
            <w:pPr>
              <w:pStyle w:val="Compact"/>
              <w:jc w:val="left"/>
            </w:pPr>
            <w:r>
              <w:t xml:space="preserve">9,377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133,330 (0.03)</w:t>
            </w:r>
          </w:p>
        </w:tc>
        <w:tc>
          <w:p>
            <w:pPr>
              <w:pStyle w:val="Compact"/>
              <w:jc w:val="left"/>
            </w:pPr>
            <w:r>
              <w:t xml:space="preserve">23,887 (0.044)</w:t>
            </w:r>
          </w:p>
        </w:tc>
        <w:tc>
          <w:p>
            <w:pPr>
              <w:pStyle w:val="Compact"/>
              <w:jc w:val="left"/>
            </w:pPr>
            <w:r>
              <w:t xml:space="preserve">98,902 (0.033)</w:t>
            </w:r>
          </w:p>
        </w:tc>
        <w:tc>
          <w:p>
            <w:pPr>
              <w:pStyle w:val="Compact"/>
              <w:jc w:val="left"/>
            </w:pPr>
            <w:r>
              <w:t xml:space="preserve">10,540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84,810 (0.031)</w:t>
            </w:r>
          </w:p>
        </w:tc>
        <w:tc>
          <w:p>
            <w:pPr>
              <w:pStyle w:val="Compact"/>
              <w:jc w:val="left"/>
            </w:pPr>
            <w:r>
              <w:t xml:space="preserve">17,300 (0.031)</w:t>
            </w:r>
          </w:p>
        </w:tc>
        <w:tc>
          <w:p>
            <w:pPr>
              <w:pStyle w:val="Compact"/>
              <w:jc w:val="left"/>
            </w:pPr>
            <w:r>
              <w:t xml:space="preserve">59,471 (0.034)</w:t>
            </w:r>
          </w:p>
        </w:tc>
        <w:tc>
          <w:p>
            <w:pPr>
              <w:pStyle w:val="Compact"/>
              <w:jc w:val="left"/>
            </w:pPr>
            <w:r>
              <w:t xml:space="preserve">8,039 (0.036)</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43,151 (0.039)</w:t>
            </w:r>
          </w:p>
        </w:tc>
        <w:tc>
          <w:p>
            <w:pPr>
              <w:pStyle w:val="Compact"/>
              <w:jc w:val="left"/>
            </w:pPr>
            <w:r>
              <w:t xml:space="preserve">5,162 (0.046)</w:t>
            </w:r>
          </w:p>
        </w:tc>
        <w:tc>
          <w:p>
            <w:pPr>
              <w:pStyle w:val="Compact"/>
              <w:jc w:val="left"/>
            </w:pPr>
            <w:r>
              <w:t xml:space="preserve">34,476 (0.041)</w:t>
            </w:r>
          </w:p>
        </w:tc>
        <w:tc>
          <w:p>
            <w:pPr>
              <w:pStyle w:val="Compact"/>
              <w:jc w:val="left"/>
            </w:pPr>
            <w:r>
              <w:t xml:space="preserve">3,513 (0.051)</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39,621 (0.037)</w:t>
            </w:r>
          </w:p>
        </w:tc>
        <w:tc>
          <w:p>
            <w:pPr>
              <w:pStyle w:val="Compact"/>
              <w:jc w:val="left"/>
            </w:pPr>
            <w:r>
              <w:t xml:space="preserve">7,004 (0.045)</w:t>
            </w:r>
          </w:p>
        </w:tc>
        <w:tc>
          <w:p>
            <w:pPr>
              <w:pStyle w:val="Compact"/>
              <w:jc w:val="left"/>
            </w:pPr>
            <w:r>
              <w:t xml:space="preserve">28,996 (0.039)</w:t>
            </w:r>
          </w:p>
        </w:tc>
        <w:tc>
          <w:p>
            <w:pPr>
              <w:pStyle w:val="Compact"/>
              <w:jc w:val="left"/>
            </w:pPr>
            <w:r>
              <w:t xml:space="preserve">3,621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27,876 (0.104)</w:t>
            </w:r>
          </w:p>
        </w:tc>
        <w:tc>
          <w:p>
            <w:pPr>
              <w:pStyle w:val="Compact"/>
              <w:jc w:val="left"/>
            </w:pPr>
            <w:r>
              <w:t xml:space="preserve">4,758 (0.128)</w:t>
            </w:r>
          </w:p>
        </w:tc>
        <w:tc>
          <w:p>
            <w:pPr>
              <w:pStyle w:val="Compact"/>
              <w:jc w:val="left"/>
            </w:pPr>
            <w:r>
              <w:t xml:space="preserve">21,185 (0.105)</w:t>
            </w:r>
          </w:p>
        </w:tc>
        <w:tc>
          <w:p>
            <w:pPr>
              <w:pStyle w:val="Compact"/>
              <w:jc w:val="left"/>
            </w:pPr>
            <w:r>
              <w:t xml:space="preserve">1,932 (0.11)</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348,082 (0.035)</w:t>
            </w:r>
          </w:p>
        </w:tc>
        <w:tc>
          <w:p>
            <w:pPr>
              <w:pStyle w:val="Compact"/>
              <w:jc w:val="left"/>
            </w:pPr>
            <w:r>
              <w:t xml:space="preserve">45,320 (0.038)</w:t>
            </w:r>
          </w:p>
        </w:tc>
        <w:tc>
          <w:p>
            <w:pPr>
              <w:pStyle w:val="Compact"/>
              <w:jc w:val="left"/>
            </w:pPr>
            <w:r>
              <w:t xml:space="preserve">266,570 (0.036)</w:t>
            </w:r>
          </w:p>
        </w:tc>
        <w:tc>
          <w:p>
            <w:pPr>
              <w:pStyle w:val="Compact"/>
              <w:jc w:val="left"/>
            </w:pPr>
            <w:r>
              <w:t xml:space="preserve">36,193 (0.039)</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217,640 (0.037)</w:t>
            </w:r>
          </w:p>
        </w:tc>
        <w:tc>
          <w:p>
            <w:pPr>
              <w:pStyle w:val="Compact"/>
              <w:jc w:val="left"/>
            </w:pPr>
            <w:r>
              <w:t xml:space="preserve">45,917 (0.037)</w:t>
            </w:r>
          </w:p>
        </w:tc>
        <w:tc>
          <w:p>
            <w:pPr>
              <w:pStyle w:val="Compact"/>
              <w:jc w:val="left"/>
            </w:pPr>
            <w:r>
              <w:t xml:space="preserve">148,564 (0.038)</w:t>
            </w:r>
          </w:p>
        </w:tc>
        <w:tc>
          <w:p>
            <w:pPr>
              <w:pStyle w:val="Compact"/>
              <w:jc w:val="left"/>
            </w:pPr>
            <w:r>
              <w:t xml:space="preserve">23,159 (0.041)</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190,947 (0.023)</w:t>
            </w:r>
          </w:p>
        </w:tc>
        <w:tc>
          <w:p>
            <w:pPr>
              <w:pStyle w:val="Compact"/>
              <w:jc w:val="left"/>
            </w:pPr>
            <w:r>
              <w:t xml:space="preserve">40,476 (0.027)</w:t>
            </w:r>
          </w:p>
        </w:tc>
        <w:tc>
          <w:p>
            <w:pPr>
              <w:pStyle w:val="Compact"/>
              <w:jc w:val="left"/>
            </w:pPr>
            <w:r>
              <w:t xml:space="preserve">139,476 (0.024)</w:t>
            </w:r>
          </w:p>
        </w:tc>
        <w:tc>
          <w:p>
            <w:pPr>
              <w:pStyle w:val="Compact"/>
              <w:jc w:val="left"/>
            </w:pPr>
            <w:r>
              <w:t xml:space="preserve">10,995 (0.038)</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121,265 (0.037)</w:t>
            </w:r>
          </w:p>
        </w:tc>
        <w:tc>
          <w:p>
            <w:pPr>
              <w:pStyle w:val="Compact"/>
              <w:jc w:val="left"/>
            </w:pPr>
            <w:r>
              <w:t xml:space="preserve">25,160 (0.042)</w:t>
            </w:r>
          </w:p>
        </w:tc>
        <w:tc>
          <w:p>
            <w:pPr>
              <w:pStyle w:val="Compact"/>
              <w:jc w:val="left"/>
            </w:pPr>
            <w:r>
              <w:t xml:space="preserve">85,707 (0.038)</w:t>
            </w:r>
          </w:p>
        </w:tc>
        <w:tc>
          <w:p>
            <w:pPr>
              <w:pStyle w:val="Compact"/>
              <w:jc w:val="left"/>
            </w:pPr>
            <w:r>
              <w:t xml:space="preserve">10,398 (0.058)</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117,169 (0.037)</w:t>
            </w:r>
          </w:p>
        </w:tc>
        <w:tc>
          <w:p>
            <w:pPr>
              <w:pStyle w:val="Compact"/>
              <w:jc w:val="left"/>
            </w:pPr>
            <w:r>
              <w:t xml:space="preserve">28,222 (0.067)</w:t>
            </w:r>
          </w:p>
        </w:tc>
        <w:tc>
          <w:p>
            <w:pPr>
              <w:pStyle w:val="Compact"/>
              <w:jc w:val="left"/>
            </w:pPr>
            <w:r>
              <w:t xml:space="preserve">81,145 (0.042)</w:t>
            </w:r>
          </w:p>
        </w:tc>
        <w:tc>
          <w:p>
            <w:pPr>
              <w:pStyle w:val="Compact"/>
              <w:jc w:val="left"/>
            </w:pPr>
            <w:r>
              <w:t xml:space="preserve">7,803 (0.081)</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176,628 (0.029)</w:t>
            </w:r>
          </w:p>
        </w:tc>
        <w:tc>
          <w:p>
            <w:pPr>
              <w:pStyle w:val="Compact"/>
              <w:jc w:val="left"/>
            </w:pPr>
            <w:r>
              <w:t xml:space="preserve">47,959 (0.036)</w:t>
            </w:r>
          </w:p>
        </w:tc>
        <w:tc>
          <w:p>
            <w:pPr>
              <w:pStyle w:val="Compact"/>
              <w:jc w:val="left"/>
            </w:pPr>
            <w:r>
              <w:t xml:space="preserve">118,185 (0.03)</w:t>
            </w:r>
          </w:p>
        </w:tc>
        <w:tc>
          <w:p>
            <w:pPr>
              <w:pStyle w:val="Compact"/>
              <w:jc w:val="left"/>
            </w:pPr>
            <w:r>
              <w:t xml:space="preserve">10,483 (0.054)</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144,310 (0.031)</w:t>
            </w:r>
          </w:p>
        </w:tc>
        <w:tc>
          <w:p>
            <w:pPr>
              <w:pStyle w:val="Compact"/>
              <w:jc w:val="left"/>
            </w:pPr>
            <w:r>
              <w:t xml:space="preserve">36,141 (0.037)</w:t>
            </w:r>
          </w:p>
        </w:tc>
        <w:tc>
          <w:p>
            <w:pPr>
              <w:pStyle w:val="Compact"/>
              <w:jc w:val="left"/>
            </w:pPr>
            <w:r>
              <w:t xml:space="preserve">101,923 (0.031)</w:t>
            </w:r>
          </w:p>
        </w:tc>
        <w:tc>
          <w:p>
            <w:pPr>
              <w:pStyle w:val="Compact"/>
              <w:jc w:val="left"/>
            </w:pPr>
            <w:r>
              <w:t xml:space="preserve">6,245 (0.056)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104,479 (0.035)</w:t>
            </w:r>
          </w:p>
        </w:tc>
        <w:tc>
          <w:p>
            <w:pPr>
              <w:pStyle w:val="Compact"/>
              <w:jc w:val="left"/>
            </w:pPr>
            <w:r>
              <w:t xml:space="preserve">15,472 (0.039)</w:t>
            </w:r>
          </w:p>
        </w:tc>
        <w:tc>
          <w:p>
            <w:pPr>
              <w:pStyle w:val="Compact"/>
              <w:jc w:val="left"/>
            </w:pPr>
            <w:r>
              <w:t xml:space="preserve">80,707 (0.035)</w:t>
            </w:r>
          </w:p>
        </w:tc>
        <w:tc>
          <w:p>
            <w:pPr>
              <w:pStyle w:val="Compact"/>
              <w:jc w:val="left"/>
            </w:pPr>
            <w:r>
              <w:t xml:space="preserve">8,299 (0.061)</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69,584 (0.033)</w:t>
            </w:r>
          </w:p>
        </w:tc>
        <w:tc>
          <w:p>
            <w:pPr>
              <w:pStyle w:val="Compact"/>
              <w:jc w:val="left"/>
            </w:pPr>
            <w:r>
              <w:t xml:space="preserve">10,105 (0.038)</w:t>
            </w:r>
          </w:p>
        </w:tc>
        <w:tc>
          <w:p>
            <w:pPr>
              <w:pStyle w:val="Compact"/>
              <w:jc w:val="left"/>
            </w:pPr>
            <w:r>
              <w:t xml:space="preserve">56,865 (0.033)</w:t>
            </w:r>
          </w:p>
        </w:tc>
        <w:tc>
          <w:p>
            <w:pPr>
              <w:pStyle w:val="Compact"/>
              <w:jc w:val="left"/>
            </w:pPr>
            <w:r>
              <w:t xml:space="preserve">2,614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56,024 (0.104)</w:t>
            </w:r>
          </w:p>
        </w:tc>
        <w:tc>
          <w:p>
            <w:pPr>
              <w:pStyle w:val="Compact"/>
              <w:jc w:val="left"/>
            </w:pPr>
            <w:r>
              <w:t xml:space="preserve">11,073 (0.248)</w:t>
            </w:r>
          </w:p>
        </w:tc>
        <w:tc>
          <w:p>
            <w:pPr>
              <w:pStyle w:val="Compact"/>
              <w:jc w:val="left"/>
            </w:pPr>
            <w:r>
              <w:t xml:space="preserve">41,726 (0.079)</w:t>
            </w:r>
          </w:p>
        </w:tc>
        <w:tc>
          <w:p>
            <w:pPr>
              <w:pStyle w:val="Compact"/>
              <w:jc w:val="left"/>
            </w:pPr>
            <w:r>
              <w:t xml:space="preserve">3,224 (0.092)</w:t>
            </w:r>
          </w:p>
        </w:tc>
      </w:tr>
    </w:tbl>
    <w:p>
      <w:r>
        <w:br w:type="page"/>
      </w:r>
    </w:p>
    <w:p>
      <w:pPr>
        <w:pStyle w:val="Heading1"/>
      </w:pPr>
      <w:bookmarkStart w:id="77" w:name="figures"/>
      <w:r>
        <w:t xml:space="preserve">Figures</w:t>
      </w:r>
      <w:bookmarkEnd w:id="77"/>
    </w:p>
    <w:p>
      <w:pPr>
        <w:pStyle w:val="CaptionedFigure"/>
      </w:pPr>
      <w:r>
        <w:drawing>
          <wp:inline>
            <wp:extent cx="5943600" cy="3396342"/>
            <wp:effectExtent b="0" l="0" r="0" t="0"/>
            <wp:docPr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title="" id="1" name="Picture"/>
            <a:graphic>
              <a:graphicData uri="http://schemas.openxmlformats.org/drawingml/2006/picture">
                <pic:pic>
                  <pic:nvPicPr>
                    <pic:cNvPr descr="../figures/stadem-examp-fig-1.png" id="0" name="Picture"/>
                    <pic:cNvPicPr>
                      <a:picLocks noChangeArrowheads="1" noChangeAspect="1"/>
                    </pic:cNvPicPr>
                  </pic:nvPicPr>
                  <pic:blipFill>
                    <a:blip r:embed="rId7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w:t>
      </w:r>
    </w:p>
    <w:p>
      <w:pPr>
        <w:pStyle w:val="CaptionedFigure"/>
      </w:pPr>
      <w:r>
        <w:drawing>
          <wp:inline>
            <wp:extent cx="5943600" cy="3396342"/>
            <wp:effectExtent b="0" l="0" r="0" t="0"/>
            <wp:docPr descr="Figure 2: ’Boxplots show relative bias of STADEM estimates for wild escapement across various scenarios. The boxes contain 50% of the simulations, whiskers contain 95% of the simulations, and points are outliers." title="" id="1" name="Picture"/>
            <a:graphic>
              <a:graphicData uri="http://schemas.openxmlformats.org/drawingml/2006/picture">
                <pic:pic>
                  <pic:nvPicPr>
                    <pic:cNvPr descr="../figures/rel-bias-lgd-1.png" id="0" name="Picture"/>
                    <pic:cNvPicPr>
                      <a:picLocks noChangeArrowheads="1" noChangeAspect="1"/>
                    </pic:cNvPicPr>
                  </pic:nvPicPr>
                  <pic:blipFill>
                    <a:blip r:embed="rId7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show relative bias of STADEM estimates for wild escapement across various scenarios. The boxes contain 50% of the simulations, whiskers contain 95% of the simulations, and points are outliers.</w:t>
      </w:r>
    </w:p>
    <w:p>
      <w:pPr>
        <w:pStyle w:val="CaptionedFigure"/>
      </w:pPr>
      <w:r>
        <w:drawing>
          <wp:inline>
            <wp:extent cx="5943600" cy="3396342"/>
            <wp:effectExtent b="0" l="0" r="0" t="0"/>
            <wp:docPr descr="Figure 3: Time-series plot showing estimates of total escapement for Chinook in 2014, including raw window counts, window counts adjusted for nighttime passage, trap estimates and STADEM estimates. Gray ribbon represents the 95% credible interval for STADEM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8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raw window counts, window counts adjusted for nighttime passage, trap estimates and STADEM estimates. Gray ribbon represents the 95% credible interval for STADEM estimates.</w:t>
      </w:r>
    </w:p>
    <w:p>
      <w:pPr>
        <w:pStyle w:val="CaptionedFigure"/>
      </w:pPr>
      <w:r>
        <w:drawing>
          <wp:inline>
            <wp:extent cx="5943600" cy="3396342"/>
            <wp:effectExtent b="0" l="0" r="0" t="0"/>
            <wp:docPr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8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82" w:name="append1"/>
      <w:r>
        <w:t xml:space="preserve">Appendix A - STADEM Model Description</w:t>
      </w:r>
      <w:bookmarkEnd w:id="82"/>
    </w:p>
    <w:p>
      <w:pPr>
        <w:pStyle w:val="Heading2"/>
      </w:pPr>
      <w:bookmarkStart w:id="83" w:name="total-and-weekly-escapement"/>
      <w:r>
        <w:t xml:space="preserve">Total and Weekly Escapement</w:t>
      </w:r>
      <w:bookmarkEnd w:id="83"/>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ln</m:t>
                </m:r>
                <m:d>
                  <m:dPr>
                    <m:begChr m:val="("/>
                    <m:endChr m:val=")"/>
                    <m:grow/>
                  </m:dPr>
                  <m:e>
                    <m:sSub>
                      <m:e>
                        <m:r>
                          <m:t>X</m:t>
                        </m:r>
                      </m:e>
                      <m:sub>
                        <m:r>
                          <m:t>t</m:t>
                        </m:r>
                      </m:sub>
                    </m:sSub>
                  </m:e>
                </m:d>
              </m:e>
              <m:e>
                <m:r>
                  <m:t>=</m:t>
                </m:r>
                <m:r>
                  <m:rP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true trap rate is estimated from a beta distribution with previously estimated parameters,</w:t>
      </w:r>
      <w:r>
        <w:t xml:space="preserve"> </w:t>
      </w:r>
      <m:oMath>
        <m:acc>
          <m:accPr>
            <m:chr m:val="̂"/>
          </m:accPr>
          <m:e>
            <m:sSub>
              <m:e>
                <m:r>
                  <m:t>α</m:t>
                </m:r>
              </m:e>
              <m:sub>
                <m:r>
                  <m:t>t</m:t>
                </m:r>
              </m:sub>
            </m:sSub>
          </m:e>
        </m:acc>
      </m:oMath>
      <w:r>
        <w:t xml:space="preserve"> </w:t>
      </w:r>
      <w:r>
        <w:t xml:space="preserve">and</w:t>
      </w:r>
      <w:r>
        <w:t xml:space="preserve"> </w:t>
      </w:r>
      <m:oMath>
        <m:acc>
          <m:accPr>
            <m:chr m:val="̂"/>
          </m:accPr>
          <m:e>
            <m:sSub>
              <m:e>
                <m:r>
                  <m:t>β</m:t>
                </m:r>
              </m:e>
              <m:sub>
                <m:r>
                  <m:t>t</m:t>
                </m:r>
              </m:sub>
            </m:sSub>
          </m:e>
        </m:acc>
      </m:oMath>
      <w:r>
        <w:t xml:space="preserve">, informed by the mark-recapture estimate of the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ν</m:t>
                    </m:r>
                  </m:e>
                  <m:sub>
                    <m:r>
                      <m:t>t</m:t>
                    </m:r>
                  </m:sub>
                </m:sSub>
              </m:e>
              <m:e>
                <m:r>
                  <m:t>∼</m:t>
                </m:r>
                <m:r>
                  <m:rPr>
                    <m:sty m:val="p"/>
                  </m:rPr>
                  <m:t>Beta</m:t>
                </m:r>
                <m:d>
                  <m:dPr>
                    <m:begChr m:val="("/>
                    <m:endChr m:val=")"/>
                    <m:grow/>
                  </m:dPr>
                  <m:e>
                    <m:acc>
                      <m:accPr>
                        <m:chr m:val="̂"/>
                      </m:accPr>
                      <m:e>
                        <m:sSub>
                          <m:e>
                            <m:r>
                              <m:t>α</m:t>
                            </m:r>
                          </m:e>
                          <m:sub>
                            <m:r>
                              <m:t>t</m:t>
                            </m:r>
                          </m:sub>
                        </m:sSub>
                      </m:e>
                    </m:acc>
                    <m:r>
                      <m:t>,</m:t>
                    </m:r>
                    <m:acc>
                      <m:accPr>
                        <m:chr m:val="̂"/>
                      </m:accPr>
                      <m:e>
                        <m:sSub>
                          <m:e>
                            <m:r>
                              <m:t>β</m:t>
                            </m:r>
                          </m:e>
                          <m:sub>
                            <m:r>
                              <m:t>t</m:t>
                            </m:r>
                          </m:sub>
                        </m:sSub>
                      </m:e>
                    </m:acc>
                  </m:e>
                </m:d>
              </m:e>
            </m:mr>
            <m:mr>
              <m:e>
                <m:sSubSup>
                  <m:e>
                    <m:r>
                      <m:t>Y</m:t>
                    </m:r>
                  </m:e>
                  <m:sub>
                    <m:r>
                      <m:t>t</m:t>
                    </m:r>
                  </m:sub>
                  <m:sup>
                    <m:r>
                      <m:t>T</m:t>
                    </m:r>
                  </m:sup>
                </m:sSubSup>
              </m:e>
              <m:e>
                <m:r>
                  <m:t>∼</m:t>
                </m:r>
                <m:r>
                  <m:rP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estimate of the weekly trap rate is derived based on previously PIT-tagged spring/summer Chinook and steelhead who are crossing LGD that week. The fish caught in the trap that week are considered the</w:t>
      </w:r>
      <w:r>
        <w:t xml:space="preserve"> </w:t>
      </w:r>
      <w:r>
        <w:t xml:space="preserve">“</w:t>
      </w:r>
      <w:r>
        <w:t xml:space="preserve">mark</w:t>
      </w:r>
      <w:r>
        <w:t xml:space="preserve">”</w:t>
      </w:r>
      <w:r>
        <w:t xml:space="preserve"> </w:t>
      </w:r>
      <w:r>
        <w:t xml:space="preserve">group, and all the PIT tagged fish who are detected at the upper end of the LGD fish ladder that week are considered the second capture group (which includes recaptures of the the</w:t>
      </w:r>
      <w:r>
        <w:t xml:space="preserve"> </w:t>
      </w:r>
      <w:r>
        <w:t xml:space="preserve">“</w:t>
      </w:r>
      <w:r>
        <w:t xml:space="preserve">marked</w:t>
      </w:r>
      <w:r>
        <w:t xml:space="preserve">”</w:t>
      </w:r>
      <w:r>
        <w:t xml:space="preserve"> </w:t>
      </w:r>
      <w:r>
        <w:t xml:space="preserve">fish). From this data, we can estimate the total number of previoiusly PIT tagged fish crossing LGD that week, and the proportion of those that are caught in the trap is the weekly trap rate. The uncertainty in estimates of total fish is translated into uncertainty in the trap rate, and this is then summarised with a beta distribution (</w:t>
      </w:r>
      <m:oMath>
        <m:r>
          <m:rPr>
            <m:sty m:val="p"/>
          </m:rPr>
          <m:t>Beta</m:t>
        </m:r>
        <m:d>
          <m:dPr>
            <m:begChr m:val="("/>
            <m:endChr m:val=")"/>
            <m:grow/>
          </m:dPr>
          <m:e>
            <m:acc>
              <m:accPr>
                <m:chr m:val="̂"/>
              </m:accPr>
              <m:e>
                <m:sSub>
                  <m:e>
                    <m:r>
                      <m:t>α</m:t>
                    </m:r>
                  </m:e>
                  <m:sub>
                    <m:r>
                      <m:t>t</m:t>
                    </m:r>
                  </m:sub>
                </m:sSub>
              </m:e>
            </m:acc>
            <m:r>
              <m:t>,</m:t>
            </m:r>
            <m:acc>
              <m:accPr>
                <m:chr m:val="̂"/>
              </m:accPr>
              <m:e>
                <m:sSub>
                  <m:e>
                    <m:r>
                      <m:t>β</m:t>
                    </m:r>
                  </m:e>
                  <m:sub>
                    <m:r>
                      <m:t>t</m:t>
                    </m:r>
                  </m:sub>
                </m:sSub>
              </m:e>
            </m:acc>
          </m:e>
        </m:d>
      </m:oMath>
      <w:r>
        <w:t xml:space="preserve">) that becomes an input into STADEM. Although the group of previously PIT tagged fish is not assumed to be representative of the overall run, the rate at which they are caught in the trap should be the same rate that the overall run experiences.</w:t>
      </w:r>
    </w:p>
    <w:p>
      <w:pPr>
        <w:pStyle w:val="BodyText"/>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lots of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lots of fish are crossing LGD, estimates based on trap data and trap rates will be more precise, while estimates from the window counts may have more observation error due to so many fish passing the window. For weeks when the trap is down, STADEM relies exclusively on the window counts and night-time passage data, but there will be more uncertainty in the estimates.</w:t>
      </w:r>
    </w:p>
    <w:p>
      <w:pPr>
        <w:pStyle w:val="Heading2"/>
      </w:pPr>
      <w:bookmarkStart w:id="84" w:name="day-time-passage-and-re-ascension-rates"/>
      <w:r>
        <w:t xml:space="preserve">Day-time Passage and Re-ascension Rates</w:t>
      </w:r>
      <w:bookmarkEnd w:id="84"/>
    </w:p>
    <w:p>
      <w:pPr>
        <w:pStyle w:val="FirstParagraph"/>
      </w:pPr>
      <w:r>
        <w:t xml:space="preserve">There are two other processes that must be accounted for, first, the proportion of fish that cross the dam while the window is closed for counting (night-time passage rate), and the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sty m:val="p"/>
                  </m:rPr>
                  <m:t>Bin</m:t>
                </m:r>
                <m:d>
                  <m:dPr>
                    <m:begChr m:val="("/>
                    <m:endChr m:val=")"/>
                    <m:grow/>
                  </m:dPr>
                  <m:e>
                    <m:sSub>
                      <m:e>
                        <m:r>
                          <m:t>θ</m:t>
                        </m:r>
                      </m:e>
                      <m:sub>
                        <m:r>
                          <m:t>t</m:t>
                        </m:r>
                      </m:sub>
                    </m:sSub>
                    <m:r>
                      <m:t>,</m:t>
                    </m:r>
                    <m:sSub>
                      <m:e>
                        <m:r>
                          <m:t>N</m:t>
                        </m:r>
                      </m:e>
                      <m:sub>
                        <m:r>
                          <m:t>t</m:t>
                        </m:r>
                      </m:sub>
                    </m:sSub>
                  </m:e>
                </m:d>
              </m:e>
            </m:mr>
            <m:mr>
              <m:e>
                <m:r>
                  <m:rPr>
                    <m:sty m:val="p"/>
                  </m:rPr>
                  <m:t>logit</m:t>
                </m:r>
                <m:r>
                  <m:t>(</m:t>
                </m:r>
                <m:sSub>
                  <m:e>
                    <m:r>
                      <m:t>θ</m:t>
                    </m:r>
                  </m:e>
                  <m:sub>
                    <m:r>
                      <m:t>t</m:t>
                    </m:r>
                  </m:sub>
                </m:sSub>
                <m:r>
                  <m:t>)</m:t>
                </m:r>
              </m:e>
              <m:e>
                <m:r>
                  <m:t>=</m:t>
                </m:r>
                <m:r>
                  <m:rP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 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sty m:val="p"/>
                  </m:rPr>
                  <m:t>Bin</m:t>
                </m:r>
                <m:d>
                  <m:dPr>
                    <m:begChr m:val="("/>
                    <m:endChr m:val=")"/>
                    <m:grow/>
                  </m:dPr>
                  <m:e>
                    <m:sSub>
                      <m:e>
                        <m:r>
                          <m:t>η</m:t>
                        </m:r>
                      </m:e>
                      <m:sub>
                        <m:r>
                          <m:t>t</m:t>
                        </m:r>
                      </m:sub>
                    </m:sSub>
                    <m:r>
                      <m:t>,</m:t>
                    </m:r>
                    <m:sSub>
                      <m:e>
                        <m:r>
                          <m:t>N</m:t>
                        </m:r>
                      </m:e>
                      <m:sub>
                        <m:r>
                          <m:t>t</m:t>
                        </m:r>
                      </m:sub>
                    </m:sSub>
                  </m:e>
                </m:d>
              </m:e>
            </m:mr>
            <m:mr>
              <m:e>
                <m:r>
                  <m:rPr>
                    <m:sty m:val="p"/>
                  </m:rPr>
                  <m:t>logit</m:t>
                </m:r>
                <m:d>
                  <m:dPr>
                    <m:begChr m:val="("/>
                    <m:endChr m:val=")"/>
                    <m:grow/>
                  </m:dPr>
                  <m:e>
                    <m:sSub>
                      <m:e>
                        <m:r>
                          <m:t>η</m:t>
                        </m:r>
                      </m:e>
                      <m:sub>
                        <m:r>
                          <m:t>t</m:t>
                        </m:r>
                      </m:sub>
                    </m:sSub>
                  </m:e>
                </m:d>
              </m:e>
              <m:e>
                <m:r>
                  <m:t>=</m:t>
                </m:r>
                <m:r>
                  <m:rP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85" w:name="origin-proportions"/>
      <w:r>
        <w:t xml:space="preserve">Origin Proportions</w:t>
      </w:r>
      <w:bookmarkEnd w:id="85"/>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fish,</w:t>
      </w:r>
      <w:r>
        <w:t xml:space="preserve"> </w:t>
      </w:r>
      <m:oMath>
        <m:sSub>
          <m:e>
            <m:r>
              <m:t>X</m:t>
            </m:r>
          </m:e>
          <m:sub>
            <m:r>
              <m:t>h</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w:t>
      </w:r>
      <w:r>
        <w:t xml:space="preserve"> </w:t>
      </w:r>
      <m:oMath>
        <m:sSubSup>
          <m:e>
            <m:r>
              <m:t>Y</m:t>
            </m:r>
          </m:e>
          <m:sub>
            <m:r>
              <m:t>h</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hatchery fish,</w:t>
      </w:r>
      <w:r>
        <w:t xml:space="preserve"> </w:t>
      </w:r>
      <m:oMath>
        <m:sSub>
          <m:e>
            <m:r>
              <m:t>ω</m:t>
            </m:r>
          </m:e>
          <m:sub>
            <m:r>
              <m:t>h</m:t>
            </m:r>
            <m:r>
              <m:t>,</m:t>
            </m:r>
            <m:r>
              <m:t>t</m:t>
            </m:r>
          </m:sub>
        </m:sSub>
      </m:oMath>
      <w:r>
        <w:t xml:space="preserve"> </w:t>
      </w:r>
      <w:r>
        <w:t xml:space="preserve">is modeled as a random walk, so it can change through time. This allows the proportions of wild, hatchery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m:t>
                        </m:r>
                        <m:r>
                          <m:t>t</m:t>
                        </m:r>
                      </m:sub>
                      <m:sup>
                        <m:r>
                          <m:t>T</m:t>
                        </m:r>
                      </m:sup>
                    </m:sSubSup>
                    <m:r>
                      <m:t>,</m:t>
                    </m:r>
                    <m:sSubSup>
                      <m:e>
                        <m:r>
                          <m:t>Y</m:t>
                        </m:r>
                      </m:e>
                      <m:sub>
                        <m:r>
                          <m:t>h</m:t>
                        </m:r>
                        <m:r>
                          <m:t>n</m:t>
                        </m:r>
                        <m:r>
                          <m:t>c</m:t>
                        </m:r>
                        <m:r>
                          <m:t>,</m:t>
                        </m:r>
                        <m:r>
                          <m:t>t</m:t>
                        </m:r>
                      </m:sub>
                      <m:sup>
                        <m:r>
                          <m:t>T</m:t>
                        </m:r>
                      </m:sup>
                    </m:sSubSup>
                  </m:e>
                </m:d>
              </m:e>
              <m:e>
                <m:r>
                  <m:t>∼</m:t>
                </m:r>
                <m:r>
                  <m:rP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sty m:val="p"/>
                      </m:rPr>
                      <m:t>exp</m:t>
                    </m:r>
                    <m:r>
                      <m:t>(</m:t>
                    </m:r>
                    <m:sSub>
                      <m:e>
                        <m:r>
                          <m:t>ϕ</m:t>
                        </m:r>
                      </m:e>
                      <m:sub>
                        <m:r>
                          <m:t>t</m:t>
                        </m:r>
                      </m:sub>
                    </m:sSub>
                    <m:r>
                      <m:t>)</m:t>
                    </m:r>
                  </m:num>
                  <m:den>
                    <m:r>
                      <m:t>∑</m:t>
                    </m:r>
                    <m:r>
                      <m:rPr>
                        <m:sty m:val="p"/>
                      </m:rPr>
                      <m:t>exp</m:t>
                    </m:r>
                    <m:r>
                      <m:t>(</m:t>
                    </m:r>
                    <m:sSub>
                      <m:e>
                        <m:r>
                          <m:t>ϕ</m:t>
                        </m:r>
                      </m:e>
                      <m:sub>
                        <m:r>
                          <m:t>t</m:t>
                        </m:r>
                      </m:sub>
                    </m:sSub>
                    <m:r>
                      <m:t>)</m:t>
                    </m:r>
                  </m:den>
                </m:f>
              </m:e>
            </m:mr>
            <m:mr>
              <m:e>
                <m:sSub>
                  <m:e>
                    <m:r>
                      <m:t>ϕ</m:t>
                    </m:r>
                  </m:e>
                  <m:sub>
                    <m:r>
                      <m:t>w</m:t>
                    </m:r>
                    <m:r>
                      <m:t>,</m:t>
                    </m:r>
                    <m:r>
                      <m:t>t</m:t>
                    </m:r>
                  </m:sub>
                </m:sSub>
              </m:e>
              <m:e>
                <m:r>
                  <m:t>=</m:t>
                </m:r>
                <m:r>
                  <m:rPr>
                    <m:sty m:val="p"/>
                  </m:rPr>
                  <m:t>ln</m:t>
                </m:r>
                <m:d>
                  <m:dPr>
                    <m:begChr m:val="("/>
                    <m:endChr m:val=")"/>
                    <m:grow/>
                  </m:dPr>
                  <m:e>
                    <m:f>
                      <m:fPr>
                        <m:type m:val="bar"/>
                      </m:fPr>
                      <m:num>
                        <m:sSub>
                          <m:e>
                            <m:r>
                              <m:t>ω</m:t>
                            </m:r>
                          </m:e>
                          <m:sub>
                            <m:r>
                              <m:t>w</m:t>
                            </m:r>
                            <m:r>
                              <m:t>,</m:t>
                            </m:r>
                            <m:r>
                              <m:t>t</m:t>
                            </m:r>
                          </m:sub>
                        </m:sSub>
                      </m:num>
                      <m:den>
                        <m:sSub>
                          <m:e>
                            <m:r>
                              <m:t>ω</m:t>
                            </m:r>
                          </m:e>
                          <m:sub>
                            <m:r>
                              <m:t>h</m:t>
                            </m:r>
                            <m:r>
                              <m:t>,</m:t>
                            </m:r>
                            <m:r>
                              <m:t>t</m:t>
                            </m:r>
                          </m:sub>
                        </m:sSub>
                      </m:den>
                    </m:f>
                  </m:e>
                </m:d>
              </m:e>
            </m:mr>
            <m:mr>
              <m:e>
                <m:sSub>
                  <m:e>
                    <m:r>
                      <m:t>ϕ</m:t>
                    </m:r>
                  </m:e>
                  <m:sub>
                    <m:r>
                      <m:t>h</m:t>
                    </m:r>
                    <m:r>
                      <m:t>n</m:t>
                    </m:r>
                    <m:r>
                      <m:t>c</m:t>
                    </m:r>
                    <m:r>
                      <m:t>,</m:t>
                    </m:r>
                    <m:r>
                      <m:t>t</m:t>
                    </m:r>
                  </m:sub>
                </m:sSub>
              </m:e>
              <m:e>
                <m:r>
                  <m:t>=</m:t>
                </m:r>
                <m:r>
                  <m:rPr>
                    <m:sty m:val="p"/>
                  </m:rPr>
                  <m:t>ln</m:t>
                </m:r>
                <m:d>
                  <m:dPr>
                    <m:begChr m:val="("/>
                    <m:endChr m:val=")"/>
                    <m:grow/>
                  </m:dPr>
                  <m:e>
                    <m:f>
                      <m:fPr>
                        <m:type m:val="bar"/>
                      </m:fPr>
                      <m:num>
                        <m:sSub>
                          <m:e>
                            <m:r>
                              <m:t>ω</m:t>
                            </m:r>
                          </m:e>
                          <m:sub>
                            <m:r>
                              <m:t>h</m:t>
                            </m:r>
                            <m:r>
                              <m:t>n</m:t>
                            </m:r>
                            <m:r>
                              <m:t>c</m:t>
                            </m:r>
                            <m:r>
                              <m:t>,</m:t>
                            </m:r>
                            <m:r>
                              <m:t>t</m:t>
                            </m:r>
                          </m:sub>
                        </m:sSub>
                      </m:num>
                      <m:den>
                        <m:sSub>
                          <m:e>
                            <m:r>
                              <m:t>ω</m:t>
                            </m:r>
                          </m:e>
                          <m:sub>
                            <m:r>
                              <m:t>h</m:t>
                            </m:r>
                            <m:r>
                              <m:t>,</m:t>
                            </m:r>
                            <m:r>
                              <m:t>t</m:t>
                            </m:r>
                          </m:sub>
                        </m:sSub>
                      </m:den>
                    </m:f>
                  </m:e>
                </m:d>
              </m:e>
            </m:mr>
            <m:mr>
              <m:e>
                <m:sSub>
                  <m:e>
                    <m:r>
                      <m:t>ϕ</m:t>
                    </m:r>
                  </m:e>
                  <m:sub>
                    <m:r>
                      <m:t>h</m:t>
                    </m:r>
                    <m:r>
                      <m:t>,</m:t>
                    </m:r>
                    <m:r>
                      <m:t>t</m:t>
                    </m:r>
                  </m:sub>
                </m:sSub>
              </m:e>
              <m:e>
                <m:r>
                  <m:t>=</m:t>
                </m:r>
                <m:r>
                  <m:t>0</m:t>
                </m:r>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m:t>
                              </m:r>
                              <m:r>
                                <m:t>t</m:t>
                              </m:r>
                            </m:sub>
                          </m:sSub>
                        </m:e>
                      </m:mr>
                      <m:mr>
                        <m:e>
                          <m:sSub>
                            <m:e>
                              <m:r>
                                <m:t>ω</m:t>
                              </m:r>
                            </m:e>
                            <m:sub>
                              <m:r>
                                <m:t>h</m:t>
                              </m:r>
                              <m:r>
                                <m:t>n</m:t>
                              </m:r>
                              <m:r>
                                <m:t>c</m:t>
                              </m:r>
                              <m:r>
                                <m:t>,</m:t>
                              </m:r>
                              <m:r>
                                <m:t>t</m:t>
                              </m:r>
                            </m:sub>
                          </m:sSub>
                        </m:e>
                      </m:mr>
                    </m:m>
                  </m:e>
                </m:d>
              </m:e>
            </m:mr>
          </m:m>
        </m:oMath>
      </m:oMathPara>
    </w:p>
    <w:p>
      <w:pPr>
        <w:pStyle w:val="Heading2"/>
      </w:pPr>
      <w:bookmarkStart w:id="86" w:name="model-fitting"/>
      <w:r>
        <w:t xml:space="preserve">Model Fitting</w:t>
      </w:r>
      <w:bookmarkEnd w:id="86"/>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Uninformative priors were used for</w:t>
      </w:r>
      <w:r>
        <w:t xml:space="preserve"> </w:t>
      </w:r>
      <m:oMath>
        <m:sSub>
          <m:e>
            <m:r>
              <m:t>σ</m:t>
            </m:r>
          </m:e>
          <m:sub>
            <m:r>
              <m:t>X</m:t>
            </m:r>
          </m:sub>
        </m:sSub>
        <m:r>
          <m:t>,</m:t>
        </m:r>
        <m:sSub>
          <m:e>
            <m:r>
              <m:t>σ</m:t>
            </m:r>
          </m:e>
          <m:sub>
            <m:r>
              <m:t>η</m:t>
            </m:r>
          </m:sub>
        </m:sSub>
        <m:r>
          <m:t>,</m:t>
        </m:r>
        <m:sSub>
          <m:e>
            <m:r>
              <m:t>σ</m:t>
            </m:r>
          </m:e>
          <m:sub>
            <m:r>
              <m:t>θ</m:t>
            </m:r>
          </m:sub>
        </m:sSub>
        <m:r>
          <m:t>,</m:t>
        </m:r>
        <m:sSub>
          <m:e>
            <m:r>
              <m:t>σ</m:t>
            </m:r>
          </m:e>
          <m:sub>
            <m:r>
              <m:t>ω</m:t>
            </m:r>
          </m:sub>
        </m:sSub>
      </m:oMath>
      <w:r>
        <w:t xml:space="preserve"> </w:t>
      </w:r>
      <w:r>
        <w:t xml:space="preserve">and</w:t>
      </w:r>
      <w:r>
        <w:t xml:space="preserve"> </w:t>
      </w:r>
      <m:oMath>
        <m:r>
          <m:rPr>
            <m:sty m:val="p"/>
          </m:rPr>
          <m:t>ln</m:t>
        </m:r>
        <m:r>
          <m:t>(</m:t>
        </m:r>
        <m:sSub>
          <m:e>
            <m:r>
              <m:t>X</m:t>
            </m:r>
          </m:e>
          <m:sub>
            <m:r>
              <m:t>1</m:t>
            </m:r>
          </m:sub>
        </m:sSub>
        <m:r>
          <m:t>)</m:t>
        </m:r>
      </m:oMath>
      <w:r>
        <w:t xml:space="preserve"> </w:t>
      </w:r>
      <w:r>
        <w:t xml:space="preserve">(Uniform(0,10)), as well as logit(</w:t>
      </w:r>
      <m:oMath>
        <m:sSub>
          <m:e>
            <m:r>
              <m:t>η</m:t>
            </m:r>
          </m:e>
          <m:sub>
            <m:r>
              <m:t>1</m:t>
            </m:r>
          </m:sub>
        </m:sSub>
      </m:oMath>
      <w:r>
        <w:t xml:space="preserve">) and logit(</w:t>
      </w:r>
      <m:oMath>
        <m:sSub>
          <m:e>
            <m:r>
              <m:t>θ</m:t>
            </m:r>
          </m:e>
          <m:sub>
            <m:r>
              <m:t>1</m:t>
            </m:r>
          </m:sub>
        </m:sSub>
      </m:oMath>
      <w:r>
        <w:t xml:space="preserve">) (</w:t>
      </w:r>
      <m:oMath>
        <m:r>
          <m:rPr>
            <m:sty m:val="p"/>
            <m:scr m:val="script"/>
          </m:rPr>
          <m:t>N</m:t>
        </m:r>
        <m:r>
          <m:t>(</m:t>
        </m:r>
        <m:r>
          <m:t>0</m:t>
        </m:r>
        <m:r>
          <m:t>,</m:t>
        </m:r>
        <m:r>
          <m:t>1000</m:t>
        </m:r>
        <m:r>
          <m:t>)</m:t>
        </m:r>
      </m:oMath>
      <w:r>
        <w:t xml:space="preserve">), and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t>
      </w:r>
      <m:oMath>
        <m:r>
          <m:rPr>
            <m:sty m:val="p"/>
            <m:scr m:val="script"/>
          </m:rPr>
          <m:t>N</m:t>
        </m:r>
        <m:r>
          <m:t>(</m:t>
        </m:r>
        <m:r>
          <m:t>0</m:t>
        </m:r>
        <m:r>
          <m:t>,</m:t>
        </m:r>
        <m:r>
          <m:t>100</m:t>
        </m:r>
        <m:r>
          <m:t>)</m:t>
        </m:r>
      </m:oMath>
      <w:r>
        <w:t xml:space="preserve">).</w:t>
      </w:r>
    </w:p>
    <w:p>
      <w:r>
        <w:br w:type="page"/>
      </w:r>
    </w:p>
    <w:p>
      <w:pPr>
        <w:pStyle w:val="Heading1"/>
      </w:pPr>
      <w:bookmarkStart w:id="87" w:name="append2"/>
      <w:r>
        <w:t xml:space="preserve">Appendix B - Simulation Details</w:t>
      </w:r>
      <w:bookmarkEnd w:id="87"/>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w:t>
      </w:r>
      <m:oMath>
        <m:r>
          <m:rPr>
            <m:sty m:val="p"/>
            <m:scr m:val="script"/>
          </m:rPr>
          <m:t>P</m:t>
        </m:r>
        <m:r>
          <m:rPr>
            <m:sty m:val="p"/>
            <m:scr m:val="script"/>
          </m:rPr>
          <m:t>D</m:t>
        </m:r>
        <m:r>
          <m:rPr>
            <m:sty m:val="p"/>
            <m:scr m:val="script"/>
          </m:rPr>
          <m:t>F</m:t>
        </m:r>
      </m:oMath>
      <w:r>
        <w:t xml:space="preserve">)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poplulation</w:t>
      </w:r>
      <w:r>
        <w:t xml:space="preserve"> </w:t>
      </w:r>
      <m:oMath>
        <m:r>
          <m:t>p</m:t>
        </m:r>
      </m:oMath>
      <w:r>
        <w:t xml:space="preserve"> </w:t>
      </w:r>
      <w:r>
        <w:t xml:space="preserve">using a dirichlet</w:t>
      </w:r>
      <w:r>
        <w:t xml:space="preserve"> </w:t>
      </w:r>
      <m:oMath>
        <m:r>
          <m:rPr>
            <m:sty m:val="p"/>
            <m:scr m:val="script"/>
          </m:rPr>
          <m:t>P</m:t>
        </m:r>
        <m:r>
          <m:rPr>
            <m:sty m:val="p"/>
            <m:scr m:val="script"/>
          </m:rPr>
          <m:t>D</m:t>
        </m:r>
        <m:r>
          <m:rPr>
            <m:sty m:val="p"/>
            <m:scr m:val="script"/>
          </m:rPr>
          <m:t>F</m:t>
        </m:r>
      </m:oMath>
      <w:r>
        <w:t xml:space="preserve">. The dirichlet function is parameterized from a vector,</w:t>
      </w:r>
      <w:r>
        <w:t xml:space="preserve"> </w:t>
      </w:r>
      <m:oMath>
        <m:sSub>
          <m:e>
            <m:r>
              <m:t>η</m:t>
            </m:r>
          </m:e>
          <m:sub>
            <m:r>
              <m:t>j</m:t>
            </m:r>
          </m:sub>
        </m:sSub>
      </m:oMath>
      <w:r>
        <w:t xml:space="preserve">, containing 1’s and 0’s designating populations with origin</w:t>
      </w:r>
      <w:r>
        <w:t xml:space="preserve"> </w:t>
      </w:r>
      <m:oMath>
        <m:r>
          <m:t>j</m:t>
        </m:r>
      </m:oMath>
      <w:r>
        <w:t xml:space="preserve"> </w:t>
      </w:r>
      <w:r>
        <w:t xml:space="preserve">fish returning.</w:t>
      </w:r>
      <w:r>
        <w:t xml:space="preserve"> </w:t>
      </w:r>
      <m:oMath>
        <m:sSub>
          <m:e>
            <m:r>
              <m:t>η</m:t>
            </m:r>
          </m:e>
          <m:sub>
            <m:r>
              <m:t>j</m:t>
            </m:r>
          </m:sub>
        </m:sSub>
      </m:oMath>
      <w:r>
        <w:t xml:space="preserve"> </w:t>
      </w:r>
      <w:r>
        <w:t xml:space="preserve">originates from a bernoulli</w:t>
      </w:r>
      <w:r>
        <w:t xml:space="preserve"> </w:t>
      </w:r>
      <m:oMath>
        <m:r>
          <m:rPr>
            <m:sty m:val="p"/>
            <m:scr m:val="script"/>
          </m:rPr>
          <m:t>P</m:t>
        </m:r>
        <m:r>
          <m:rPr>
            <m:sty m:val="p"/>
            <m:scr m:val="script"/>
          </m:rPr>
          <m:t>D</m:t>
        </m:r>
        <m:r>
          <m:rPr>
            <m:sty m:val="p"/>
            <m:scr m:val="script"/>
          </m:rPr>
          <m:t>F</m:t>
        </m:r>
      </m:oMath>
      <w:r>
        <w:t xml:space="preserve"> </w:t>
      </w:r>
      <w:r>
        <w:t xml:space="preserve">and the proportion of populations with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η</m:t>
                        </m:r>
                      </m:e>
                      <m:sub>
                        <m:r>
                          <m:t>j</m:t>
                        </m:r>
                        <m:r>
                          <m:t>,</m:t>
                        </m:r>
                        <m:r>
                          <m:t>p</m:t>
                        </m:r>
                        <m:r>
                          <m:t>=</m:t>
                        </m:r>
                        <m:r>
                          <m:t>1</m:t>
                        </m:r>
                      </m:sub>
                    </m:sSub>
                    <m:r>
                      <m:t>,</m:t>
                    </m:r>
                    <m:r>
                      <m:t>.</m:t>
                    </m:r>
                    <m:r>
                      <m:t>.</m:t>
                    </m:r>
                    <m:r>
                      <m:t>.</m:t>
                    </m:r>
                    <m:r>
                      <m:t>,</m:t>
                    </m:r>
                    <m:sSub>
                      <m:e>
                        <m:r>
                          <m:t>η</m:t>
                        </m:r>
                      </m:e>
                      <m:sub>
                        <m:r>
                          <m:t>j</m:t>
                        </m:r>
                        <m:r>
                          <m:t>,</m:t>
                        </m:r>
                        <m:r>
                          <m:t>p</m:t>
                        </m:r>
                        <m:r>
                          <m:t>=</m:t>
                        </m:r>
                        <m:r>
                          <m:t>n</m:t>
                        </m:r>
                      </m:sub>
                    </m:sSub>
                  </m:e>
                </m:d>
              </m:e>
              <m:e>
                <m:r>
                  <m:t>∼</m:t>
                </m:r>
                <m:r>
                  <m:rPr>
                    <m:sty m:val="p"/>
                  </m:rPr>
                  <m:t>Bern</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sty m:val="p"/>
                  </m:rPr>
                  <m:t>Dir</m:t>
                </m:r>
                <m:r>
                  <m:t>(</m:t>
                </m:r>
                <m:sSub>
                  <m:e>
                    <m:r>
                      <m:t>η</m:t>
                    </m:r>
                  </m:e>
                  <m:sub>
                    <m:r>
                      <m:t>j</m:t>
                    </m:r>
                    <m:r>
                      <m:t>,</m:t>
                    </m:r>
                    <m:r>
                      <m:t>p</m:t>
                    </m:r>
                    <m:r>
                      <m:t>=</m:t>
                    </m:r>
                    <m:r>
                      <m:t>1</m:t>
                    </m:r>
                  </m:sub>
                </m:sSub>
                <m:r>
                  <m:t>,</m:t>
                </m:r>
                <m:r>
                  <m:t>.</m:t>
                </m:r>
                <m:r>
                  <m:t>.</m:t>
                </m:r>
                <m:r>
                  <m:t>.</m:t>
                </m:r>
                <m:r>
                  <m:t>,</m:t>
                </m:r>
                <m:sSub>
                  <m:e>
                    <m:r>
                      <m:t>η</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r>
                  <m:rPr>
                    <m:sty m:val="p"/>
                  </m:rPr>
                  <m:t>Norm</m:t>
                </m:r>
                <m:r>
                  <m:t>(</m:t>
                </m:r>
                <m:sSub>
                  <m:e>
                    <m:r>
                      <m:t>μ</m:t>
                    </m:r>
                  </m:e>
                  <m:sub>
                    <m:r>
                      <m:t>s</m:t>
                    </m:r>
                  </m:sub>
                </m:sSub>
                <m:r>
                  <m:t>,</m:t>
                </m:r>
                <m:sSubSup>
                  <m:e>
                    <m:r>
                      <m:t>σ</m:t>
                    </m:r>
                  </m:e>
                  <m:sub>
                    <m:r>
                      <m:t>s</m:t>
                    </m:r>
                  </m:sub>
                  <m:sup>
                    <m:r>
                      <m:t>2</m:t>
                    </m:r>
                  </m:sup>
                </m:sSubSup>
                <m:r>
                  <m:t>)</m:t>
                </m:r>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w:t>
      </w:r>
      <w:r>
        <w:t xml:space="preserve"> </w:t>
      </w:r>
      <m:oMath>
        <m:r>
          <m:rPr>
            <m:sty m:val="p"/>
            <m:scr m:val="script"/>
          </m:rPr>
          <m:t>P</m:t>
        </m:r>
        <m:r>
          <m:rPr>
            <m:sty m:val="p"/>
            <m:scr m:val="script"/>
          </m:rPr>
          <m:t>D</m:t>
        </m:r>
        <m:r>
          <m:rPr>
            <m:sty m:val="p"/>
            <m:scr m:val="script"/>
          </m:rPr>
          <m:t>F</m:t>
        </m:r>
      </m:oMath>
      <w:r>
        <w:t xml:space="preserve"> </w:t>
      </w:r>
      <w:r>
        <w:t xml:space="preserve">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examine the sensitivites of models to different fish behavior and dam operational scenarios, seven addtional attributes are randomly assigned to each individual fish. Each attribute is randomly assigned a TRUE/FALSE using a bernoulli</w:t>
      </w:r>
      <w:r>
        <w:t xml:space="preserve"> </w:t>
      </w:r>
      <m:oMath>
        <m:r>
          <m:rPr>
            <m:sty m:val="p"/>
            <m:scr m:val="script"/>
          </m:rPr>
          <m:t>P</m:t>
        </m:r>
        <m:r>
          <m:rPr>
            <m:sty m:val="p"/>
            <m:scr m:val="script"/>
          </m:rPr>
          <m:t>D</m:t>
        </m:r>
        <m:r>
          <m:rPr>
            <m:sty m:val="p"/>
            <m:scr m:val="script"/>
          </m:rPr>
          <m:t>F</m:t>
        </m:r>
      </m:oMath>
      <w:r>
        <w:t xml:space="preserve"> </w:t>
      </w:r>
      <w:r>
        <w:t xml:space="preserve">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w:t>
      </w:r>
      <w:r>
        <w:t xml:space="preserve"> </w:t>
      </w:r>
      <m:oMath>
        <m:r>
          <m:rPr>
            <m:sty m:val="p"/>
            <m:scr m:val="script"/>
          </m:rPr>
          <m:t>P</m:t>
        </m:r>
        <m:r>
          <m:rPr>
            <m:sty m:val="p"/>
            <m:scr m:val="script"/>
          </m:rPr>
          <m:t>D</m:t>
        </m:r>
        <m:r>
          <m:rPr>
            <m:sty m:val="p"/>
            <m:scr m:val="script"/>
          </m:rPr>
          <m:t>F</m:t>
        </m:r>
      </m:oMath>
      <w:r>
        <w:t xml:space="preserve"> </w:t>
      </w:r>
      <w:r>
        <w:t xml:space="preserve">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sty m:val="p"/>
                  </m:rPr>
                  <m:t>Bern</m:t>
                </m:r>
                <m:r>
                  <m:t>(</m:t>
                </m:r>
                <m:r>
                  <m:t>1</m:t>
                </m:r>
                <m:r>
                  <m:t>−</m:t>
                </m:r>
                <m:r>
                  <m:t>ν</m:t>
                </m:r>
                <m:r>
                  <m:t>)</m:t>
                </m:r>
              </m:e>
            </m:mr>
            <m:mr>
              <m:e>
                <m:r>
                  <m:t>w</m:t>
                </m:r>
                <m:r>
                  <m:t>i</m:t>
                </m:r>
                <m:r>
                  <m:t>n</m:t>
                </m:r>
                <m:r>
                  <m:t>d</m:t>
                </m:r>
                <m:r>
                  <m:t>o</m:t>
                </m:r>
                <m:sSub>
                  <m:e>
                    <m:r>
                      <m:t>w</m:t>
                    </m:r>
                  </m:e>
                  <m:sub>
                    <m:r>
                      <m:t>i</m:t>
                    </m:r>
                    <m:r>
                      <m:t>|</m:t>
                    </m:r>
                    <m:r>
                      <m:t>d</m:t>
                    </m:r>
                    <m:r>
                      <m:t>=</m:t>
                    </m:r>
                    <m:r>
                      <m:t>T</m:t>
                    </m:r>
                    <m:r>
                      <m:t>R</m:t>
                    </m:r>
                    <m:r>
                      <m:t>U</m:t>
                    </m:r>
                    <m:r>
                      <m:t>E</m:t>
                    </m:r>
                  </m:sub>
                </m:sSub>
              </m:e>
              <m:e>
                <m:r>
                  <m:t>∼</m:t>
                </m:r>
                <m:r>
                  <m:rPr>
                    <m:sty m:val="p"/>
                  </m:rPr>
                  <m:t>Bern</m:t>
                </m:r>
                <m:r>
                  <m:t>(</m:t>
                </m:r>
                <m:r>
                  <m:t>γ</m:t>
                </m:r>
                <m:r>
                  <m:t>)</m:t>
                </m:r>
              </m:e>
            </m:mr>
            <m:mr>
              <m:e>
                <m:r>
                  <m:t>t</m:t>
                </m:r>
                <m:r>
                  <m:t>r</m:t>
                </m:r>
                <m:r>
                  <m:t>a</m:t>
                </m:r>
                <m:r>
                  <m:t>p</m:t>
                </m:r>
                <m:r>
                  <m:t>p</m:t>
                </m:r>
                <m:r>
                  <m:t>e</m:t>
                </m:r>
                <m:sSub>
                  <m:e>
                    <m:r>
                      <m:t>d</m:t>
                    </m:r>
                  </m:e>
                  <m:sub>
                    <m:r>
                      <m:t>i</m:t>
                    </m:r>
                  </m:sub>
                </m:sSub>
              </m:e>
              <m:e>
                <m:r>
                  <m:t>∼</m:t>
                </m:r>
                <m:r>
                  <m:rPr>
                    <m:sty m:val="p"/>
                  </m:rPr>
                  <m:t>Bern</m:t>
                </m:r>
                <m:r>
                  <m:t>(</m:t>
                </m:r>
                <m:sSub>
                  <m:e>
                    <m:r>
                      <m:t>δ</m:t>
                    </m:r>
                  </m:e>
                  <m:sub>
                    <m:r>
                      <m:t>t</m:t>
                    </m:r>
                  </m:sub>
                </m:sSub>
                <m:r>
                  <m:t>)</m:t>
                </m:r>
              </m:e>
            </m:mr>
            <m:mr>
              <m:e>
                <m:r>
                  <m:t>t</m:t>
                </m:r>
                <m:r>
                  <m:t>a</m:t>
                </m:r>
                <m:r>
                  <m:t>g</m:t>
                </m:r>
                <m:r>
                  <m:t>g</m:t>
                </m:r>
                <m:r>
                  <m:t>e</m:t>
                </m:r>
                <m:sSub>
                  <m:e>
                    <m:r>
                      <m:t>d</m:t>
                    </m:r>
                  </m:e>
                  <m:sub>
                    <m:r>
                      <m:t>i</m:t>
                    </m:r>
                  </m:sub>
                </m:sSub>
              </m:e>
              <m:e>
                <m:r>
                  <m:t>∼</m:t>
                </m:r>
                <m:r>
                  <m:rPr>
                    <m:sty m:val="p"/>
                  </m:rPr>
                  <m:t>Bern</m:t>
                </m:r>
                <m:r>
                  <m:t>(</m:t>
                </m:r>
                <m:r>
                  <m:t>λ</m:t>
                </m:r>
                <m:r>
                  <m:t>)</m:t>
                </m:r>
              </m:e>
            </m:mr>
            <m:mr>
              <m:e>
                <m:r>
                  <m:t>l</m:t>
                </m:r>
                <m:r>
                  <m:t>a</m:t>
                </m:r>
                <m:r>
                  <m:t>d</m:t>
                </m:r>
                <m:r>
                  <m:t>d</m:t>
                </m:r>
                <m:r>
                  <m:t>e</m:t>
                </m:r>
                <m:sSub>
                  <m:e>
                    <m:r>
                      <m:t>r</m:t>
                    </m:r>
                  </m:e>
                  <m:sub>
                    <m:r>
                      <m:t>i</m:t>
                    </m:r>
                    <m:r>
                      <m:t>|</m:t>
                    </m:r>
                    <m:r>
                      <m:t>m</m:t>
                    </m:r>
                    <m:r>
                      <m:t>=</m:t>
                    </m:r>
                    <m:r>
                      <m:t>T</m:t>
                    </m:r>
                    <m:r>
                      <m:t>R</m:t>
                    </m:r>
                    <m:r>
                      <m:t>U</m:t>
                    </m:r>
                    <m:r>
                      <m:t>E</m:t>
                    </m:r>
                  </m:sub>
                </m:sSub>
              </m:e>
              <m:e>
                <m:r>
                  <m:t>∼</m:t>
                </m:r>
                <m:r>
                  <m:rPr>
                    <m:sty m:val="p"/>
                  </m:rPr>
                  <m:t>Bern</m:t>
                </m:r>
                <m:r>
                  <m:t>(</m:t>
                </m:r>
                <m:r>
                  <m:t>κ</m:t>
                </m:r>
                <m:r>
                  <m:t>)</m:t>
                </m:r>
              </m:e>
            </m:mr>
            <m:mr>
              <m:e>
                <m:r>
                  <m:t>f</m:t>
                </m:r>
                <m:r>
                  <m:t>a</m:t>
                </m:r>
                <m:r>
                  <m:t>l</m:t>
                </m:r>
                <m:r>
                  <m:t>l</m:t>
                </m:r>
                <m:r>
                  <m:t>b</m:t>
                </m:r>
                <m:r>
                  <m:t>a</m:t>
                </m:r>
                <m:r>
                  <m:t>c</m:t>
                </m:r>
                <m:sSub>
                  <m:e>
                    <m:r>
                      <m:t>k</m:t>
                    </m:r>
                  </m:e>
                  <m:sub>
                    <m:r>
                      <m:t>i</m:t>
                    </m:r>
                  </m:sub>
                </m:sSub>
              </m:e>
              <m:e>
                <m:r>
                  <m:t>∼</m:t>
                </m:r>
                <m:r>
                  <m:rPr>
                    <m:sty m:val="p"/>
                  </m:rPr>
                  <m:t>Bern</m:t>
                </m:r>
                <m:r>
                  <m:t>(</m:t>
                </m:r>
                <m:r>
                  <m:t>ψ</m:t>
                </m:r>
                <m:r>
                  <m:t>)</m:t>
                </m:r>
              </m:e>
            </m:mr>
            <m:mr>
              <m:e>
                <m:r>
                  <m:t>r</m:t>
                </m:r>
                <m:r>
                  <m:t>e</m:t>
                </m:r>
                <m:r>
                  <m:t>−</m:t>
                </m:r>
                <m:r>
                  <m:t>a</m:t>
                </m:r>
                <m:r>
                  <m:t>s</m:t>
                </m:r>
                <m:r>
                  <m:t>c</m:t>
                </m:r>
                <m:r>
                  <m:t>e</m:t>
                </m:r>
                <m:r>
                  <m:t>n</m:t>
                </m:r>
                <m:sSub>
                  <m:e>
                    <m:r>
                      <m:t>d</m:t>
                    </m:r>
                  </m:e>
                  <m:sub>
                    <m:r>
                      <m:t>i</m:t>
                    </m:r>
                    <m:r>
                      <m:t>|</m:t>
                    </m:r>
                    <m:r>
                      <m:t>f</m:t>
                    </m:r>
                    <m:r>
                      <m:t>=</m:t>
                    </m:r>
                    <m:r>
                      <m:t>T</m:t>
                    </m:r>
                    <m:r>
                      <m:t>R</m:t>
                    </m:r>
                    <m:r>
                      <m:t>U</m:t>
                    </m:r>
                    <m:r>
                      <m:t>E</m:t>
                    </m:r>
                  </m:sub>
                </m:sSub>
              </m:e>
              <m:e>
                <m:r>
                  <m:t>∼</m:t>
                </m:r>
                <m:r>
                  <m:rPr>
                    <m:sty m:val="p"/>
                  </m:rPr>
                  <m:t>Bern</m:t>
                </m:r>
                <m:r>
                  <m:t>(</m:t>
                </m:r>
                <m:r>
                  <m:t>ρ</m:t>
                </m:r>
                <m:r>
                  <m:t>)</m:t>
                </m:r>
              </m:e>
            </m:mr>
          </m:m>
        </m:oMath>
      </m:oMathPara>
    </w:p>
    <w:p>
      <w:pPr>
        <w:pStyle w:val="FirstParagraph"/>
      </w:pPr>
      <w:r>
        <w:t xml:space="preserve">Simulation parameters for model evaluations were set to mimic typical ecapement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88">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escapment from the combinations of two seperate trapping rates, two fallback, re-ascension and night-passage combinations and three window count error rates; resulting in twelve different scenarios. First, trapping rates were set static at 0.15 across all weeks for six scenarios to mimic an optimium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sensitivites of STADEM to potential rates of window count error; 0%, 5% and 10%</w:t>
      </w:r>
      <w:r>
        <w:t xml:space="preserve"> </w:t>
      </w:r>
      <w:r>
        <w:t xml:space="preserve">(Hatch et al. 1994)</w:t>
      </w:r>
      <w:r>
        <w:t xml:space="preserve">. Error at the window was simulated as unbiased (i.e., expect varying high and low counts to cancel each other) and is introduced to the sum of daily window counts using a normal</w:t>
      </w:r>
      <w:r>
        <w:t xml:space="preserve"> </w:t>
      </w:r>
      <m:oMath>
        <m:r>
          <m:rPr>
            <m:sty m:val="p"/>
            <m:scr m:val="script"/>
          </m:rPr>
          <m:t>P</m:t>
        </m:r>
        <m:r>
          <m:rPr>
            <m:sty m:val="p"/>
            <m:scr m:val="script"/>
          </m:rPr>
          <m:t>D</m:t>
        </m:r>
        <m:r>
          <m:rPr>
            <m:sty m:val="p"/>
            <m:scr m:val="script"/>
          </m:rPr>
          <m:t>F</m:t>
        </m:r>
      </m:oMath>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hyperlink" Id="rId88"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88"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2020-08-27T23:33:48Z</dcterms:created>
  <dcterms:modified xsi:type="dcterms:W3CDTF">2020-08-27T23:33:48Z</dcterms:modified>
</cp:coreProperties>
</file>