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5.png" ContentType="image/png"/>
  <Override PartName="/word/media/rId116.png" ContentType="image/png"/>
  <Override PartName="/word/media/rId118.pdf" ContentType="application/pdf"/>
  <Override PartName="/word/media/rId117.pdf" ContentType="application/pdf"/>
  <Override PartName="/word/media/rId11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Subtitle"/>
      </w:pPr>
      <w:r>
        <w:t xml:space="preserve">Freshwater</w:t>
      </w:r>
      <w:r>
        <w:t xml:space="preserve"> </w:t>
      </w:r>
      <w:r>
        <w:t xml:space="preserve">Ecology</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December</w:t>
      </w:r>
      <w:r>
        <w:t xml:space="preserve"> </w:t>
      </w:r>
      <w:r>
        <w:t xml:space="preserve">04,</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w:t>
      </w:r>
      <w:r>
        <w:rPr>
          <w:i/>
        </w:rPr>
        <w:t xml:space="preserve">Oncorhynchus</w:t>
      </w:r>
      <w:r>
        <w:t xml:space="preserve"> </w:t>
      </w:r>
      <w:r>
        <w:t xml:space="preserve">spp.).</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may</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w:t>
      </w:r>
      <w:r>
        <w:rPr>
          <w:i/>
        </w:rPr>
        <w:t xml:space="preserve">O.</w:t>
      </w:r>
      <w:r>
        <w:rPr>
          <w:i/>
        </w:rPr>
        <w:t xml:space="preserve"> </w:t>
      </w:r>
      <w:r>
        <w:rPr>
          <w:i/>
        </w:rPr>
        <w:t xml:space="preserve">tshawytscha</w:t>
      </w:r>
      <w:r>
        <w:t xml:space="preserve">)</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Quantile</w:t>
      </w:r>
      <w:r>
        <w:t xml:space="preserve"> </w:t>
      </w:r>
      <w:r>
        <w:t xml:space="preserve">random</w:t>
      </w:r>
      <w:r>
        <w:t xml:space="preserve"> </w:t>
      </w:r>
      <w:r>
        <w:t xml:space="preserve">forest</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quantile</w:t>
      </w:r>
      <w:r>
        <w:t xml:space="preserve"> </w:t>
      </w:r>
      <w:r>
        <w:t xml:space="preserve">random</w:t>
      </w:r>
      <w:r>
        <w:t xml:space="preserve"> </w:t>
      </w:r>
      <w:r>
        <w:t xml:space="preserve">forest</w:t>
      </w:r>
      <w:r>
        <w:t xml:space="preserve"> </w:t>
      </w:r>
      <w:r>
        <w:t xml:space="preserve">models,</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r>
        <w:t xml:space="preserve"> </w:t>
      </w:r>
      <w:r>
        <w:rPr>
          <w:b/>
        </w:rPr>
        <w:t xml:space="preserve">Key</w:t>
      </w:r>
      <w:r>
        <w:rPr>
          <w:b/>
        </w:rPr>
        <w:t xml:space="preserve"> </w:t>
      </w:r>
      <w:r>
        <w:rPr>
          <w:b/>
        </w:rPr>
        <w:t xml:space="preserve">words:</w:t>
      </w:r>
      <w:r>
        <w:t xml:space="preserve"> </w:t>
      </w:r>
      <w:r>
        <w:t xml:space="preserve">carrying</w:t>
      </w:r>
      <w:r>
        <w:t xml:space="preserve"> </w:t>
      </w:r>
      <w:r>
        <w:t xml:space="preserve">capacity;</w:t>
      </w:r>
      <w:r>
        <w:t xml:space="preserve"> </w:t>
      </w:r>
      <w:r>
        <w:t xml:space="preserve">Chinook</w:t>
      </w:r>
      <w:r>
        <w:t xml:space="preserve"> </w:t>
      </w:r>
      <w:r>
        <w:t xml:space="preserve">salmon;</w:t>
      </w:r>
      <w:r>
        <w:t xml:space="preserve"> </w:t>
      </w:r>
      <w:r>
        <w:t xml:space="preserve">quantile</w:t>
      </w:r>
      <w:r>
        <w:t xml:space="preserve"> </w:t>
      </w:r>
      <w:r>
        <w:t xml:space="preserve">random</w:t>
      </w:r>
      <w:r>
        <w:t xml:space="preserve"> </w:t>
      </w:r>
      <w:r>
        <w:t xml:space="preserve">forest;</w:t>
      </w:r>
      <w:r>
        <w:t xml:space="preserve"> </w:t>
      </w:r>
      <w:r>
        <w:t xml:space="preserve">quantile</w:t>
      </w:r>
      <w:r>
        <w:t xml:space="preserve"> </w:t>
      </w:r>
      <w:r>
        <w:t xml:space="preserve">regression;</w:t>
      </w:r>
      <w:r>
        <w:t xml:space="preserve"> </w:t>
      </w:r>
      <w:r>
        <w:t xml:space="preserve">random</w:t>
      </w:r>
      <w:r>
        <w:t xml:space="preserve"> </w:t>
      </w:r>
      <w:r>
        <w:t xml:space="preserve">forests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 (</w:t>
      </w:r>
      <w:r>
        <w:rPr>
          <w:i/>
        </w:rPr>
        <w:t xml:space="preserve">Oncorhynchus</w:t>
      </w:r>
      <w:r>
        <w:t xml:space="preserve"> </w:t>
      </w:r>
      <w:r>
        <w:t xml:space="preserve">spp.) across the Pacific Northwest, USA has prompted numerous actions aimed at reversing that trend. These actions are often categorized into four H’s: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w:t>
      </w:r>
      <w:r>
        <w:t xml:space="preserve"> </w:t>
      </w:r>
      <w:r>
        <w:t xml:space="preserve">(Bond et al. 2019, Hinrichsen and Paulsen 2020, NOAA Fisheries 2020)</w:t>
      </w:r>
      <w:r>
        <w:t xml:space="preserve">.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w:t>
      </w:r>
      <w:r>
        <w:t xml:space="preserve"> </w:t>
      </w:r>
      <w:r>
        <w:t xml:space="preserve">(Bond et al. 2019, Hinrichsen and Paulsen 2020, NOAA Fisheries 2020)</w:t>
      </w:r>
      <w:r>
        <w:t xml:space="preserv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abundance for adults and juveniles, with variation in the number of adults. Such data are unavailable in most watersheds</w:t>
      </w:r>
      <w:r>
        <w:t xml:space="preserve"> </w:t>
      </w:r>
      <w:r>
        <w:t xml:space="preserve">(Cramer and Ackerman 2009)</w:t>
      </w:r>
      <w:r>
        <w:t xml:space="preserve">, and they do not necessarily allow one to link capacity to habitat characteristics, except perhaps at the watershed scale. Bioenergetics approaches, such as the net rate of energy intake (NREI) have been applied to salmonids to estimate capacity on the 200 - 600 m reach scale</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In addition, those authors did not take the step of scaling the capacity predictions at the reach scale to entire watersheds. In contrast,</w:t>
      </w:r>
      <w:r>
        <w:t xml:space="preserve"> </w:t>
      </w:r>
      <w:r>
        <w:t xml:space="preserve">Sweka and Mackey (2010)</w:t>
      </w:r>
      <w:r>
        <w:t xml:space="preserve"> </w:t>
      </w:r>
      <w:r>
        <w:t xml:space="preserve">estimated carrying capacity of Atlantic salmon (</w:t>
      </w:r>
      <w:r>
        <w:rPr>
          <w:i/>
        </w:rPr>
        <w:t xml:space="preserve">Salmo salar</w:t>
      </w:r>
      <w:r>
        <w:t xml:space="preserve">) parr at the watershed scale, using a quantile regression approach, but the only habitat covariate they included was cumulative drainage area. Estimates of salmonid carrying capacity that leverage fish-habitat relationships are lacking at the watershed scale in the Pacific Northwest.</w:t>
      </w:r>
    </w:p>
    <w:p>
      <w:pPr>
        <w:pStyle w:val="BodyText"/>
      </w:pPr>
      <w:r>
        <w:t xml:space="preserve">Most studies that have investigated fish-habitat relationships focus on predicting a species’ distribution (presence/absence) or the average abundance or density: neither of which can be easily manipulated to predict carrying capacity. Further, many of these studies focus on only one or two measures of habitat.</w:t>
      </w:r>
      <w:r>
        <w:t xml:space="preserve"> </w:t>
      </w: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Compton et al. 2012)</w:t>
      </w:r>
      <w:r>
        <w:t xml:space="preserve">. The results from these studies highlight the importance and effectiveness of using techniques that can accommodate non-linear fish-habitat relationships and provide motivation for furthering research in this realm.</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elicit fish-habitat relationships for those habitat characteristics identified as important for determining fish abundance and density, using paired fish and habitat measurements,</w:t>
      </w:r>
    </w:p>
    <w:p>
      <w:pPr>
        <w:pStyle w:val="Compact"/>
        <w:numPr>
          <w:numId w:val="1001"/>
          <w:ilvl w:val="0"/>
        </w:numPr>
      </w:pPr>
      <w:r>
        <w:t xml:space="preserve">predict contemporary habitat carrying capacity at all sites where the important habitat characteristics are measured,</w:t>
      </w:r>
    </w:p>
    <w:p>
      <w:pPr>
        <w:pStyle w:val="Compact"/>
        <w:numPr>
          <w:numId w:val="1001"/>
          <w:ilvl w:val="0"/>
        </w:numPr>
      </w:pPr>
      <w:r>
        <w:t xml:space="preserve">extrapolate capacity predictions at measured habitat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Salmon.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2020)</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w:t>
      </w:r>
      <w:r>
        <w:t xml:space="preserve"> </w:t>
      </w:r>
      <w:r>
        <w:t xml:space="preserve">1</w:t>
      </w:r>
      <w:r>
        <w:t xml:space="preserve">). We did explore using areal fish densities (parr/m</w:t>
      </w:r>
      <m:oMath>
        <m:sSup>
          <m:e>
            <m:r>
              <m:t>​</m:t>
            </m:r>
          </m:e>
          <m:sup>
            <m:r>
              <m:t>2</m:t>
            </m:r>
          </m:sup>
        </m:sSup>
      </m:oMath>
      <w:r>
        <w:t xml:space="preserve">) as the response but found very similar results so in the interest of brevity we only present results based on linear fish densities.</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classification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2020)</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some form of spatial averaging of capacity predictions to generate larger scale capacity estimates is necessary.</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w:t>
      </w:r>
      <w:r>
        <w:t xml:space="preserve"> </w:t>
      </w:r>
      <w:r>
        <w:t xml:space="preserve">2</w:t>
      </w:r>
      <w:r>
        <w:t xml:space="preserv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2020)</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 GitHub repository (</w:t>
      </w:r>
      <w:hyperlink r:id="rId31">
        <w:r>
          <w:rPr>
            <w:rStyle w:val="Hyperlink"/>
          </w:rPr>
          <w:t xml:space="preserve">https://doi.org/10.5281/zenodo.4300942</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3</w:t>
      </w:r>
      <w:r>
        <w:t xml:space="preserve">), quantified by the average decrease in residual sum of squares for splits on that variable amidst the trees in the random forest, implemented by the</w:t>
      </w:r>
      <w:r>
        <w:t xml:space="preserve"> </w:t>
      </w:r>
      <w:r>
        <w:rPr>
          <w:i/>
        </w:rPr>
        <w:t xml:space="preserve">importance</w:t>
      </w:r>
      <w:r>
        <w:t xml:space="preserve"> </w:t>
      </w:r>
      <w:r>
        <w:t xml:space="preserve">function from the</w:t>
      </w:r>
      <w:r>
        <w:t xml:space="preserve"> </w:t>
      </w:r>
      <w:r>
        <w:rPr>
          <w:i/>
        </w:rPr>
        <w:t xml:space="preserve">randomForest</w:t>
      </w:r>
      <w:r>
        <w:t xml:space="preserve"> </w:t>
      </w:r>
      <w:r>
        <w:t xml:space="preserve">package</w:t>
      </w:r>
      <w:r>
        <w:t xml:space="preserve"> </w:t>
      </w:r>
      <w:r>
        <w:t xml:space="preserve">(Liaw and Wiener 2002)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4</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5</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5</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that may be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life-stages and/or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BodyText"/>
      </w:pPr>
      <w:r>
        <w:t xml:space="preserve">There are two aspects that make this approach</w:t>
      </w:r>
      <w:r>
        <w:t xml:space="preserve"> </w:t>
      </w:r>
      <w:r>
        <w:t xml:space="preserve">“</w:t>
      </w:r>
      <w:r>
        <w:t xml:space="preserve">data hungry</w:t>
      </w:r>
      <w:r>
        <w:t xml:space="preserve">”</w:t>
      </w:r>
      <w:r>
        <w:t xml:space="preserve">, meaning a large dataset is needed to fit a QRF model like this. First, random forest models generally require more data than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presumably satisfying the data hungriness of a QRF model, based on our validation with spawner-recruit data.</w:t>
      </w:r>
    </w:p>
    <w:p>
      <w:pPr>
        <w:pStyle w:val="Heading2"/>
      </w:pPr>
      <w:bookmarkStart w:id="39" w:name="biological-expectations-from-qrf-model"/>
      <w:r>
        <w:t xml:space="preserve">Biological expectations from QRF model</w:t>
      </w:r>
      <w:bookmarkEnd w:id="39"/>
    </w:p>
    <w:p>
      <w:pPr>
        <w:pStyle w:val="FirstParagraph"/>
      </w:pPr>
      <w:r>
        <w:t xml:space="preserve">The results of the QRF parr capacity model for Chinook salmon meet many biological expectations. Focusing on the partial dependence plots (Figure</w:t>
      </w:r>
      <w:r>
        <w:t xml:space="preserve"> </w:t>
      </w:r>
      <w:r>
        <w:t xml:space="preserve">4</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pPr>
        <w:pStyle w:val="Heading2"/>
      </w:pPr>
      <w:bookmarkStart w:id="40" w:name="extrapolation-model"/>
      <w:r>
        <w:t xml:space="preserve">Extrapolation model</w:t>
      </w:r>
      <w:bookmarkEnd w:id="40"/>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1" w:name="the-future-improving-habitat-data"/>
      <w:r>
        <w:t xml:space="preserve">The future: improving habitat data</w:t>
      </w:r>
      <w:bookmarkEnd w:id="41"/>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2" w:name="conclusions-and-next-steps"/>
      <w:r>
        <w:t xml:space="preserve">Conclusions and next steps</w:t>
      </w:r>
      <w:bookmarkEnd w:id="42"/>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3" w:name="acknowledgements"/>
      <w:r>
        <w:t xml:space="preserve">Acknowledgements</w:t>
      </w:r>
      <w:bookmarkEnd w:id="43"/>
    </w:p>
    <w:p>
      <w:pPr>
        <w:pStyle w:val="FirstParagraph"/>
      </w:pPr>
      <w:r>
        <w:t xml:space="preserve">Model development efforts have been funded by the Bonneville Power Administration through projects 2003-017-00 and 2011-006-00 and by the Bureau of Reclamation and Idaho Governor’s Office of Species Conservation through contract BOR002 16. Fish sampling work in the Lemhi River was also funded through the Idaho Governor’s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Chris Jordan and Eric Buhle.</w:t>
      </w:r>
    </w:p>
    <w:p>
      <w:r>
        <w:br w:type="page"/>
      </w:r>
    </w:p>
    <w:p>
      <w:pPr>
        <w:pStyle w:val="Heading1"/>
      </w:pPr>
      <w:bookmarkStart w:id="44" w:name="literature-cited"/>
      <w:r>
        <w:t xml:space="preserve">Literature Cited</w:t>
      </w:r>
      <w:bookmarkEnd w:id="44"/>
    </w:p>
    <w:bookmarkStart w:id="110" w:name="refs"/>
    <w:bookmarkStart w:id="45" w:name="ref-Allen2000"/>
    <w:p>
      <w:pPr>
        <w:pStyle w:val="Bibliography"/>
      </w:pPr>
      <w:r>
        <w:t xml:space="preserve">Allen, M. A. 2000. Seasonal microhabitat use by juvenile spring Chinook salmon in the Yakima River basin, Washington. Rivers 7:314–332.</w:t>
      </w:r>
    </w:p>
    <w:bookmarkEnd w:id="45"/>
    <w:bookmarkStart w:id="46" w:name="ref-Bjornn1991"/>
    <w:p>
      <w:pPr>
        <w:pStyle w:val="Bibliography"/>
      </w:pPr>
      <w:r>
        <w:t xml:space="preserve">Bjornn, T., and D. Reiser. 1991. Habitat requirements of salmonids in streams. American Fisheries Society Special Publication 19:138.</w:t>
      </w:r>
    </w:p>
    <w:bookmarkEnd w:id="46"/>
    <w:bookmarkStart w:id="47" w:name="ref-Bond2019"/>
    <w:p>
      <w:pPr>
        <w:pStyle w:val="Bibliography"/>
      </w:pPr>
      <w:r>
        <w:t xml:space="preserve">Bond, M. H., T. G. Nodine, T. J. Beechie, and R. W. Zabel. 2019. Estimating the benefits of widespread floodplain reconnection for Columbia River Chinook salmon. Canadian Journal of Fisheries and Aquatic Sciences 76:1212–1226.</w:t>
      </w:r>
    </w:p>
    <w:bookmarkEnd w:id="47"/>
    <w:bookmarkStart w:id="48" w:name="ref-Braun2011"/>
    <w:p>
      <w:pPr>
        <w:pStyle w:val="Bibliography"/>
      </w:pPr>
      <w:r>
        <w:t xml:space="preserve">Braun, D. C., and J. D. Reynolds. 2011. Relationships between habitat characteristics and breeding population densities in sockeye salmon (</w:t>
      </w:r>
      <w:r>
        <w:rPr>
          <w:i/>
        </w:rPr>
        <w:t xml:space="preserve">Oncorhynchus nerka</w:t>
      </w:r>
      <w:r>
        <w:t xml:space="preserve">).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w:t>
      </w:r>
      <w:r>
        <w:t xml:space="preserve"> </w:t>
      </w:r>
      <w:r>
        <w:rPr>
          <w:i/>
        </w:rPr>
        <w:t xml:space="preserve">oncorhynchus</w:t>
      </w:r>
      <w:r>
        <w:t xml:space="preserve">.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 34:621–630.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 77:1221–1232.</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 Berkeley, California, USA.</w:t>
      </w:r>
    </w:p>
    <w:bookmarkEnd w:id="57"/>
    <w:bookmarkStart w:id="58" w:name="ref-Compton2012"/>
    <w:p>
      <w:pPr>
        <w:pStyle w:val="Bibliography"/>
      </w:pPr>
      <w:r>
        <w:t xml:space="preserve">Compton, T. J., M. A. Morrison, J. R. Leathwick, and G. D. Carbines. 2012. Ontogenetic habitat associations of a demersal fish species,</w:t>
      </w:r>
      <w:r>
        <w:t xml:space="preserve"> </w:t>
      </w:r>
      <w:r>
        <w:rPr>
          <w:i/>
        </w:rPr>
        <w:t xml:space="preserve">Pagrus auratus</w:t>
      </w:r>
      <w:r>
        <w:t xml:space="preserve">,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 General Technical Report, United States Department of Agriculture, Forest Service, Portland, Oregon, USA.</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5"/>
    <w:bookmarkStart w:id="66"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6"/>
    <w:bookmarkStart w:id="67" w:name="ref-Hinrichsen2020"/>
    <w:p>
      <w:pPr>
        <w:pStyle w:val="Bibliography"/>
      </w:pPr>
      <w:r>
        <w:t xml:space="preserve">Hinrichsen, R. A., and C. M. Paulsen. 2020. Low carrying capacity a risk for threatened Chinook salmon. Ecological Modelling 432:109223.</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 46:33–50.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 North Bend, Washington, USA.</w:t>
      </w:r>
    </w:p>
    <w:bookmarkEnd w:id="73"/>
    <w:bookmarkStart w:id="74" w:name="ref-LeCun2015"/>
    <w:p>
      <w:pPr>
        <w:pStyle w:val="Bibliography"/>
      </w:pPr>
      <w:r>
        <w:t xml:space="preserve">LeCun, Y., Y. Bengio, and G. Hinton. 2015. Deep learning. Nature 521:436–444.</w:t>
      </w:r>
    </w:p>
    <w:bookmarkEnd w:id="74"/>
    <w:bookmarkStart w:id="75" w:name="ref-randomForest2002"/>
    <w:p>
      <w:pPr>
        <w:pStyle w:val="Bibliography"/>
      </w:pPr>
      <w:r>
        <w:t xml:space="preserve">Liaw, A., and M. Wiener. 2002. Classification and regression by randomForest. R News 2:18–22.</w:t>
      </w:r>
    </w:p>
    <w:bookmarkEnd w:id="75"/>
    <w:bookmarkStart w:id="76" w:name="ref-R-survey"/>
    <w:p>
      <w:pPr>
        <w:pStyle w:val="Bibliography"/>
      </w:pPr>
      <w:r>
        <w:t xml:space="preserve">Lumley, T. 2020. survey: Analysis of complex survey samples.</w:t>
      </w:r>
    </w:p>
    <w:bookmarkEnd w:id="76"/>
    <w:bookmarkStart w:id="77"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7"/>
    <w:bookmarkStart w:id="78" w:name="ref-R-quantregForest"/>
    <w:p>
      <w:pPr>
        <w:pStyle w:val="Bibliography"/>
      </w:pPr>
      <w:r>
        <w:t xml:space="preserve">Meinshausen, N. 2017. quantregForest: Quantile regression forests.</w:t>
      </w:r>
    </w:p>
    <w:bookmarkEnd w:id="78"/>
    <w:bookmarkStart w:id="79" w:name="ref-Meinshausen2006"/>
    <w:p>
      <w:pPr>
        <w:pStyle w:val="Bibliography"/>
      </w:pPr>
      <w:r>
        <w:t xml:space="preserve">Meinshausen, N. 2006. Quantile regression forests. Journal of Machine Learning Research 7:983–999.</w:t>
      </w:r>
    </w:p>
    <w:bookmarkEnd w:id="79"/>
    <w:bookmarkStart w:id="80" w:name="ref-Mossop2006"/>
    <w:p>
      <w:pPr>
        <w:pStyle w:val="Bibliography"/>
      </w:pPr>
      <w:r>
        <w:t xml:space="preserve">Mossop, B., and M. J. Bradford. 2006. Using thalweg profiling to assess and monitor juvenile salmon (</w:t>
      </w:r>
      <w:r>
        <w:rPr>
          <w:i/>
        </w:rPr>
        <w:t xml:space="preserve">Oncorhynchus</w:t>
      </w:r>
      <w:r>
        <w:t xml:space="preserve"> </w:t>
      </w:r>
      <w:r>
        <w:t xml:space="preserve">spp.) habitat in small streams. Canadian Journal of Fisheries and Aquatic Sciences 63:1515–1525.</w:t>
      </w:r>
    </w:p>
    <w:bookmarkEnd w:id="80"/>
    <w:bookmarkStart w:id="81" w:name="ref-Moussalli1986"/>
    <w:p>
      <w:pPr>
        <w:pStyle w:val="Bibliography"/>
      </w:pPr>
      <w:r>
        <w:t xml:space="preserve">Moussalli, E., and R. Hilborn. 1986. Optimal stock size and harvest rate in multistage life history models. Canadian Journal of Fisheries and Aquatic Sciences 43:135–141.</w:t>
      </w:r>
    </w:p>
    <w:bookmarkEnd w:id="81"/>
    <w:bookmarkStart w:id="82" w:name="ref-Myers1999"/>
    <w:p>
      <w:pPr>
        <w:pStyle w:val="Bibliography"/>
      </w:pPr>
      <w:r>
        <w:t xml:space="preserve">Myers, R. A., K. G. Bowen, and N. J. Barrowman. 1999. Maximum reproductive rate of fish at low population sizes. Canadian Journal of Fisheries and Aquatic Sciences 56:2404–2419.</w:t>
      </w:r>
    </w:p>
    <w:bookmarkEnd w:id="82"/>
    <w:bookmarkStart w:id="83"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3"/>
    <w:bookmarkStart w:id="84" w:name="ref-Nickelson1992"/>
    <w:p>
      <w:pPr>
        <w:pStyle w:val="Bibliography"/>
      </w:pPr>
      <w:r>
        <w:t xml:space="preserve">Nickelson, T. E., J. D. Rodgers, S. L. Johnson, and M. F. Solazzi. 1992. Seasonal changes in habitat use by juvenile coho salmon (</w:t>
      </w:r>
      <w:r>
        <w:rPr>
          <w:i/>
        </w:rPr>
        <w:t xml:space="preserve">Oncorhynchus kisutch</w:t>
      </w:r>
      <w:r>
        <w:t xml:space="preserve">) in Oregon coastal streams. Canadian Journal of Fisheries and Aquatic Sciences 49:783–789.</w:t>
      </w:r>
    </w:p>
    <w:bookmarkEnd w:id="84"/>
    <w:bookmarkStart w:id="85" w:name="ref-NOAA2016"/>
    <w:p>
      <w:pPr>
        <w:pStyle w:val="Bibliography"/>
      </w:pPr>
      <w:r>
        <w:t xml:space="preserve">NOAA Fisheries. 2016a. 2016 5-year review: Summary &amp; evaluation of Upper Columbia River steelhead and Upper Columbia River spring-run Chinook salmon. U.S. Department of Commerce, National Oceanic; Atmospheric Administration, National Marine Fisheries Service, West Coast Region, Portland, Oregon, USA.</w:t>
      </w:r>
    </w:p>
    <w:bookmarkEnd w:id="85"/>
    <w:bookmarkStart w:id="86" w:name="ref-NOAA2016b"/>
    <w:p>
      <w:pPr>
        <w:pStyle w:val="Bibliography"/>
      </w:pPr>
      <w:r>
        <w:t xml:space="preserve">NOAA Fisheries. 2016b. 2016 5-year review: Summary &amp; evaluation of Snake River Sockeye, Snake River spring-summer Chinook, Snake River fall-run Chinook and Snake River steelhead. U.S. Department of Commerce, National Oceanic; Atmospheric Administration, National Marine Fisheries Service, West Coast Region, Portland, Oregon, USA.</w:t>
      </w:r>
    </w:p>
    <w:bookmarkEnd w:id="86"/>
    <w:bookmarkStart w:id="87" w:name="ref-NOAA2020"/>
    <w:p>
      <w:pPr>
        <w:pStyle w:val="Bibliography"/>
      </w:pPr>
      <w:r>
        <w:t xml:space="preserve">NOAA Fisheries. 2020. Endangered Species Act Section 7(a)(2) Biological opinion and Magnuson-Stevens fishery conservation and management act essential fish habitat response for the continued operation and maintenance of the Columbia River system. NMFS Consultation, U.S. Department of Commerce, National Oceanic; Atmospheric Administration, National Marine Fisheries Service, West Coast Region, Portland, Oregon, USA.</w:t>
      </w:r>
    </w:p>
    <w:bookmarkEnd w:id="87"/>
    <w:bookmarkStart w:id="88" w:name="ref-R-FSA"/>
    <w:p>
      <w:pPr>
        <w:pStyle w:val="Bibliography"/>
      </w:pPr>
      <w:r>
        <w:t xml:space="preserve">Ogle, D., P. Wheeler, and A. Dinno. 2020. FSA: Simple fisheries stock assessment methods.</w:t>
      </w:r>
    </w:p>
    <w:bookmarkEnd w:id="88"/>
    <w:bookmarkStart w:id="89" w:name="ref-Pess2002"/>
    <w:p>
      <w:pPr>
        <w:pStyle w:val="Bibliography"/>
      </w:pPr>
      <w:r>
        <w:t xml:space="preserve">Pess, G. R., D. R. Montgomery, E. A. Steel, R. E. Bilby, B. E. Feist, and H. M. Greenberg. 2002. Landscape characteristics, land use, and coho salmon (</w:t>
      </w:r>
      <w:r>
        <w:rPr>
          <w:i/>
        </w:rPr>
        <w:t xml:space="preserve">Oncorhynchus kisutch</w:t>
      </w:r>
      <w:r>
        <w:t xml:space="preserve">) abundance, Snohomish River, Washington, USA. Canadian Journal of Fisheries and Aquatic Sciences 59:613–623.</w:t>
      </w:r>
    </w:p>
    <w:bookmarkEnd w:id="89"/>
    <w:bookmarkStart w:id="90"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90"/>
    <w:bookmarkStart w:id="91" w:name="ref-Prasad2006"/>
    <w:p>
      <w:pPr>
        <w:pStyle w:val="Bibliography"/>
      </w:pPr>
      <w:r>
        <w:t xml:space="preserve">Prasad, A., L. Iverson, and A. Liaw. 2006. Newer classification and regression tree techniques: Bagging and random forests for ecological prediction. Ecosystems 9:181–199.</w:t>
      </w:r>
    </w:p>
    <w:bookmarkEnd w:id="91"/>
    <w:bookmarkStart w:id="92" w:name="ref-Raleigh1986"/>
    <w:p>
      <w:pPr>
        <w:pStyle w:val="Bibliography"/>
      </w:pPr>
      <w:r>
        <w:t xml:space="preserve">Raleigh, R. F., W. J. Miller, and P. C. Nelson. 1986. Habitat suitability index models and instream flow suitability curves: Chinook salmon. Biological Report, US Department of the Interior, Fish; Wildlife Service; National Ecology Center, Fort Collins, Colorado, USA.</w:t>
      </w:r>
    </w:p>
    <w:bookmarkEnd w:id="92"/>
    <w:bookmarkStart w:id="93" w:name="ref-Rsoftware2019"/>
    <w:p>
      <w:pPr>
        <w:pStyle w:val="Bibliography"/>
      </w:pPr>
      <w:r>
        <w:t xml:space="preserve">R Core Team. 2019. R: A language and environment for statistical computing. R Foundation for Statistical Computing, Vienna, Austria.</w:t>
      </w:r>
    </w:p>
    <w:bookmarkEnd w:id="93"/>
    <w:bookmarkStart w:id="94" w:name="ref-R-Rcapture"/>
    <w:p>
      <w:pPr>
        <w:pStyle w:val="Bibliography"/>
      </w:pPr>
      <w:r>
        <w:t xml:space="preserve">Rivest, L.-P., and S. Baillargeon. 2019. Rcapture: Loglinear models for capture-recapture experiments.</w:t>
      </w:r>
    </w:p>
    <w:bookmarkEnd w:id="94"/>
    <w:bookmarkStart w:id="95" w:name="ref-Robson1964"/>
    <w:p>
      <w:pPr>
        <w:pStyle w:val="Bibliography"/>
      </w:pPr>
      <w:r>
        <w:t xml:space="preserve">Robson, D., and H. Regier. 1964. Sample size in Petersen mark–recapture experiments. Transactions of the American Fisheries Society 93:215–226.</w:t>
      </w:r>
    </w:p>
    <w:bookmarkEnd w:id="95"/>
    <w:bookmarkStart w:id="96" w:name="ref-Seber2002"/>
    <w:p>
      <w:pPr>
        <w:pStyle w:val="Bibliography"/>
      </w:pPr>
      <w:r>
        <w:t xml:space="preserve">Seber, G. A. F. 2002. The estimation of animal abundance and related parameters. Blackburn Press Caldwell, New Jersey, USA.</w:t>
      </w:r>
    </w:p>
    <w:bookmarkEnd w:id="96"/>
    <w:bookmarkStart w:id="97" w:name="ref-Sharma2001"/>
    <w:p>
      <w:pPr>
        <w:pStyle w:val="Bibliography"/>
      </w:pPr>
      <w:r>
        <w:t xml:space="preserve">Sharma, R., and R. Hilborn. 2001. Empirical relationships between watershed characteristics and coho salmon (</w:t>
      </w:r>
      <w:r>
        <w:rPr>
          <w:i/>
        </w:rPr>
        <w:t xml:space="preserve">Oncorhynchus kisutch</w:t>
      </w:r>
      <w:r>
        <w:t xml:space="preserve">) smolt abundance in 14 western Washington streams. Canadian Journal of Fisheries and Aquatic Sciences 58:1453–1463.</w:t>
      </w:r>
    </w:p>
    <w:bookmarkEnd w:id="97"/>
    <w:bookmarkStart w:id="98" w:name="ref-R-missForest"/>
    <w:p>
      <w:pPr>
        <w:pStyle w:val="Bibliography"/>
      </w:pPr>
      <w:r>
        <w:t xml:space="preserve">Stekhoven, D. J. 2013. missForest: Nonparametric missing value imputation using random forest.</w:t>
      </w:r>
    </w:p>
    <w:bookmarkEnd w:id="98"/>
    <w:bookmarkStart w:id="99" w:name="ref-Stekhoven2012"/>
    <w:p>
      <w:pPr>
        <w:pStyle w:val="Bibliography"/>
      </w:pPr>
      <w:r>
        <w:t xml:space="preserve">Stekhoven, D. J., and P. Bühlmann. 2012. MissForest—non-parametric missing value imputation for mixed-type data. Bioinformatics 28:112–118.</w:t>
      </w:r>
    </w:p>
    <w:bookmarkEnd w:id="99"/>
    <w:bookmarkStart w:id="100" w:name="ref-Stevens1999"/>
    <w:p>
      <w:pPr>
        <w:pStyle w:val="Bibliography"/>
      </w:pPr>
      <w:r>
        <w:t xml:space="preserve">Stevens Jr, D. L., and A. R. Olsen. 1999. Spatially restricted surveys over time for aquatic resources. Journal of Agricultural, Biological, and Environmental Statistics 4:415–428.</w:t>
      </w:r>
    </w:p>
    <w:bookmarkEnd w:id="100"/>
    <w:bookmarkStart w:id="101" w:name="ref-Stevens2004"/>
    <w:p>
      <w:pPr>
        <w:pStyle w:val="Bibliography"/>
      </w:pPr>
      <w:r>
        <w:t xml:space="preserve">Stevens Jr, D. L., and A. R. Olsen. 2004. Spatially balanced sampling of natural resources. Journal of the American Statistical Association 99:262–278.</w:t>
      </w:r>
    </w:p>
    <w:bookmarkEnd w:id="101"/>
    <w:bookmarkStart w:id="102" w:name="ref-Sweka2010"/>
    <w:p>
      <w:pPr>
        <w:pStyle w:val="Bibliography"/>
      </w:pPr>
      <w:r>
        <w:t xml:space="preserve">Sweka, J. A., and G. Mackey. 2010. A functional relationship between watershed size and Atlantic salmon parr density. Journal of Fish and Wildlife Management 1:3–10.</w:t>
      </w:r>
    </w:p>
    <w:bookmarkEnd w:id="102"/>
    <w:bookmarkStart w:id="103"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3"/>
    <w:bookmarkStart w:id="104"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4"/>
    <w:bookmarkStart w:id="105"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Annual Combined Technical Report, Bonneville Power Administration, Portland, Oregon, USA.</w:t>
      </w:r>
    </w:p>
    <w:bookmarkEnd w:id="105"/>
    <w:bookmarkStart w:id="106"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6"/>
    <w:bookmarkStart w:id="107" w:name="ref-Weinstein2018"/>
    <w:p>
      <w:pPr>
        <w:pStyle w:val="Bibliography"/>
      </w:pPr>
      <w:r>
        <w:t xml:space="preserve">Weinstein, B. G. 2018. A computer vision for animal ecology. Journal of Animal Ecology 87:533–545.</w:t>
      </w:r>
    </w:p>
    <w:bookmarkEnd w:id="107"/>
    <w:bookmarkStart w:id="108"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8"/>
    <w:bookmarkStart w:id="109"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9"/>
    <w:bookmarkEnd w:id="110"/>
    <w:p>
      <w:r>
        <w:br w:type="page"/>
      </w:r>
    </w:p>
    <w:p>
      <w:pPr>
        <w:pStyle w:val="Heading1"/>
      </w:pPr>
      <w:bookmarkStart w:id="111" w:name="tables"/>
      <w:r>
        <w:t xml:space="preserve">Tables</w:t>
      </w:r>
      <w:bookmarkEnd w:id="111"/>
    </w:p>
    <w:bookmarkStart w:id="112" w:name="tables"/>
    <w:bookmarkEnd w:id="112"/>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 River</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r>
        <w:br w:type="page"/>
      </w:r>
    </w:p>
    <w:p>
      <w:pPr>
        <w:pStyle w:val="Heading1"/>
      </w:pPr>
      <w:bookmarkStart w:id="113" w:name="figures"/>
      <w:r>
        <w:t xml:space="preserve">Figures</w:t>
      </w:r>
      <w:bookmarkEnd w:id="113"/>
    </w:p>
    <w:bookmarkStart w:id="114" w:name="figures"/>
    <w:bookmarkEnd w:id="114"/>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Salmon." title="" id="1" name="Picture"/>
            <a:graphic>
              <a:graphicData uri="http://schemas.openxmlformats.org/drawingml/2006/picture">
                <pic:pic>
                  <pic:nvPicPr>
                    <pic:cNvPr descr="../figures/ChampWtds.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 Salmon.</w:t>
      </w:r>
    </w:p>
    <w:p>
      <w:r>
        <w:br w:type="page"/>
      </w:r>
    </w:p>
    <w:p>
      <w:pPr>
        <w:pStyle w:val="CaptionedFigure"/>
      </w:pPr>
      <w:r>
        <w:drawing>
          <wp:inline>
            <wp:extent cx="5943600" cy="5565861"/>
            <wp:effectExtent b="0" l="0" r="0" t="0"/>
            <wp:docPr descr="Figure 2: Conceptual diagram showing input data sources, modeling decisions, model outputs etc. for the QRF and extrapolation models." title="" id="1" name="Picture"/>
            <a:graphic>
              <a:graphicData uri="http://schemas.openxmlformats.org/drawingml/2006/picture">
                <pic:pic>
                  <pic:nvPicPr>
                    <pic:cNvPr descr="../figures/QRF_flowchart.png" id="0" name="Picture"/>
                    <pic:cNvPicPr>
                      <a:picLocks noChangeArrowheads="1" noChangeAspect="1"/>
                    </pic:cNvPicPr>
                  </pic:nvPicPr>
                  <pic:blipFill>
                    <a:blip r:embed="rId116"/>
                    <a:stretch>
                      <a:fillRect/>
                    </a:stretch>
                  </pic:blipFill>
                  <pic:spPr bwMode="auto">
                    <a:xfrm>
                      <a:off x="0" y="0"/>
                      <a:ext cx="5943600" cy="5565861"/>
                    </a:xfrm>
                    <a:prstGeom prst="rect">
                      <a:avLst/>
                    </a:prstGeom>
                    <a:noFill/>
                    <a:ln w="9525">
                      <a:noFill/>
                      <a:headEnd/>
                      <a:tailEnd/>
                    </a:ln>
                  </pic:spPr>
                </pic:pic>
              </a:graphicData>
            </a:graphic>
          </wp:inline>
        </w:drawing>
      </w:r>
    </w:p>
    <w:p>
      <w:pPr>
        <w:pStyle w:val="ImageCaption"/>
      </w:pPr>
      <w:r>
        <w:t xml:space="preserve">Figure 2: Conceptual diagram showing input data sources, modeling decisions, model outputs etc. for the QRF and extrapolation models.</w:t>
      </w:r>
    </w:p>
    <w:p>
      <w:r>
        <w:br w:type="page"/>
      </w:r>
    </w:p>
    <w:p>
      <w:pPr>
        <w:pStyle w:val="CaptionedFigure"/>
      </w:pPr>
      <w:r>
        <w:drawing>
          <wp:inline>
            <wp:extent cx="5486400" cy="4572000"/>
            <wp:effectExtent b="0" l="0" r="0" t="0"/>
            <wp:docPr descr="Figure 3: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df" id="0" name="Picture"/>
                    <pic:cNvPicPr>
                      <a:picLocks noChangeArrowheads="1" noChangeAspect="1"/>
                    </pic:cNvPicPr>
                  </pic:nvPicPr>
                  <pic:blipFill>
                    <a:blip r:embed="rId117"/>
                    <a:stretch>
                      <a:fillRect/>
                    </a:stretch>
                  </pic:blipFill>
                  <pic:spPr bwMode="auto">
                    <a:xfrm>
                      <a:off x="0" y="0"/>
                      <a:ext cx="5486400" cy="4572000"/>
                    </a:xfrm>
                    <a:prstGeom prst="rect">
                      <a:avLst/>
                    </a:prstGeom>
                    <a:noFill/>
                    <a:ln w="9525">
                      <a:noFill/>
                      <a:headEnd/>
                      <a:tailEnd/>
                    </a:ln>
                  </pic:spPr>
                </pic:pic>
              </a:graphicData>
            </a:graphic>
          </wp:inline>
        </w:drawing>
      </w:r>
    </w:p>
    <w:p>
      <w:pPr>
        <w:pStyle w:val="ImageCaption"/>
      </w:pPr>
      <w:r>
        <w:t xml:space="preserve">Figure 3: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486400" cy="5486400"/>
            <wp:effectExtent b="0" l="0" r="0" t="0"/>
            <wp:docPr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df" id="0" name="Picture"/>
                    <pic:cNvPicPr>
                      <a:picLocks noChangeArrowheads="1" noChangeAspect="1"/>
                    </pic:cNvPicPr>
                  </pic:nvPicPr>
                  <pic:blipFill>
                    <a:blip r:embed="rId118"/>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486400" cy="5486400"/>
            <wp:effectExtent b="0" l="0" r="0" t="0"/>
            <wp:docPr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df" id="0" name="Picture"/>
                    <pic:cNvPicPr>
                      <a:picLocks noChangeArrowheads="1" noChangeAspect="1"/>
                    </pic:cNvPicPr>
                  </pic:nvPicPr>
                  <pic:blipFill>
                    <a:blip r:embed="rId11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EndPr>
      <w:rPr>
        <w:rStyle w:val="PageNumber"/>
      </w:rPr>
    </w:sdtEnd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EndPr>
      <w:rPr>
        <w:rStyle w:val="PageNumber"/>
      </w:rPr>
    </w:sdtEnd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20D8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5D0C15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2D444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F8A93A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76C0E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FAECE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258DA3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C0C62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C4F68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2C07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E20B8"/>
    <w:pPr>
      <w:keepNext/>
      <w:keepLines/>
      <w:spacing w:before="200" w:after="0"/>
      <w:outlineLvl w:val="1"/>
    </w:pPr>
    <w:rPr>
      <w:rFonts w:eastAsiaTheme="majorEastAsia" w:cstheme="majorBidi"/>
      <w:bCs/>
      <w:i/>
      <w:sz w:val="28"/>
      <w:szCs w:val="32"/>
    </w:rPr>
  </w:style>
  <w:style w:type="paragraph" w:styleId="Heading3">
    <w:name w:val="heading 3"/>
    <w:basedOn w:val="Normal"/>
    <w:next w:val="BodyText"/>
    <w:uiPriority w:val="9"/>
    <w:unhideWhenUsed/>
    <w:qFormat/>
    <w:rsid w:val="005E20B8"/>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 w:type="paragraph" w:styleId="BalloonText">
    <w:name w:val="Balloon Text"/>
    <w:basedOn w:val="Normal"/>
    <w:link w:val="BalloonTextChar"/>
    <w:semiHidden/>
    <w:unhideWhenUsed/>
    <w:rsid w:val="005E20B8"/>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5E20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df" /><Relationship Type="http://schemas.openxmlformats.org/officeDocument/2006/relationships/image" Id="rId117" Target="media/rId117.pdf" /><Relationship Type="http://schemas.openxmlformats.org/officeDocument/2006/relationships/image" Id="rId119" Target="media/rId119.pdf" /><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2020-12-04T17:55:12Z</dcterms:created>
  <dcterms:modified xsi:type="dcterms:W3CDTF">2020-12-04T17:55:12Z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(Oncorhynchus spp.).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model to provide estimates of habitat carrying capacity for Chinook salmon (O. tshawytscha) parr during the summer months, at both the site and watershed scale. Quantile random forest models allow for the consideration of noisy data, correlated variables, and non-linear relationships: common features in fish-habitat datasets. We leveraged Columbia Habitat Monitoring Program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quantile random forest models, like those presented here, provide managers a framework to guide the identification, prioritization, and development of habitat rehabilitation actions to recover salmon populations. Key words: carrying capacity; Chinook salmon; quantile random forest; quantile regression; random forests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December 04,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y fmtid="{D5CDD505-2E9C-101B-9397-08002B2CF9AE}" pid="10" name="subtitle">
    <vt:lpwstr>Freshwater Ecology</vt:lpwstr>
  </property>
</Properties>
</file>