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ng" ContentType="image/png"/>
  <Override PartName="/word/media/rId117.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September</w:t>
      </w:r>
      <w:r>
        <w:t xml:space="preserve"> </w:t>
      </w:r>
      <w:r>
        <w:t xml:space="preserve">22,</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2018,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2018,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we needed to do some spatial averaging of capacity predictions to generate larger scale capacity estimates.</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(https://github.com/KevinSee/QRFpaper)</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8"/>
    <w:p>
      <w:pPr>
        <w:pStyle w:val="Bibliography"/>
      </w:pPr>
      <w:r>
        <w:t xml:space="preserve">Bond, M. H., T. G. Nodine, T. J. Beechie, and R. W. Zabel. 2018. Estimating the benefits of widespread floodplain reconnection for columbia river chinook salmon. Canadian Journal of Fisheries and Aquatic Sciences:1–15.</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NOAA.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NOAA National Marine Fisheries Service.</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National Ecology Center.</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w:t>
      </w:r>
    </w:p>
    <w:bookmarkEnd w:id="96"/>
    <w:bookmarkStart w:id="97"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943600" cy="4953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7"/>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943600" cy="59436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github.com/KevinSee/QRFpaper"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2020-09-22T16:17:22Z</dcterms:created>
  <dcterms:modified xsi:type="dcterms:W3CDTF">2020-09-22T16:17:22Z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September 22,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