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and</w:t>
      </w:r>
      <w:r>
        <w:t xml:space="preserve"> </w:t>
      </w:r>
      <w:r>
        <w:t xml:space="preserve">Spawners</w:t>
      </w:r>
    </w:p>
    <w:p>
      <w:pPr>
        <w:pStyle w:val="Subtitle"/>
      </w:pPr>
      <w:r>
        <w:t xml:space="preserve">Spawn</w:t>
      </w:r>
      <w:r>
        <w:t xml:space="preserve"> </w:t>
      </w:r>
      <w:r>
        <w:t xml:space="preserve">Year</w:t>
      </w:r>
      <w:r>
        <w:t xml:space="preserve"> </w:t>
      </w:r>
      <w:r>
        <w:t xml:space="preserve">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April</w:t>
      </w:r>
      <w:r>
        <w:t xml:space="preserve"> </w:t>
      </w:r>
      <w:r>
        <w:t xml:space="preserve">18,</w:t>
      </w:r>
      <w:r>
        <w:t xml:space="preserve"> </w:t>
      </w:r>
      <w:r>
        <w:t xml:space="preserve">2023</w:t>
      </w:r>
    </w:p>
    <w:p>
      <w:pPr>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error.</w:t>
      </w:r>
      <w:r>
        <w:t xml:space="preserve"> </w:t>
      </w:r>
      <w:r>
        <w:t xml:space="preserve">It</w:t>
      </w:r>
      <w:r>
        <w:t xml:space="preserve"> </w:t>
      </w:r>
      <w:r>
        <w:t xml:space="preserve">also</w:t>
      </w:r>
      <w:r>
        <w:t xml:space="preserve"> </w:t>
      </w:r>
      <w:r>
        <w:t xml:space="preserve">includes</w:t>
      </w:r>
      <w:r>
        <w:t xml:space="preserve"> </w:t>
      </w:r>
      <w:r>
        <w:t xml:space="preserve">estimates</w:t>
      </w:r>
      <w:r>
        <w:t xml:space="preserve"> </w:t>
      </w:r>
      <w:r>
        <w:t xml:space="preserve">of</w:t>
      </w:r>
      <w:r>
        <w:t xml:space="preserve"> </w:t>
      </w:r>
      <w:r>
        <w:t xml:space="preserve">spawners,</w:t>
      </w:r>
      <w:r>
        <w:t xml:space="preserve"> </w:t>
      </w:r>
      <w:r>
        <w:t xml:space="preserve">as</w:t>
      </w:r>
      <w:r>
        <w:t xml:space="preserve"> </w:t>
      </w:r>
      <w:r>
        <w:t xml:space="preserve">well</w:t>
      </w:r>
      <w:r>
        <w:t xml:space="preserve"> </w:t>
      </w:r>
      <w:r>
        <w:t xml:space="preserve">as</w:t>
      </w:r>
      <w:r>
        <w:t xml:space="preserve"> </w:t>
      </w:r>
      <w:r>
        <w:t xml:space="preserve">prespawn</w:t>
      </w:r>
      <w:r>
        <w:t xml:space="preserve"> </w:t>
      </w:r>
      <w:r>
        <w:t xml:space="preserve">mortality.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Redd counts are an established method to provide an index of adult spawners</w:t>
      </w:r>
      <w:r>
        <w:t xml:space="preserve"> </w:t>
      </w:r>
      <w:r>
        <w:t xml:space="preserve">(Gallagher et al. 2007)</w:t>
      </w:r>
      <w:r>
        <w:t xml:space="preserve">. In the Wenatchee subbasin, index reaches are surveyed weekly during the steelhead spawning season (Mar 08, 2022 - Jun 01, 2022) and non-index reaches are surveyed once during the peak spawning period. The goal of this work is to:</w:t>
      </w:r>
    </w:p>
    <w:p>
      <w:pPr>
        <w:numPr>
          <w:ilvl w:val="0"/>
          <w:numId w:val="1001"/>
        </w:numPr>
        <w:pStyle w:val="Compact"/>
      </w:pPr>
      <w:r>
        <w:t xml:space="preserve">Predict observer net error, using the model described in</w:t>
      </w:r>
      <w:r>
        <w:t xml:space="preserve"> </w:t>
      </w:r>
      <w:r>
        <w:t xml:space="preserve">Murdoch et al. (2018)</w:t>
      </w:r>
      <w:r>
        <w:t xml:space="preserve">.</w:t>
      </w:r>
    </w:p>
    <w:p>
      <w:pPr>
        <w:numPr>
          <w:ilvl w:val="0"/>
          <w:numId w:val="1001"/>
        </w:numPr>
        <w:pStyle w:val="Compact"/>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 </w:t>
      </w:r>
      <w:r>
        <w:t xml:space="preserve">and</w:t>
      </w:r>
      <w:r>
        <w:t xml:space="preserve"> </w:t>
      </w:r>
      <w:r>
        <w:t xml:space="preserve">Murdoch et al. (2018)</w:t>
      </w:r>
      <w:r>
        <w:t xml:space="preserve">.</w:t>
      </w:r>
    </w:p>
    <w:p>
      <w:pPr>
        <w:numPr>
          <w:ilvl w:val="0"/>
          <w:numId w:val="1001"/>
        </w:numPr>
        <w:pStyle w:val="Compact"/>
      </w:pPr>
      <w:r>
        <w:t xml:space="preserve">Estimate the total number of redds in the non-index reaches by adjusting the observed counts with the estimated net error where possible.</w:t>
      </w:r>
    </w:p>
    <w:p>
      <w:pPr>
        <w:numPr>
          <w:ilvl w:val="0"/>
          <w:numId w:val="1001"/>
        </w:numPr>
        <w:pStyle w:val="Compact"/>
      </w:pPr>
      <w:r>
        <w:t xml:space="preserve">Sum the total number of estimated redds for the entire Wenatchee subbasin.</w:t>
      </w:r>
    </w:p>
    <w:p>
      <w:pPr>
        <w:numPr>
          <w:ilvl w:val="0"/>
          <w:numId w:val="1001"/>
        </w:numPr>
        <w:pStyle w:val="Compact"/>
      </w:pPr>
      <w:r>
        <w:t xml:space="preserve">Translate the estimated number of redds into estimates of spawners, by origin.</w:t>
      </w:r>
    </w:p>
    <w:bookmarkEnd w:id="21"/>
    <w:bookmarkStart w:id="28" w:name="methods"/>
    <w:p>
      <w:pPr>
        <w:pStyle w:val="Heading1"/>
      </w:pPr>
      <w:r>
        <w:rPr>
          <w:rStyle w:val="SectionNumber"/>
        </w:rPr>
        <w:t xml:space="preserve">2</w:t>
      </w:r>
      <w:r>
        <w:tab/>
      </w:r>
      <w:r>
        <w:t xml:space="preserve">Methods</w:t>
      </w:r>
    </w:p>
    <w:bookmarkStart w:id="22" w:name="net-error-model"/>
    <w:p>
      <w:pPr>
        <w:pStyle w:val="Heading2"/>
      </w:pPr>
      <w:r>
        <w:rPr>
          <w:rStyle w:val="SectionNumber"/>
        </w:rPr>
        <w:t xml:space="preserve">2.1</w:t>
      </w:r>
      <w:r>
        <w:tab/>
      </w:r>
      <w:r>
        <w:t xml:space="preserve">Net Error Model</w:t>
      </w:r>
    </w:p>
    <w:p>
      <w:pPr>
        <w:pStyle w:val="FirstParagraph"/>
      </w:pPr>
      <w:r>
        <w:t xml:space="preserve">The net error (</w:t>
      </w:r>
      <m:oMath>
        <m:r>
          <m:t>N</m:t>
        </m:r>
        <m:r>
          <m:t>E</m:t>
        </m:r>
      </m:oMath>
      <w:r>
        <w:t xml:space="preserve">) for a reach</w:t>
      </w:r>
      <w:r>
        <w:t xml:space="preserve"> </w:t>
      </w:r>
      <m:oMath>
        <m:r>
          <m:t>i</m:t>
        </m:r>
      </m:oMath>
      <w:r>
        <w:t xml:space="preserve"> </w:t>
      </w:r>
      <w:r>
        <w:t xml:space="preserve">is defined as</w:t>
      </w:r>
    </w:p>
    <w:p>
      <w:pPr>
        <w:pStyle w:val="BodyText"/>
      </w:pPr>
      <m:oMathPara>
        <m:oMathParaPr>
          <m:jc m:val="center"/>
        </m:oMathParaPr>
        <m:oMath>
          <m:r>
            <m:t>N</m:t>
          </m:r>
          <m:sSub>
            <m:e>
              <m:r>
                <m:t>E</m:t>
              </m:r>
            </m:e>
            <m:sub>
              <m:r>
                <m:t>i</m:t>
              </m:r>
            </m:sub>
          </m:sSub>
          <m:r>
            <m:rPr>
              <m:sty m:val="p"/>
            </m:rPr>
            <m:t>=</m:t>
          </m:r>
          <m:f>
            <m:fPr>
              <m:type m:val="bar"/>
            </m:fPr>
            <m:num>
              <m:sSub>
                <m:e>
                  <m:r>
                    <m:t>F</m:t>
                  </m:r>
                </m:e>
                <m:sub>
                  <m:r>
                    <m:t>i</m:t>
                  </m:r>
                </m:sub>
              </m:sSub>
              <m:r>
                <m:rPr>
                  <m:sty m:val="p"/>
                </m:rPr>
                <m:t>−</m:t>
              </m:r>
              <m:sSub>
                <m:e>
                  <m:r>
                    <m:t>V</m:t>
                  </m:r>
                </m:e>
                <m:sub>
                  <m:r>
                    <m:t>i</m:t>
                  </m:r>
                </m:sub>
              </m:sSub>
            </m:num>
            <m:den>
              <m:sSub>
                <m:e>
                  <m:r>
                    <m:t>V</m:t>
                  </m:r>
                </m:e>
                <m:sub>
                  <m:r>
                    <m:t>i</m:t>
                  </m:r>
                </m:sub>
              </m:sSub>
            </m:den>
          </m:f>
        </m:oMath>
      </m:oMathPara>
    </w:p>
    <w:p>
      <w:pPr>
        <w:pStyle w:val="FirstParagraph"/>
      </w:pPr>
      <w:r>
        <w:t xml:space="preserve">where</w:t>
      </w:r>
      <w:r>
        <w:t xml:space="preserve"> </w:t>
      </w:r>
      <m:oMath>
        <m:sSub>
          <m:e>
            <m:r>
              <m:t>F</m:t>
            </m:r>
          </m:e>
          <m:sub>
            <m:r>
              <m:t>i</m:t>
            </m:r>
          </m:sub>
        </m:sSub>
      </m:oMath>
      <w:r>
        <w:t xml:space="preserve"> </w:t>
      </w:r>
      <w:r>
        <w:t xml:space="preserve">is the number of redds the surveyor reported and</w:t>
      </w:r>
      <w:r>
        <w:t xml:space="preserve"> </w:t>
      </w:r>
      <m:oMath>
        <m:sSub>
          <m:e>
            <m:r>
              <m:t>V</m:t>
            </m:r>
          </m:e>
          <m:sub>
            <m:r>
              <m:t>i</m:t>
            </m:r>
          </m:sub>
        </m:sSub>
      </m:oMath>
      <w:r>
        <w:t xml:space="preserve"> </w:t>
      </w:r>
      <w:r>
        <w:t xml:space="preserve">is the true number of redds in the reach. Therefore, if we have an estimate of net error (</w:t>
      </w:r>
      <m:oMath>
        <m:acc>
          <m:accPr>
            <m:chr m:val="̂"/>
          </m:accPr>
          <m:e>
            <m:r>
              <m:t>N</m:t>
            </m:r>
            <m:sSub>
              <m:e>
                <m:r>
                  <m:t>E</m:t>
                </m:r>
              </m:e>
              <m:sub>
                <m:r>
                  <m:t>i</m:t>
                </m:r>
              </m:sub>
            </m:sSub>
          </m:e>
        </m:acc>
      </m:oMath>
      <w:r>
        <w:t xml:space="preserve">), we can calculate the true number of redds based on that estimate and the number of redds the surveyor reported,</w:t>
      </w:r>
      <w:r>
        <w:t xml:space="preserve"> </w:t>
      </w:r>
      <m:oMath>
        <m:sSub>
          <m:e>
            <m:r>
              <m:t>F</m:t>
            </m:r>
          </m:e>
          <m:sub>
            <m:r>
              <m:t>i</m:t>
            </m:r>
          </m:sub>
        </m:sSub>
      </m:oMath>
      <w:r>
        <w:t xml:space="preserve">:</w:t>
      </w:r>
    </w:p>
    <w:p>
      <w:pPr>
        <w:pStyle w:val="BodyText"/>
      </w:pPr>
      <m:oMathPara>
        <m:oMathParaPr>
          <m:jc m:val="center"/>
        </m:oMathParaPr>
        <m:oMath>
          <m:sSub>
            <m:e>
              <m:r>
                <m:t>V</m:t>
              </m:r>
            </m:e>
            <m:sub>
              <m:r>
                <m:t>i</m:t>
              </m:r>
            </m:sub>
          </m:sSub>
          <m:r>
            <m:rPr>
              <m:sty m:val="p"/>
            </m:rPr>
            <m:t>=</m:t>
          </m:r>
          <m:f>
            <m:fPr>
              <m:type m:val="bar"/>
            </m:fPr>
            <m:num>
              <m:sSub>
                <m:e>
                  <m:r>
                    <m:t>F</m:t>
                  </m:r>
                </m:e>
                <m:sub>
                  <m:r>
                    <m:t>i</m:t>
                  </m:r>
                </m:sub>
              </m:sSub>
            </m:num>
            <m:den>
              <m:acc>
                <m:accPr>
                  <m:chr m:val="̂"/>
                </m:accPr>
                <m:e>
                  <m:r>
                    <m:t>N</m:t>
                  </m:r>
                  <m:sSub>
                    <m:e>
                      <m:r>
                        <m:t>E</m:t>
                      </m:r>
                    </m:e>
                    <m:sub>
                      <m:r>
                        <m:t>i</m:t>
                      </m:r>
                    </m:sub>
                  </m:sSub>
                </m:e>
              </m:acc>
              <m:r>
                <m:rPr>
                  <m:sty m:val="p"/>
                </m:rPr>
                <m:t>+</m:t>
              </m:r>
              <m:r>
                <m:t>1</m:t>
              </m:r>
            </m:den>
          </m:f>
          <m:r>
            <m:t>  </m:t>
          </m:r>
          <m:d>
            <m:dPr>
              <m:begChr m:val="("/>
              <m:endChr m:val=")"/>
              <m:sepChr m:val=""/>
              <m:grow/>
            </m:dPr>
            <m:e>
              <m:r>
                <m:t>2.1</m:t>
              </m:r>
            </m:e>
          </m:d>
        </m:oMath>
      </m:oMathPara>
    </w:p>
    <w:p>
      <w:pPr>
        <w:pStyle w:val="FirstParagraph"/>
      </w:pPr>
      <w:r>
        <w:t xml:space="preserve">The model for observer net error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2.1</w:t>
      </w:r>
      <w:r>
        <w:t xml:space="preserve">. Positive coefficients indicate that higher values of that covariate lead to higher predicted values of net error, while negative coefficients cause higher values of that covariate to lead to lower predicted net errors.</w:t>
      </w:r>
    </w:p>
    <w:p>
      <w:pPr>
        <w:pStyle w:val="BodyText"/>
      </w:pPr>
      <w:r>
        <w:t xml:space="preserve">We have made one slight modification to the model since that publication. We have subtracted one from the net error, to center values of net error around zero instead of one, for ease of interpretability. The response, net error, is scaled such that estimates of net error less than zero suggest more errors of omission, while estimates greater than zero suggest more errors of commission. An estimate of net error equal to zero would indicate the observed count equals the true number of redds.</w:t>
      </w:r>
    </w:p>
    <w:p>
      <w:pPr>
        <w:pStyle w:val="TableCaption"/>
      </w:pPr>
      <w:r>
        <w:t xml:space="preserve">Table 2.1: Net error model covariates and coefficients.</w:t>
      </w:r>
    </w:p>
    <w:tbl>
      <w:tblPr>
        <w:tblStyle w:val="Table"/>
        <w:tblW w:type="auto" w:w="0"/>
        <w:tblLook w:firstRow="1" w:lastRow="0" w:firstColumn="0" w:lastColumn="0" w:noHBand="0" w:noVBand="0" w:val="0020"/>
        <w:tblCaption w:val="Table 2.1: Net erro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-0.318</w:t>
            </w:r>
          </w:p>
        </w:tc>
        <w:tc>
          <w:tcPr/>
          <w:p>
            <w:pPr>
              <w:pStyle w:val="Compact"/>
              <w:jc w:val="right"/>
            </w:pPr>
            <w:r>
              <w:t xml:space="preserve">0.043</w:t>
            </w:r>
          </w:p>
        </w:tc>
      </w:tr>
      <w:tr>
        <w:tc>
          <w:tcPr/>
          <w:p>
            <w:pPr>
              <w:pStyle w:val="Compact"/>
              <w:jc w:val="left"/>
            </w:pPr>
            <w:r>
              <w:t xml:space="preserve">Obs. Redd Density</w:t>
            </w:r>
          </w:p>
        </w:tc>
        <w:tc>
          <w:tcPr/>
          <w:p>
            <w:pPr>
              <w:pStyle w:val="Compact"/>
              <w:jc w:val="right"/>
            </w:pPr>
            <w:r>
              <w:t xml:space="preserve">0.268</w:t>
            </w:r>
          </w:p>
        </w:tc>
        <w:tc>
          <w:tcPr/>
          <w:p>
            <w:pPr>
              <w:pStyle w:val="Compact"/>
              <w:jc w:val="right"/>
            </w:pPr>
            <w:r>
              <w:t xml:space="preserve">0.063</w:t>
            </w:r>
          </w:p>
        </w:tc>
      </w:tr>
      <w:tr>
        <w:tc>
          <w:tcPr/>
          <w:p>
            <w:pPr>
              <w:pStyle w:val="Compact"/>
              <w:jc w:val="left"/>
            </w:pPr>
            <w:r>
              <w:t xml:space="preserve">Log Surveyor Exp.</w:t>
            </w:r>
          </w:p>
        </w:tc>
        <w:tc>
          <w:tcPr/>
          <w:p>
            <w:pPr>
              <w:pStyle w:val="Compact"/>
              <w:jc w:val="right"/>
            </w:pPr>
            <w:r>
              <w:t xml:space="preserve">0.123</w:t>
            </w:r>
          </w:p>
        </w:tc>
        <w:tc>
          <w:tcPr/>
          <w:p>
            <w:pPr>
              <w:pStyle w:val="Compact"/>
              <w:jc w:val="right"/>
            </w:pPr>
            <w:r>
              <w:t xml:space="preserve">0.047</w:t>
            </w:r>
          </w:p>
        </w:tc>
      </w:tr>
      <w:tr>
        <w:tc>
          <w:tcPr/>
          <w:p>
            <w:pPr>
              <w:pStyle w:val="Compact"/>
              <w:jc w:val="left"/>
            </w:pPr>
            <w:r>
              <w:t xml:space="preserve">Mean Thalweg CV</w:t>
            </w:r>
          </w:p>
        </w:tc>
        <w:tc>
          <w:tcPr/>
          <w:p>
            <w:pPr>
              <w:pStyle w:val="Compact"/>
              <w:jc w:val="right"/>
            </w:pPr>
            <w:r>
              <w:t xml:space="preserve">-0.116</w:t>
            </w:r>
          </w:p>
        </w:tc>
        <w:tc>
          <w:tcPr/>
          <w:p>
            <w:pPr>
              <w:pStyle w:val="Compact"/>
              <w:jc w:val="right"/>
            </w:pPr>
            <w:r>
              <w:t xml:space="preserve">0.051</w:t>
            </w:r>
          </w:p>
        </w:tc>
      </w:tr>
      <w:tr>
        <w:tc>
          <w:tcPr/>
          <w:p>
            <w:pPr>
              <w:pStyle w:val="Compact"/>
              <w:jc w:val="left"/>
            </w:pPr>
            <w:r>
              <w:t xml:space="preserve">Mean Discharge</w:t>
            </w:r>
          </w:p>
        </w:tc>
        <w:tc>
          <w:tcPr/>
          <w:p>
            <w:pPr>
              <w:pStyle w:val="Compact"/>
              <w:jc w:val="right"/>
            </w:pPr>
            <w:r>
              <w:t xml:space="preserve">0.109</w:t>
            </w:r>
          </w:p>
        </w:tc>
        <w:tc>
          <w:tcPr/>
          <w:p>
            <w:pPr>
              <w:pStyle w:val="Compact"/>
              <w:jc w:val="right"/>
            </w:pPr>
            <w:r>
              <w:t xml:space="preserve">0.053</w:t>
            </w:r>
          </w:p>
        </w:tc>
      </w:tr>
    </w:tbl>
    <w:bookmarkEnd w:id="22"/>
    <w:bookmarkStart w:id="24" w:name="data"/>
    <w:p>
      <w:pPr>
        <w:pStyle w:val="Heading2"/>
      </w:pPr>
      <w:r>
        <w:rPr>
          <w:rStyle w:val="SectionNumber"/>
        </w:rPr>
        <w:t xml:space="preserve">2.2</w:t>
      </w:r>
      <w:r>
        <w:tab/>
      </w:r>
      <w:r>
        <w:t xml:space="preserve">Data</w:t>
      </w:r>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w:t>
      </w:r>
      <w:r>
        <w:t xml:space="preserve"> </w:t>
      </w:r>
      <w:r>
        <w:t xml:space="preserve">2.1</w:t>
      </w:r>
      <w:r>
        <w:t xml:space="preserve">).</w:t>
      </w:r>
    </w:p>
    <w:p>
      <w:pPr>
        <w:pStyle w:val="CaptionedFigure"/>
      </w:pPr>
      <w:r>
        <w:drawing>
          <wp:inline>
            <wp:extent cx="5504749" cy="4587290"/>
            <wp:effectExtent b="0" l="0" r="0" t="0"/>
            <wp:docPr descr="Figure 2.1: Net error covariate values. Colors correspond to either the original study (Model Data) or the reaches where the model was used in this report (Predictive Data)."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3"/>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2.1: Net error covariate values. Colors correspond to either the original study (Model Data) or the reaches where the model was used in this report (Predictive Data).</w:t>
      </w:r>
    </w:p>
    <w:p>
      <w:pPr>
        <w:pStyle w:val="BodyText"/>
      </w:pPr>
      <w:r>
        <w:t xml:space="preserve">Those covariates in the observer error model were collected during each survey in 2022,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bookmarkEnd w:id="24"/>
    <w:bookmarkStart w:id="25" w:name="estimating-redds"/>
    <w:p>
      <w:pPr>
        <w:pStyle w:val="Heading2"/>
      </w:pPr>
      <w:r>
        <w:rPr>
          <w:rStyle w:val="SectionNumber"/>
        </w:rPr>
        <w:t xml:space="preserve">2.3</w:t>
      </w:r>
      <w:r>
        <w:tab/>
      </w:r>
      <w:r>
        <w:t xml:space="preserve">Estimating Redds</w:t>
      </w:r>
    </w:p>
    <w:p>
      <w:pPr>
        <w:pStyle w:val="FirstParagraph"/>
      </w:pPr>
      <w:r>
        <w:t xml:space="preserve">Use of the GAUC methodology was limited to index reaches with a minimum of two redds and at least three weeks with at least one new redd found. For those reaches, we used the method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pPr>
        <w:pStyle w:val="BodyText"/>
      </w:pPr>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1,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pPr>
        <w:pStyle w:val="BodyText"/>
      </w:pPr>
      <w:r>
        <w:t xml:space="preserve">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bookmarkEnd w:id="25"/>
    <w:bookmarkStart w:id="26" w:name="estimating-spawners"/>
    <w:p>
      <w:pPr>
        <w:pStyle w:val="Heading2"/>
      </w:pPr>
      <w:r>
        <w:rPr>
          <w:rStyle w:val="SectionNumber"/>
        </w:rPr>
        <w:t xml:space="preserve">2.4</w:t>
      </w:r>
      <w:r>
        <w:tab/>
      </w:r>
      <w:r>
        <w:t xml:space="preserve">Estimating Spawners</w:t>
      </w:r>
    </w:p>
    <w:p>
      <w:pPr>
        <w:pStyle w:val="FirstParagraph"/>
      </w:pPr>
      <w:r>
        <w:t xml:space="preserve">Estimates of escapement to various tributaries in the Wenatchee were made using a Dam Adult Branch Occupancy Model (DABOM)</w:t>
      </w:r>
      <w:r>
        <w:t xml:space="preserve"> </w:t>
      </w:r>
      <w:r>
        <w:t xml:space="preserve">(Waterhouse et al. 2020)</w:t>
      </w:r>
      <w:r>
        <w:t xml:space="preserve"> </w:t>
      </w:r>
      <w:r>
        <w:t xml:space="preserve">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pPr>
        <w:pStyle w:val="BodyText"/>
      </w:pPr>
      <w:r>
        <w:t xml:space="preserve">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Reaches W1 - W7 are below Tumwater, while reaches W8 - W10 are above Tumwater. Similarly, the proportion of hatchery and natural origin fish was calculated from the same group of PIT tags for areas above and below Tumwater. For reaches in tributaries below the tributary PIT tag array, FpR and proportion hatchery were calculated based on observed PIT tags moving into the lower regions of each tributary.</w:t>
      </w:r>
    </w:p>
    <w:p>
      <w:pPr>
        <w:pStyle w:val="BodyText"/>
      </w:pPr>
      <w:r>
        <w:t xml:space="preserve">In some years, we have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w:t>
      </w:r>
      <w:r>
        <w:t xml:space="preserve"> </w:t>
      </w:r>
      <w:r>
        <w:t xml:space="preserve">7.1</w:t>
      </w:r>
      <w:r>
        <w:t xml:space="preserve"> </w:t>
      </w:r>
      <w:r>
        <w:t xml:space="preserve">in Table</w:t>
      </w:r>
      <w:r>
        <w:t xml:space="preserve"> </w:t>
      </w:r>
      <w:r>
        <w:t xml:space="preserve">7.1</w:t>
      </w:r>
      <w:r>
        <w:t xml:space="preserve">.</w:t>
      </w:r>
    </w:p>
    <w:bookmarkEnd w:id="26"/>
    <w:bookmarkStart w:id="27" w:name="prespawn-mortality"/>
    <w:p>
      <w:pPr>
        <w:pStyle w:val="Heading2"/>
      </w:pPr>
      <w:r>
        <w:rPr>
          <w:rStyle w:val="SectionNumber"/>
        </w:rPr>
        <w:t xml:space="preserve">2.5</w:t>
      </w:r>
      <w:r>
        <w:tab/>
      </w:r>
      <w:r>
        <w:t xml:space="preserve">Prespawn Mortality</w:t>
      </w:r>
    </w:p>
    <w:p>
      <w:pPr>
        <w:pStyle w:val="FirstParagraph"/>
      </w:pPr>
      <w:r>
        <w:t xml:space="preserve">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w:t>
      </w:r>
      <w:r>
        <w:t xml:space="preserve"> </w:t>
      </w:r>
      <w:r>
        <w:t xml:space="preserve">2.2</w:t>
      </w:r>
      <w:r>
        <w:t xml:space="preserve">),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Wenatchee population.</w:t>
      </w:r>
    </w:p>
    <w:p>
      <w:pPr>
        <w:pStyle w:val="TableCaption"/>
      </w:pPr>
      <w:r>
        <w:t xml:space="preserve">Table 2.2: Known number of fish removed at dams or due to harvest, by origin.</w:t>
      </w:r>
    </w:p>
    <w:tbl>
      <w:tblPr>
        <w:tblStyle w:val="Table"/>
        <w:tblW w:type="auto" w:w="0"/>
        <w:tblLook w:firstRow="1" w:lastRow="0" w:firstColumn="0" w:lastColumn="0" w:noHBand="0" w:noVBand="0" w:val="0020"/>
        <w:tblCaption w:val="Table 2.2: Known number of fish removed at dams or due to harvest, by origin."/>
      </w:tblPr>
      <w:tblGrid>
        <w:gridCol w:w="1320"/>
        <w:gridCol w:w="1320"/>
        <w:gridCol w:w="1320"/>
        <w:gridCol w:w="1320"/>
        <w:gridCol w:w="1320"/>
        <w:gridCol w:w="1320"/>
      </w:tblGrid>
      <w:tr>
        <w:trPr>
          <w:tblHeader w:val="true"/>
        </w:trPr>
        <w:tc>
          <w:tcPr/>
          <w:p>
            <w:pPr>
              <w:pStyle w:val="Compact"/>
              <w:jc w:val="right"/>
            </w:pPr>
            <w:r>
              <w:t xml:space="preserve">Spawn Year</w:t>
            </w:r>
          </w:p>
        </w:tc>
        <w:tc>
          <w:tcPr/>
          <w:p>
            <w:pPr>
              <w:pStyle w:val="Compact"/>
              <w:jc w:val="left"/>
            </w:pPr>
            <w:r>
              <w:t xml:space="preserve">Removal Location</w:t>
            </w:r>
          </w:p>
        </w:tc>
        <w:tc>
          <w:tcPr/>
          <w:p>
            <w:pPr>
              <w:pStyle w:val="Compact"/>
              <w:jc w:val="left"/>
            </w:pPr>
            <w:r>
              <w:t xml:space="preserve">Agency</w:t>
            </w:r>
          </w:p>
        </w:tc>
        <w:tc>
          <w:tcPr/>
          <w:p>
            <w:pPr>
              <w:pStyle w:val="Compact"/>
              <w:jc w:val="left"/>
            </w:pPr>
            <w:r>
              <w:t xml:space="preserve">Source</w:t>
            </w:r>
          </w:p>
        </w:tc>
        <w:tc>
          <w:tcPr/>
          <w:p>
            <w:pPr>
              <w:pStyle w:val="Compact"/>
              <w:jc w:val="right"/>
            </w:pPr>
            <w:r>
              <w:t xml:space="preserve">Hatchery</w:t>
            </w:r>
          </w:p>
        </w:tc>
        <w:tc>
          <w:tcPr/>
          <w:p>
            <w:pPr>
              <w:pStyle w:val="Compact"/>
              <w:jc w:val="right"/>
            </w:pPr>
            <w:r>
              <w:t xml:space="preserve">Natural</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Adult Trapping Surplus</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Brood Collections</w:t>
            </w:r>
          </w:p>
        </w:tc>
        <w:tc>
          <w:tcPr/>
          <w:p>
            <w:pPr>
              <w:pStyle w:val="Compact"/>
              <w:jc w:val="right"/>
            </w:pPr>
            <w:r>
              <w:t xml:space="preserve">48</w:t>
            </w:r>
          </w:p>
        </w:tc>
        <w:tc>
          <w:tcPr/>
          <w:p>
            <w:pPr>
              <w:pStyle w:val="Compact"/>
              <w:jc w:val="right"/>
            </w:pPr>
            <w:r>
              <w:t xml:space="preserve">51</w:t>
            </w:r>
          </w:p>
        </w:tc>
      </w:tr>
      <w:tr>
        <w:tc>
          <w:tcPr/>
          <w:p>
            <w:pPr>
              <w:pStyle w:val="Compact"/>
              <w:jc w:val="right"/>
            </w:pPr>
            <w:r>
              <w:t xml:space="preserve">2022</w:t>
            </w:r>
          </w:p>
        </w:tc>
        <w:tc>
          <w:tcPr/>
          <w:p>
            <w:pPr>
              <w:pStyle w:val="Compact"/>
              <w:jc w:val="left"/>
            </w:pPr>
            <w:r>
              <w:t xml:space="preserve">Dryden &amp; Tumwater Dams</w:t>
            </w:r>
          </w:p>
        </w:tc>
        <w:tc>
          <w:tcPr/>
          <w:p>
            <w:pPr>
              <w:pStyle w:val="Compact"/>
              <w:jc w:val="left"/>
            </w:pPr>
            <w:r>
              <w:t xml:space="preserve">WDFW-Wenatchee Research Office</w:t>
            </w:r>
          </w:p>
        </w:tc>
        <w:tc>
          <w:tcPr/>
          <w:p>
            <w:pPr>
              <w:pStyle w:val="Compact"/>
              <w:jc w:val="left"/>
            </w:pPr>
            <w:r>
              <w:t xml:space="preserve">Harvest</w:t>
            </w:r>
          </w:p>
        </w:tc>
        <w:tc>
          <w:tcPr/>
          <w:p>
            <w:pPr>
              <w:pStyle w:val="Compact"/>
              <w:jc w:val="right"/>
            </w:pPr>
            <w:r>
              <w:t xml:space="preserve">0</w:t>
            </w:r>
          </w:p>
        </w:tc>
        <w:tc>
          <w:tcPr/>
          <w:p>
            <w:pPr>
              <w:pStyle w:val="Compact"/>
              <w:jc w:val="right"/>
            </w:pPr>
            <w:r>
              <w:t xml:space="preserve">0</w:t>
            </w:r>
          </w:p>
        </w:tc>
      </w:tr>
    </w:tbl>
    <w:p>
      <w:pPr>
        <w:pStyle w:val="BodyText"/>
      </w:pPr>
      <w:r>
        <w:t xml:space="preserve">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r>
        <w:br w:type="page"/>
      </w:r>
    </w:p>
    <w:bookmarkEnd w:id="27"/>
    <w:bookmarkEnd w:id="28"/>
    <w:bookmarkStart w:id="33" w:name="results"/>
    <w:p>
      <w:pPr>
        <w:pStyle w:val="Heading1"/>
      </w:pPr>
      <w:r>
        <w:rPr>
          <w:rStyle w:val="SectionNumber"/>
        </w:rPr>
        <w:t xml:space="preserve">3</w:t>
      </w:r>
      <w:r>
        <w:tab/>
      </w:r>
      <w:r>
        <w:t xml:space="preserve">Results</w:t>
      </w:r>
    </w:p>
    <w:bookmarkStart w:id="30" w:name="redd-estimates"/>
    <w:p>
      <w:pPr>
        <w:pStyle w:val="Heading2"/>
      </w:pPr>
      <w:r>
        <w:rPr>
          <w:rStyle w:val="SectionNumber"/>
        </w:rPr>
        <w:t xml:space="preserve">3.1</w:t>
      </w:r>
      <w:r>
        <w:tab/>
      </w:r>
      <w:r>
        <w:t xml:space="preserve">Redd estimates</w:t>
      </w:r>
    </w:p>
    <w:p>
      <w:pPr>
        <w:pStyle w:val="FirstParagraph"/>
      </w:pPr>
      <w:r>
        <w:t xml:space="preserve">The estimated net error, observed redds and estimates of redds at the reach scale are shown in Table</w:t>
      </w:r>
      <w:r>
        <w:t xml:space="preserve"> </w:t>
      </w:r>
      <w:r>
        <w:t xml:space="preserve">3.1</w:t>
      </w:r>
      <w:r>
        <w:t xml:space="preserve">. Plots of the new redds and the GAUC fit to those data are shown in Figure</w:t>
      </w:r>
      <w:r>
        <w:t xml:space="preserve"> </w:t>
      </w:r>
      <w:r>
        <w:t xml:space="preserve">3.1</w:t>
      </w:r>
      <w:r>
        <w:t xml:space="preserve">. The results are summarized by major areas and population scale in Table</w:t>
      </w:r>
      <w:r>
        <w:t xml:space="preserve"> </w:t>
      </w:r>
      <w:r>
        <w:t xml:space="preserve">3.2</w:t>
      </w:r>
      <w:r>
        <w:t xml:space="preserve">.</w:t>
      </w:r>
    </w:p>
    <w:p>
      <w:pPr>
        <w:pStyle w:val="TableCaption"/>
      </w:pPr>
      <w:r>
        <w:t xml:space="preserve">Table 3.1: Estimates of mean net error and redds for each reach.</w:t>
      </w:r>
    </w:p>
    <w:tbl>
      <w:tblPr>
        <w:tblStyle w:val="Table"/>
        <w:tblW w:type="auto" w:w="0"/>
        <w:tblLook w:firstRow="1" w:lastRow="0" w:firstColumn="0" w:lastColumn="0" w:noHBand="0" w:noVBand="0" w:val="0020"/>
        <w:tblCaption w:val="Table 3.1: Estimates of mean net error and redds for each reach."/>
      </w:tblPr>
      <w:tblGrid>
        <w:gridCol w:w="880"/>
        <w:gridCol w:w="880"/>
        <w:gridCol w:w="880"/>
        <w:gridCol w:w="880"/>
        <w:gridCol w:w="880"/>
        <w:gridCol w:w="880"/>
        <w:gridCol w:w="880"/>
        <w:gridCol w:w="880"/>
        <w:gridCol w:w="88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Type</w:t>
            </w:r>
          </w:p>
        </w:tc>
        <w:tc>
          <w:tcPr/>
          <w:p>
            <w:pPr>
              <w:pStyle w:val="Compact"/>
              <w:jc w:val="right"/>
            </w:pPr>
            <w:r>
              <w:t xml:space="preserve">Net Error</w:t>
            </w:r>
          </w:p>
        </w:tc>
        <w:tc>
          <w:tcPr/>
          <w:p>
            <w:pPr>
              <w:pStyle w:val="Compact"/>
              <w:jc w:val="right"/>
            </w:pPr>
            <w:r>
              <w:t xml:space="preserve">Net Error SE</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-0.085</w:t>
            </w:r>
          </w:p>
        </w:tc>
        <w:tc>
          <w:tcPr/>
          <w:p>
            <w:pPr>
              <w:pStyle w:val="Compact"/>
              <w:jc w:val="right"/>
            </w:pPr>
            <w:r>
              <w:t xml:space="preserve">0.175</w:t>
            </w:r>
          </w:p>
        </w:tc>
        <w:tc>
          <w:tcPr/>
          <w:p>
            <w:pPr>
              <w:pStyle w:val="Compact"/>
              <w:jc w:val="center"/>
            </w:pPr>
            <w:r>
              <w:t xml:space="preserve">4</w:t>
            </w:r>
          </w:p>
        </w:tc>
        <w:tc>
          <w:tcPr/>
          <w:p>
            <w:pPr>
              <w:pStyle w:val="Compact"/>
              <w:jc w:val="right"/>
            </w:pPr>
            <w:r>
              <w:t xml:space="preserve">4</w:t>
            </w:r>
          </w:p>
        </w:tc>
        <w:tc>
          <w:tcPr/>
          <w:p>
            <w:pPr>
              <w:pStyle w:val="Compact"/>
              <w:jc w:val="right"/>
            </w:pPr>
            <w:r>
              <w:t xml:space="preserve">2.1</w:t>
            </w:r>
          </w:p>
        </w:tc>
        <w:tc>
          <w:tcPr/>
          <w:p>
            <w:pPr>
              <w:pStyle w:val="Compact"/>
              <w:jc w:val="right"/>
            </w:pPr>
            <w:r>
              <w:t xml:space="preserve">0.514</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-0.52</w:t>
            </w:r>
          </w:p>
        </w:tc>
        <w:tc>
          <w:tcPr/>
          <w:p>
            <w:pPr>
              <w:pStyle w:val="Compact"/>
              <w:jc w:val="right"/>
            </w:pPr>
            <w:r>
              <w:t xml:space="preserve">0.139</w:t>
            </w:r>
          </w:p>
        </w:tc>
        <w:tc>
          <w:tcPr/>
          <w:p>
            <w:pPr>
              <w:pStyle w:val="Compact"/>
              <w:jc w:val="center"/>
            </w:pPr>
            <w:r>
              <w:t xml:space="preserve">2</w:t>
            </w:r>
          </w:p>
        </w:tc>
        <w:tc>
          <w:tcPr/>
          <w:p>
            <w:pPr>
              <w:pStyle w:val="Compact"/>
              <w:jc w:val="right"/>
            </w:pPr>
            <w:r>
              <w:t xml:space="preserve">4</w:t>
            </w:r>
          </w:p>
        </w:tc>
        <w:tc>
          <w:tcPr/>
          <w:p>
            <w:pPr>
              <w:pStyle w:val="Compact"/>
              <w:jc w:val="right"/>
            </w:pPr>
            <w:r>
              <w:t xml:space="preserve">1.2</w:t>
            </w:r>
          </w:p>
        </w:tc>
        <w:tc>
          <w:tcPr/>
          <w:p>
            <w:pPr>
              <w:pStyle w:val="Compact"/>
              <w:jc w:val="right"/>
            </w:pPr>
            <w:r>
              <w:t xml:space="preserve">0.303</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-0.184</w:t>
            </w:r>
          </w:p>
        </w:tc>
        <w:tc>
          <w:tcPr/>
          <w:p>
            <w:pPr>
              <w:pStyle w:val="Compact"/>
              <w:jc w:val="right"/>
            </w:pPr>
            <w:r>
              <w:t xml:space="preserve">0.148</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-0.428</w:t>
            </w:r>
          </w:p>
        </w:tc>
        <w:tc>
          <w:tcPr/>
          <w:p>
            <w:pPr>
              <w:pStyle w:val="Compact"/>
              <w:jc w:val="right"/>
            </w:pPr>
            <w:r>
              <w:t xml:space="preserve">0.145</w:t>
            </w:r>
          </w:p>
        </w:tc>
        <w:tc>
          <w:tcPr/>
          <w:p>
            <w:pPr>
              <w:pStyle w:val="Compact"/>
              <w:jc w:val="center"/>
            </w:pPr>
            <w:r>
              <w:t xml:space="preserve">4</w:t>
            </w:r>
          </w:p>
        </w:tc>
        <w:tc>
          <w:tcPr/>
          <w:p>
            <w:pPr>
              <w:pStyle w:val="Compact"/>
              <w:jc w:val="right"/>
            </w:pPr>
            <w:r>
              <w:t xml:space="preserve">7</w:t>
            </w:r>
          </w:p>
        </w:tc>
        <w:tc>
          <w:tcPr/>
          <w:p>
            <w:pPr>
              <w:pStyle w:val="Compact"/>
              <w:jc w:val="right"/>
            </w:pPr>
            <w:r>
              <w:t xml:space="preserve">1.9</w:t>
            </w:r>
          </w:p>
        </w:tc>
        <w:tc>
          <w:tcPr/>
          <w:p>
            <w:pPr>
              <w:pStyle w:val="Compact"/>
              <w:jc w:val="right"/>
            </w:pPr>
            <w:r>
              <w:t xml:space="preserve">0.265</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0.003</w:t>
            </w:r>
          </w:p>
        </w:tc>
        <w:tc>
          <w:tcPr/>
          <w:p>
            <w:pPr>
              <w:pStyle w:val="Compact"/>
              <w:jc w:val="right"/>
            </w:pPr>
            <w:r>
              <w:t xml:space="preserve">0.115</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0.114</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-0.42</w:t>
            </w:r>
          </w:p>
        </w:tc>
        <w:tc>
          <w:tcPr/>
          <w:p>
            <w:pPr>
              <w:pStyle w:val="Compact"/>
              <w:jc w:val="right"/>
            </w:pPr>
            <w:r>
              <w:t xml:space="preserve">0.088</w:t>
            </w:r>
          </w:p>
        </w:tc>
        <w:tc>
          <w:tcPr/>
          <w:p>
            <w:pPr>
              <w:pStyle w:val="Compact"/>
              <w:jc w:val="center"/>
            </w:pPr>
            <w:r>
              <w:t xml:space="preserve">4</w:t>
            </w:r>
          </w:p>
        </w:tc>
        <w:tc>
          <w:tcPr/>
          <w:p>
            <w:pPr>
              <w:pStyle w:val="Compact"/>
              <w:jc w:val="right"/>
            </w:pPr>
            <w:r>
              <w:t xml:space="preserve">9</w:t>
            </w:r>
          </w:p>
        </w:tc>
        <w:tc>
          <w:tcPr/>
          <w:p>
            <w:pPr>
              <w:pStyle w:val="Compact"/>
              <w:jc w:val="right"/>
            </w:pPr>
            <w:r>
              <w:t xml:space="preserve">6.4</w:t>
            </w:r>
          </w:p>
        </w:tc>
        <w:tc>
          <w:tcPr/>
          <w:p>
            <w:pPr>
              <w:pStyle w:val="Compact"/>
              <w:jc w:val="right"/>
            </w:pPr>
            <w:r>
              <w:t xml:space="preserve">0.709</w:t>
            </w:r>
          </w:p>
        </w:tc>
      </w:tr>
    </w:tbl>
    <w:p>
      <w:pPr>
        <w:pStyle w:val="CaptionedFigure"/>
      </w:pPr>
      <w:r>
        <w:drawing>
          <wp:inline>
            <wp:extent cx="5504749" cy="4587290"/>
            <wp:effectExtent b="0" l="0" r="0" t="0"/>
            <wp:docPr descr="Figure 3.1: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3.1: Plots of observed redd counts (black dots) through time for each qualifying index reach, and the fitted curve from the GAUC model (blue line) with associated uncertainty (gray).</w:t>
      </w:r>
    </w:p>
    <w:p>
      <w:pPr>
        <w:pStyle w:val="TableCaption"/>
      </w:pPr>
      <w:r>
        <w:t xml:space="preserve">Table 3.2: Estimate of redds in mainstem Wenatchee, above and below Tumwater Dam, and any tributaries surveyed.</w:t>
      </w:r>
    </w:p>
    <w:tbl>
      <w:tblPr>
        <w:tblStyle w:val="Table"/>
        <w:tblW w:type="auto" w:w="0"/>
        <w:tblLook w:firstRow="1" w:lastRow="0" w:firstColumn="0" w:lastColumn="0" w:noHBand="0" w:noVBand="0" w:val="0020"/>
        <w:tblCaption w:val="Table 3.2: Estimate of redds in mainstem Wenatchee, above and below Tumwater Dam, and any tributaries surveyed."/>
      </w:tblPr>
      <w:tblGrid>
        <w:gridCol w:w="990"/>
        <w:gridCol w:w="990"/>
        <w:gridCol w:w="990"/>
        <w:gridCol w:w="990"/>
        <w:gridCol w:w="990"/>
        <w:gridCol w:w="990"/>
        <w:gridCol w:w="990"/>
        <w:gridCol w:w="990"/>
      </w:tblGrid>
      <w:tr>
        <w:trPr>
          <w:tblHeader w:val="true"/>
        </w:trPr>
        <w:tc>
          <w:tcPr/>
          <w:p>
            <w:pPr>
              <w:pStyle w:val="Compact"/>
              <w:jc w:val="left"/>
            </w:pPr>
            <w:r>
              <w:t xml:space="preserve">River</w:t>
            </w:r>
          </w:p>
        </w:tc>
        <w:tc>
          <w:tcPr/>
          <w:p>
            <w:pPr>
              <w:pStyle w:val="Compact"/>
              <w:jc w:val="left"/>
            </w:pPr>
            <w:r>
              <w:t xml:space="preserve">Index</w:t>
            </w:r>
          </w:p>
        </w:tc>
        <w:tc>
          <w:tcPr/>
          <w:p>
            <w:pPr>
              <w:pStyle w:val="Compact"/>
              <w:jc w:val="left"/>
            </w:pPr>
            <w:r>
              <w:t xml:space="preserve">Location</w:t>
            </w:r>
          </w:p>
        </w:tc>
        <w:tc>
          <w:tcPr/>
          <w:p>
            <w:pPr>
              <w:pStyle w:val="Compact"/>
              <w:jc w:val="right"/>
            </w:pPr>
            <w:r>
              <w:t xml:space="preserve"># Reaches</w:t>
            </w:r>
          </w:p>
        </w:tc>
        <w:tc>
          <w:tcPr/>
          <w:p>
            <w:pPr>
              <w:pStyle w:val="Compact"/>
              <w:jc w:val="right"/>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Tributary</w:t>
            </w:r>
          </w:p>
        </w:tc>
        <w:tc>
          <w:tcPr/>
          <w:p>
            <w:pPr>
              <w:pStyle w:val="Compact"/>
              <w:jc w:val="left"/>
            </w:pPr>
            <w:r>
              <w:t xml:space="preserve">Tributaries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Below Tumwater (mainstem)</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Below Tumwater (mainstem)</w:t>
            </w:r>
          </w:p>
        </w:tc>
        <w:tc>
          <w:tcPr/>
          <w:p>
            <w:pPr>
              <w:pStyle w:val="Compact"/>
              <w:jc w:val="right"/>
            </w:pPr>
            <w:r>
              <w:t xml:space="preserve">2</w:t>
            </w:r>
          </w:p>
        </w:tc>
        <w:tc>
          <w:tcPr/>
          <w:p>
            <w:pPr>
              <w:pStyle w:val="Compact"/>
              <w:jc w:val="right"/>
            </w:pPr>
            <w:r>
              <w:t xml:space="preserve">4</w:t>
            </w:r>
          </w:p>
        </w:tc>
        <w:tc>
          <w:tcPr/>
          <w:p>
            <w:pPr>
              <w:pStyle w:val="Compact"/>
              <w:jc w:val="right"/>
            </w:pPr>
            <w:r>
              <w:t xml:space="preserve">4</w:t>
            </w:r>
          </w:p>
        </w:tc>
        <w:tc>
          <w:tcPr/>
          <w:p>
            <w:pPr>
              <w:pStyle w:val="Compact"/>
              <w:jc w:val="right"/>
            </w:pPr>
            <w:r>
              <w:t xml:space="preserve">2.1</w:t>
            </w:r>
          </w:p>
        </w:tc>
        <w:tc>
          <w:tcPr/>
          <w:p>
            <w:pPr>
              <w:pStyle w:val="Compact"/>
              <w:jc w:val="right"/>
            </w:pPr>
            <w:r>
              <w:t xml:space="preserve">0.514</w:t>
            </w:r>
          </w:p>
        </w:tc>
      </w:tr>
      <w:tr>
        <w:tc>
          <w:tcPr/>
          <w:p>
            <w:pPr>
              <w:pStyle w:val="Compact"/>
              <w:jc w:val="left"/>
            </w:pPr>
            <w:r>
              <w:t xml:space="preserve">Wenatchee</w:t>
            </w:r>
          </w:p>
        </w:tc>
        <w:tc>
          <w:tcPr/>
          <w:p>
            <w:pPr>
              <w:pStyle w:val="Compact"/>
              <w:jc w:val="left"/>
            </w:pPr>
            <w:r>
              <w:t xml:space="preserve">N</w:t>
            </w:r>
          </w:p>
        </w:tc>
        <w:tc>
          <w:tcPr/>
          <w:p>
            <w:pPr>
              <w:pStyle w:val="Compact"/>
              <w:jc w:val="left"/>
            </w:pPr>
            <w:r>
              <w:t xml:space="preserve">Above Tumwater (mainstem)</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0.114</w:t>
            </w:r>
          </w:p>
        </w:tc>
      </w:tr>
      <w:tr>
        <w:tc>
          <w:tcPr/>
          <w:p>
            <w:pPr>
              <w:pStyle w:val="Compact"/>
              <w:jc w:val="left"/>
            </w:pPr>
            <w:r>
              <w:t xml:space="preserve">Wenatchee</w:t>
            </w:r>
          </w:p>
        </w:tc>
        <w:tc>
          <w:tcPr/>
          <w:p>
            <w:pPr>
              <w:pStyle w:val="Compact"/>
              <w:jc w:val="left"/>
            </w:pPr>
            <w:r>
              <w:t xml:space="preserve">Y</w:t>
            </w:r>
          </w:p>
        </w:tc>
        <w:tc>
          <w:tcPr/>
          <w:p>
            <w:pPr>
              <w:pStyle w:val="Compact"/>
              <w:jc w:val="left"/>
            </w:pPr>
            <w:r>
              <w:t xml:space="preserve">Above Tumwater (mainstem)</w:t>
            </w:r>
          </w:p>
        </w:tc>
        <w:tc>
          <w:tcPr/>
          <w:p>
            <w:pPr>
              <w:pStyle w:val="Compact"/>
              <w:jc w:val="right"/>
            </w:pPr>
            <w:r>
              <w:t xml:space="preserve">3</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7.3</w:t>
            </w:r>
          </w:p>
        </w:tc>
        <w:tc>
          <w:tcPr/>
          <w:p>
            <w:pPr>
              <w:pStyle w:val="Compact"/>
              <w:jc w:val="right"/>
            </w:pPr>
            <w:r>
              <w:t xml:space="preserve">0.366</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right"/>
            </w:pPr>
            <w:r>
              <w:t xml:space="preserve">15</w:t>
            </w:r>
          </w:p>
        </w:tc>
        <w:tc>
          <w:tcPr/>
          <w:p>
            <w:pPr>
              <w:pStyle w:val="Compact"/>
              <w:jc w:val="right"/>
            </w:pPr>
            <w:r>
              <w:t xml:space="preserve">15</w:t>
            </w:r>
          </w:p>
        </w:tc>
        <w:tc>
          <w:tcPr/>
          <w:p>
            <w:pPr>
              <w:pStyle w:val="Compact"/>
              <w:jc w:val="right"/>
            </w:pPr>
            <w:r>
              <w:t xml:space="preserve">25</w:t>
            </w:r>
          </w:p>
        </w:tc>
        <w:tc>
          <w:tcPr/>
          <w:p>
            <w:pPr>
              <w:pStyle w:val="Compact"/>
              <w:jc w:val="right"/>
            </w:pPr>
            <w:r>
              <w:t xml:space="preserve">7.6</w:t>
            </w:r>
          </w:p>
        </w:tc>
        <w:tc>
          <w:tcPr/>
          <w:p>
            <w:pPr>
              <w:pStyle w:val="Compact"/>
              <w:jc w:val="right"/>
            </w:pPr>
            <w:r>
              <w:t xml:space="preserve">0.304</w:t>
            </w:r>
          </w:p>
        </w:tc>
      </w:tr>
    </w:tbl>
    <w:p>
      <w:r>
        <w:br w:type="page"/>
      </w:r>
    </w:p>
    <w:bookmarkEnd w:id="30"/>
    <w:bookmarkStart w:id="31" w:name="spawner-estimates"/>
    <w:p>
      <w:pPr>
        <w:pStyle w:val="Heading2"/>
      </w:pPr>
      <w:r>
        <w:rPr>
          <w:rStyle w:val="SectionNumber"/>
        </w:rPr>
        <w:t xml:space="preserve">3.2</w:t>
      </w:r>
      <w:r>
        <w:tab/>
      </w:r>
      <w:r>
        <w:t xml:space="preserve">Spawner Estimates</w:t>
      </w:r>
    </w:p>
    <w:p>
      <w:pPr>
        <w:pStyle w:val="FirstParagraph"/>
      </w:pPr>
      <w:r>
        <w:t xml:space="preserve">Demographic data about sex and origin were derived from the PIT tags detected within each area (Table</w:t>
      </w:r>
      <w:r>
        <w:t xml:space="preserve"> </w:t>
      </w:r>
      <w:r>
        <w:t xml:space="preserve">3.3</w:t>
      </w:r>
      <w:r>
        <w:t xml:space="preserve">).</w:t>
      </w:r>
    </w:p>
    <w:p>
      <w:pPr>
        <w:pStyle w:val="TableCaption"/>
      </w:pPr>
      <w:r>
        <w:t xml:space="preserve">Table 3.3: Number of PIT tags detected in each area by sex and origin.</w:t>
      </w:r>
    </w:p>
    <w:tbl>
      <w:tblPr>
        <w:tblStyle w:val="Table"/>
        <w:tblW w:type="auto" w:w="0"/>
        <w:tblLook w:firstRow="1" w:lastRow="0" w:firstColumn="0" w:lastColumn="0" w:noHBand="0" w:noVBand="0" w:val="0020"/>
        <w:tblCaption w:val="Table 3.3: Number of PIT tags detected in each area by sex and origin."/>
      </w:tblPr>
      <w:tblGrid>
        <w:gridCol w:w="1980"/>
        <w:gridCol w:w="1980"/>
        <w:gridCol w:w="1980"/>
        <w:gridCol w:w="1980"/>
      </w:tblGrid>
      <w:tr>
        <w:trPr>
          <w:tblHeader w:val="true"/>
        </w:trPr>
        <w:tc>
          <w:tcPr/>
          <w:p>
            <w:pPr>
              <w:pStyle w:val="Compact"/>
              <w:jc w:val="left"/>
            </w:pPr>
            <w:r>
              <w:t xml:space="preserve">Location</w:t>
            </w:r>
          </w:p>
        </w:tc>
        <w:tc>
          <w:tcPr/>
          <w:p>
            <w:pPr>
              <w:pStyle w:val="Compact"/>
              <w:jc w:val="left"/>
            </w:pPr>
            <w:r>
              <w:t xml:space="preserve">Sex</w:t>
            </w:r>
          </w:p>
        </w:tc>
        <w:tc>
          <w:tcPr/>
          <w:p>
            <w:pPr>
              <w:pStyle w:val="Compact"/>
              <w:jc w:val="left"/>
            </w:pPr>
            <w:r>
              <w:t xml:space="preserve">Origin</w:t>
            </w:r>
          </w:p>
        </w:tc>
        <w:tc>
          <w:tcPr/>
          <w:p>
            <w:pPr>
              <w:pStyle w:val="Compact"/>
              <w:jc w:val="right"/>
            </w:pPr>
            <w:r>
              <w:t xml:space="preserve">N Tags</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Below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3</w:t>
            </w:r>
          </w:p>
        </w:tc>
      </w:tr>
      <w:tr>
        <w:tc>
          <w:tcPr/>
          <w:p>
            <w:pPr>
              <w:pStyle w:val="Compact"/>
              <w:jc w:val="left"/>
            </w:pPr>
            <w:r>
              <w:t xml:space="preserve">Below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4</w:t>
            </w:r>
          </w:p>
        </w:tc>
      </w:tr>
      <w:tr>
        <w:tc>
          <w:tcPr/>
          <w:p>
            <w:pPr>
              <w:pStyle w:val="Compact"/>
              <w:jc w:val="left"/>
            </w:pPr>
            <w:r>
              <w:t xml:space="preserve">Above Tumwater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8</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Above Tumwater (mainstem)</w:t>
            </w:r>
          </w:p>
        </w:tc>
        <w:tc>
          <w:tcPr/>
          <w:p>
            <w:pPr>
              <w:pStyle w:val="Compact"/>
              <w:jc w:val="left"/>
            </w:pPr>
            <w:r>
              <w:t xml:space="preserve">M</w:t>
            </w:r>
          </w:p>
        </w:tc>
        <w:tc>
          <w:tcPr/>
          <w:p>
            <w:pPr>
              <w:pStyle w:val="Compact"/>
              <w:jc w:val="left"/>
            </w:pPr>
            <w:r>
              <w:t xml:space="preserve">W</w:t>
            </w:r>
          </w:p>
        </w:tc>
        <w:tc>
          <w:tcPr/>
          <w:p>
            <w:pPr>
              <w:pStyle w:val="Compact"/>
              <w:jc w:val="right"/>
            </w:pPr>
            <w:r>
              <w:t xml:space="preserve">5</w:t>
            </w:r>
          </w:p>
        </w:tc>
      </w:tr>
      <w:tr>
        <w:tc>
          <w:tcPr/>
          <w:p>
            <w:pPr>
              <w:pStyle w:val="Compact"/>
              <w:jc w:val="left"/>
            </w:pPr>
            <w:r>
              <w:t xml:space="preserve">Peshastin</w:t>
            </w:r>
          </w:p>
        </w:tc>
        <w:tc>
          <w:tcPr/>
          <w:p>
            <w:pPr>
              <w:pStyle w:val="Compact"/>
              <w:jc w:val="left"/>
            </w:pPr>
            <w:r>
              <w:t xml:space="preserve">F</w:t>
            </w:r>
          </w:p>
        </w:tc>
        <w:tc>
          <w:tcPr/>
          <w:p>
            <w:pPr>
              <w:pStyle w:val="Compact"/>
              <w:jc w:val="left"/>
            </w:pPr>
            <w:r>
              <w:t xml:space="preserve">W</w:t>
            </w:r>
          </w:p>
        </w:tc>
        <w:tc>
          <w:tcPr/>
          <w:p>
            <w:pPr>
              <w:pStyle w:val="Compact"/>
              <w:jc w:val="right"/>
            </w:pPr>
            <w:r>
              <w:t xml:space="preserve">7</w:t>
            </w:r>
          </w:p>
        </w:tc>
      </w:tr>
      <w:tr>
        <w:tc>
          <w:tcPr/>
          <w:p>
            <w:pPr>
              <w:pStyle w:val="Compact"/>
              <w:jc w:val="left"/>
            </w:pPr>
            <w:r>
              <w:t xml:space="preserve">Peshastin</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Nason</w:t>
            </w:r>
          </w:p>
        </w:tc>
        <w:tc>
          <w:tcPr/>
          <w:p>
            <w:pPr>
              <w:pStyle w:val="Compact"/>
              <w:jc w:val="left"/>
            </w:pPr>
            <w:r>
              <w:t xml:space="preserve">F</w:t>
            </w:r>
          </w:p>
        </w:tc>
        <w:tc>
          <w:tcPr/>
          <w:p>
            <w:pPr>
              <w:pStyle w:val="Compact"/>
              <w:jc w:val="left"/>
            </w:pPr>
            <w:r>
              <w:t xml:space="preserve">W</w:t>
            </w:r>
          </w:p>
        </w:tc>
        <w:tc>
          <w:tcPr/>
          <w:p>
            <w:pPr>
              <w:pStyle w:val="Compact"/>
              <w:jc w:val="right"/>
            </w:pPr>
            <w:r>
              <w:t xml:space="preserve">4</w:t>
            </w:r>
          </w:p>
        </w:tc>
      </w:tr>
      <w:tr>
        <w:tc>
          <w:tcPr/>
          <w:p>
            <w:pPr>
              <w:pStyle w:val="Compact"/>
              <w:jc w:val="left"/>
            </w:pPr>
            <w:r>
              <w:t xml:space="preserve">Nason</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F</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bl>
    <w:p>
      <w:pPr>
        <w:pStyle w:val="BodyText"/>
      </w:pPr>
      <w:r>
        <w:t xml:space="preserve">Parameter estimates for fish / redd and proportion hatchery based on this PIT tag data after adjusting for the sex call error rate (Appendix</w:t>
      </w:r>
      <w:r>
        <w:t xml:space="preserve"> </w:t>
      </w:r>
      <w:r>
        <w:t xml:space="preserve">7.1</w:t>
      </w:r>
      <w:r>
        <w:t xml:space="preserve">) are shown in Table</w:t>
      </w:r>
      <w:r>
        <w:t xml:space="preserve"> </w:t>
      </w:r>
      <w:r>
        <w:t xml:space="preserve">3.4</w:t>
      </w:r>
      <w:r>
        <w:t xml:space="preserve">.</w:t>
      </w:r>
    </w:p>
    <w:p>
      <w:pPr>
        <w:pStyle w:val="TableCaption"/>
      </w:pPr>
      <w:r>
        <w:t xml:space="preserve">Table 3.4: Fish per redd and hatchery origin proportion estimates.</w:t>
      </w:r>
    </w:p>
    <w:tbl>
      <w:tblPr>
        <w:tblStyle w:val="Table"/>
        <w:tblW w:type="auto" w:w="0"/>
        <w:tblLook w:firstRow="1" w:lastRow="0" w:firstColumn="0" w:lastColumn="0" w:noHBand="0" w:noVBand="0" w:val="0020"/>
        <w:tblCaption w:val="Table 3.4: Fish per redd and hatchery origin proportion estimates."/>
      </w:tblPr>
      <w:tblGrid>
        <w:gridCol w:w="1584"/>
        <w:gridCol w:w="1584"/>
        <w:gridCol w:w="1584"/>
        <w:gridCol w:w="1584"/>
        <w:gridCol w:w="1584"/>
      </w:tblGrid>
      <w:tr>
        <w:trPr>
          <w:tblHeader w:val="true"/>
        </w:trPr>
        <w:tc>
          <w:tcPr/>
          <w:p>
            <w:pPr>
              <w:pStyle w:val="Compact"/>
              <w:jc w:val="left"/>
            </w:pPr>
            <w:r>
              <w:t xml:space="preserve">Area</w:t>
            </w:r>
          </w:p>
        </w:tc>
        <w:tc>
          <w:tcPr/>
          <w:p>
            <w:pPr>
              <w:pStyle w:val="Compact"/>
              <w:jc w:val="right"/>
            </w:pPr>
            <w:r>
              <w:t xml:space="preserve">Fish / redd</w:t>
            </w:r>
          </w:p>
        </w:tc>
        <w:tc>
          <w:tcPr/>
          <w:p>
            <w:pPr>
              <w:pStyle w:val="Compact"/>
              <w:jc w:val="right"/>
            </w:pPr>
            <w:r>
              <w:t xml:space="preserve">FpR Std. Error</w:t>
            </w:r>
          </w:p>
        </w:tc>
        <w:tc>
          <w:tcPr/>
          <w:p>
            <w:pPr>
              <w:pStyle w:val="Compact"/>
              <w:jc w:val="right"/>
            </w:pPr>
            <w:r>
              <w:t xml:space="preserve">Prop. Hatchery</w:t>
            </w:r>
          </w:p>
        </w:tc>
        <w:tc>
          <w:tcPr/>
          <w:p>
            <w:pPr>
              <w:pStyle w:val="Compact"/>
              <w:jc w:val="right"/>
            </w:pPr>
            <w:r>
              <w:t xml:space="preserve">Prop Std. Error</w:t>
            </w:r>
          </w:p>
        </w:tc>
      </w:tr>
      <w:tr>
        <w:tc>
          <w:tcPr/>
          <w:p>
            <w:pPr>
              <w:pStyle w:val="Compact"/>
              <w:jc w:val="left"/>
            </w:pPr>
            <w:r>
              <w:t xml:space="preserve">Below Tumwater (mainstem)</w:t>
            </w:r>
          </w:p>
        </w:tc>
        <w:tc>
          <w:tcPr/>
          <w:p>
            <w:pPr>
              <w:pStyle w:val="Compact"/>
              <w:jc w:val="right"/>
            </w:pPr>
            <w:r>
              <w:t xml:space="preserve">2.000</w:t>
            </w:r>
          </w:p>
        </w:tc>
        <w:tc>
          <w:tcPr/>
          <w:p>
            <w:pPr>
              <w:pStyle w:val="Compact"/>
              <w:jc w:val="right"/>
            </w:pPr>
            <w:r>
              <w:t xml:space="preserve">0.154</w:t>
            </w:r>
          </w:p>
        </w:tc>
        <w:tc>
          <w:tcPr/>
          <w:p>
            <w:pPr>
              <w:pStyle w:val="Compact"/>
              <w:jc w:val="right"/>
            </w:pPr>
            <w:r>
              <w:t xml:space="preserve">0.500</w:t>
            </w:r>
          </w:p>
        </w:tc>
        <w:tc>
          <w:tcPr/>
          <w:p>
            <w:pPr>
              <w:pStyle w:val="Compact"/>
              <w:jc w:val="right"/>
            </w:pPr>
            <w:r>
              <w:t xml:space="preserve">0.204</w:t>
            </w:r>
          </w:p>
        </w:tc>
      </w:tr>
      <w:tr>
        <w:tc>
          <w:tcPr/>
          <w:p>
            <w:pPr>
              <w:pStyle w:val="Compact"/>
              <w:jc w:val="left"/>
            </w:pPr>
            <w:r>
              <w:t xml:space="preserve">Above Tumwater (mainstem)</w:t>
            </w:r>
          </w:p>
        </w:tc>
        <w:tc>
          <w:tcPr/>
          <w:p>
            <w:pPr>
              <w:pStyle w:val="Compact"/>
              <w:jc w:val="right"/>
            </w:pPr>
            <w:r>
              <w:t xml:space="preserve">3.333</w:t>
            </w:r>
          </w:p>
        </w:tc>
        <w:tc>
          <w:tcPr/>
          <w:p>
            <w:pPr>
              <w:pStyle w:val="Compact"/>
              <w:jc w:val="right"/>
            </w:pPr>
            <w:r>
              <w:t xml:space="preserve">0.333</w:t>
            </w:r>
          </w:p>
        </w:tc>
        <w:tc>
          <w:tcPr/>
          <w:p>
            <w:pPr>
              <w:pStyle w:val="Compact"/>
              <w:jc w:val="right"/>
            </w:pPr>
            <w:r>
              <w:t xml:space="preserve">0.350</w:t>
            </w:r>
          </w:p>
        </w:tc>
        <w:tc>
          <w:tcPr/>
          <w:p>
            <w:pPr>
              <w:pStyle w:val="Compact"/>
              <w:jc w:val="right"/>
            </w:pPr>
            <w:r>
              <w:t xml:space="preserve">0.107</w:t>
            </w:r>
          </w:p>
        </w:tc>
      </w:tr>
      <w:tr>
        <w:tc>
          <w:tcPr/>
          <w:p>
            <w:pPr>
              <w:pStyle w:val="Compact"/>
              <w:jc w:val="left"/>
            </w:pPr>
            <w:r>
              <w:t xml:space="preserve">Peshastin</w:t>
            </w:r>
          </w:p>
        </w:tc>
        <w:tc>
          <w:tcPr/>
          <w:p>
            <w:pPr>
              <w:pStyle w:val="Compact"/>
              <w:jc w:val="right"/>
            </w:pPr>
            <w:r>
              <w:t xml:space="preserve">2.000</w:t>
            </w:r>
          </w:p>
        </w:tc>
        <w:tc>
          <w:tcPr/>
          <w:p>
            <w:pPr>
              <w:pStyle w:val="Compact"/>
              <w:jc w:val="right"/>
            </w:pPr>
            <w:r>
              <w:t xml:space="preserve">0.162</w:t>
            </w:r>
          </w:p>
        </w:tc>
        <w:tc>
          <w:tcPr/>
          <w:p>
            <w:pPr>
              <w:pStyle w:val="Compact"/>
              <w:jc w:val="right"/>
            </w:pPr>
            <w:r>
              <w:t xml:space="preserve">0.125</w:t>
            </w:r>
          </w:p>
        </w:tc>
        <w:tc>
          <w:tcPr/>
          <w:p>
            <w:pPr>
              <w:pStyle w:val="Compact"/>
              <w:jc w:val="right"/>
            </w:pPr>
            <w:r>
              <w:t xml:space="preserve">0.117</w:t>
            </w:r>
          </w:p>
        </w:tc>
      </w:tr>
      <w:tr>
        <w:tc>
          <w:tcPr/>
          <w:p>
            <w:pPr>
              <w:pStyle w:val="Compact"/>
              <w:jc w:val="left"/>
            </w:pPr>
            <w:r>
              <w:t xml:space="preserve">Nason</w:t>
            </w:r>
          </w:p>
        </w:tc>
        <w:tc>
          <w:tcPr/>
          <w:p>
            <w:pPr>
              <w:pStyle w:val="Compact"/>
              <w:jc w:val="right"/>
            </w:pPr>
            <w:r>
              <w:t xml:space="preserve">2.500</w:t>
            </w:r>
          </w:p>
        </w:tc>
        <w:tc>
          <w:tcPr/>
          <w:p>
            <w:pPr>
              <w:pStyle w:val="Compact"/>
              <w:jc w:val="right"/>
            </w:pPr>
            <w:r>
              <w:t xml:space="preserve">0.236</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Chiwawa</w:t>
            </w:r>
          </w:p>
        </w:tc>
        <w:tc>
          <w:tcPr/>
          <w:p>
            <w:pPr>
              <w:pStyle w:val="Compact"/>
              <w:jc w:val="right"/>
            </w:pPr>
            <w:r>
              <w:t xml:space="preserve">2.000</w:t>
            </w:r>
          </w:p>
        </w:tc>
        <w:tc>
          <w:tcPr/>
          <w:p>
            <w:pPr>
              <w:pStyle w:val="Compact"/>
              <w:jc w:val="right"/>
            </w:pPr>
            <w:r>
              <w:t xml:space="preserve">0.093</w:t>
            </w:r>
          </w:p>
        </w:tc>
        <w:tc>
          <w:tcPr/>
          <w:p>
            <w:pPr>
              <w:pStyle w:val="Compact"/>
              <w:jc w:val="right"/>
            </w:pPr>
            <w:r>
              <w:t xml:space="preserve">0.000</w:t>
            </w:r>
          </w:p>
        </w:tc>
        <w:tc>
          <w:tcPr/>
          <w:p>
            <w:pPr>
              <w:pStyle w:val="Compact"/>
              <w:jc w:val="right"/>
            </w:pPr>
            <w:r>
              <w:t xml:space="preserve">0.000</w:t>
            </w:r>
          </w:p>
        </w:tc>
      </w:tr>
    </w:tbl>
    <w:p>
      <w:pPr>
        <w:pStyle w:val="BodyText"/>
      </w:pPr>
      <w:r>
        <w:t xml:space="preserve">Combining PIT tag-based estimates of spawners in the tributaries with adjusted redd-based estimates of spawners in the mainstem areas, Table</w:t>
      </w:r>
      <w:r>
        <w:t xml:space="preserve"> </w:t>
      </w:r>
      <w:r>
        <w:t xml:space="preserve">3.5</w:t>
      </w:r>
      <w:r>
        <w:t xml:space="preserve"> </w:t>
      </w:r>
      <w:r>
        <w:t xml:space="preserve">shows all of them, broken down by reach or tributary and origin. Table</w:t>
      </w:r>
      <w:r>
        <w:t xml:space="preserve"> </w:t>
      </w:r>
      <w:r>
        <w:t xml:space="preserve">3.6</w:t>
      </w:r>
      <w:r>
        <w:t xml:space="preserve"> </w:t>
      </w:r>
      <w:r>
        <w:t xml:space="preserve">shows a summary of spawners by origin across various areas including the Wenatchee mainstem and each tributary.</w:t>
      </w:r>
    </w:p>
    <w:p>
      <w:pPr>
        <w:pStyle w:val="TableCaption"/>
      </w:pPr>
      <w:r>
        <w:t xml:space="preserve">Table 3.5: Estimates (CV) of spawners by reach or tributary and origin.</w:t>
      </w:r>
    </w:p>
    <w:tbl>
      <w:tblPr>
        <w:tblStyle w:val="Table"/>
        <w:tblW w:type="auto" w:w="0"/>
        <w:tblLook w:firstRow="1" w:lastRow="0" w:firstColumn="0" w:lastColumn="0" w:noHBand="0" w:noVBand="0" w:val="0020"/>
        <w:tblCaption w:val="Table 3.5: Estimates (CV) of spawners by reach or tributary and origin."/>
      </w:tblPr>
      <w:tblGrid>
        <w:gridCol w:w="1320"/>
        <w:gridCol w:w="1320"/>
        <w:gridCol w:w="1320"/>
        <w:gridCol w:w="1320"/>
        <w:gridCol w:w="1320"/>
        <w:gridCol w:w="1320"/>
      </w:tblGrid>
      <w:tr>
        <w:trPr>
          <w:tblHeader w:val="true"/>
        </w:trPr>
        <w:tc>
          <w:tcPr/>
          <w:p>
            <w:pPr>
              <w:pStyle w:val="Compact"/>
              <w:jc w:val="left"/>
            </w:pPr>
            <w:r>
              <w:t xml:space="preserve">River</w:t>
            </w:r>
          </w:p>
        </w:tc>
        <w:tc>
          <w:tcPr/>
          <w:p>
            <w:pPr>
              <w:pStyle w:val="Compact"/>
              <w:jc w:val="left"/>
            </w:pPr>
            <w:r>
              <w:t xml:space="preserve">Area</w:t>
            </w:r>
          </w:p>
        </w:tc>
        <w:tc>
          <w:tcPr/>
          <w:p>
            <w:pPr>
              <w:pStyle w:val="Compact"/>
              <w:jc w:val="left"/>
            </w:pPr>
            <w:r>
              <w:t xml:space="preserve">Reach</w:t>
            </w:r>
          </w:p>
        </w:tc>
        <w:tc>
          <w:tcPr/>
          <w:p>
            <w:pPr>
              <w:pStyle w:val="Compact"/>
              <w:jc w:val="left"/>
            </w:pPr>
            <w:r>
              <w:t xml:space="preserve">Type</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W1</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W2</w:t>
            </w:r>
          </w:p>
        </w:tc>
        <w:tc>
          <w:tcPr/>
          <w:p>
            <w:pPr>
              <w:pStyle w:val="Compact"/>
              <w:jc w:val="left"/>
            </w:pPr>
            <w:r>
              <w:t xml:space="preserve">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W3</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W4</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W5</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W6</w:t>
            </w:r>
          </w:p>
        </w:tc>
        <w:tc>
          <w:tcPr/>
          <w:p>
            <w:pPr>
              <w:pStyle w:val="Compact"/>
              <w:jc w:val="left"/>
            </w:pPr>
            <w:r>
              <w:t xml:space="preserve">Index</w:t>
            </w:r>
          </w:p>
        </w:tc>
        <w:tc>
          <w:tcPr/>
          <w:p>
            <w:pPr>
              <w:pStyle w:val="Compact"/>
              <w:jc w:val="left"/>
            </w:pPr>
            <w:r>
              <w:t xml:space="preserve">4 (0.66)</w:t>
            </w:r>
          </w:p>
        </w:tc>
        <w:tc>
          <w:tcPr/>
          <w:p>
            <w:pPr>
              <w:pStyle w:val="Compact"/>
              <w:jc w:val="left"/>
            </w:pPr>
            <w:r>
              <w:t xml:space="preserve">4 (0.66)</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W8</w:t>
            </w:r>
          </w:p>
        </w:tc>
        <w:tc>
          <w:tcPr/>
          <w:p>
            <w:pPr>
              <w:pStyle w:val="Compact"/>
              <w:jc w:val="left"/>
            </w:pPr>
            <w:r>
              <w:t xml:space="preserve">Index</w:t>
            </w:r>
          </w:p>
        </w:tc>
        <w:tc>
          <w:tcPr/>
          <w:p>
            <w:pPr>
              <w:pStyle w:val="Compact"/>
              <w:jc w:val="left"/>
            </w:pPr>
            <w:r>
              <w:t xml:space="preserve">9 (0.36)</w:t>
            </w:r>
          </w:p>
        </w:tc>
        <w:tc>
          <w:tcPr/>
          <w:p>
            <w:pPr>
              <w:pStyle w:val="Compact"/>
              <w:jc w:val="left"/>
            </w:pPr>
            <w:r>
              <w:t xml:space="preserve">5 (0.44)</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W8</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W9</w:t>
            </w:r>
          </w:p>
        </w:tc>
        <w:tc>
          <w:tcPr/>
          <w:p>
            <w:pPr>
              <w:pStyle w:val="Compact"/>
              <w:jc w:val="left"/>
            </w:pPr>
            <w:r>
              <w:t xml:space="preserve">Index</w:t>
            </w:r>
          </w:p>
        </w:tc>
        <w:tc>
          <w:tcPr/>
          <w:p>
            <w:pPr>
              <w:pStyle w:val="Compact"/>
              <w:jc w:val="left"/>
            </w:pPr>
            <w:r>
              <w:t xml:space="preserve">15 (0.33)</w:t>
            </w:r>
          </w:p>
        </w:tc>
        <w:tc>
          <w:tcPr/>
          <w:p>
            <w:pPr>
              <w:pStyle w:val="Compact"/>
              <w:jc w:val="left"/>
            </w:pPr>
            <w:r>
              <w:t xml:space="preserve">8 (0.42)</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W9</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W10</w:t>
            </w:r>
          </w:p>
        </w:tc>
        <w:tc>
          <w:tcPr/>
          <w:p>
            <w:pPr>
              <w:pStyle w:val="Compact"/>
              <w:jc w:val="left"/>
            </w:pPr>
            <w:r>
              <w:t xml:space="preserve">Index</w:t>
            </w:r>
          </w:p>
        </w:tc>
        <w:tc>
          <w:tcPr/>
          <w:p>
            <w:pPr>
              <w:pStyle w:val="Compact"/>
              <w:jc w:val="left"/>
            </w:pPr>
            <w:r>
              <w:t xml:space="preserve">20 (0.73)</w:t>
            </w:r>
          </w:p>
        </w:tc>
        <w:tc>
          <w:tcPr/>
          <w:p>
            <w:pPr>
              <w:pStyle w:val="Compact"/>
              <w:jc w:val="left"/>
            </w:pPr>
            <w:r>
              <w:t xml:space="preserve">11 (0.78)</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W10</w:t>
            </w:r>
          </w:p>
        </w:tc>
        <w:tc>
          <w:tcPr/>
          <w:p>
            <w:pPr>
              <w:pStyle w:val="Compact"/>
              <w:jc w:val="left"/>
            </w:pPr>
            <w:r>
              <w:t xml:space="preserve">Non-Index</w:t>
            </w:r>
          </w:p>
        </w:tc>
        <w:tc>
          <w:tcPr/>
          <w:p>
            <w:pPr>
              <w:pStyle w:val="Compact"/>
              <w:jc w:val="left"/>
            </w:pPr>
            <w:r>
              <w:t xml:space="preserve">2 (0.22)</w:t>
            </w:r>
          </w:p>
        </w:tc>
        <w:tc>
          <w:tcPr/>
          <w:p>
            <w:pPr>
              <w:pStyle w:val="Compact"/>
              <w:jc w:val="left"/>
            </w:pPr>
            <w:r>
              <w:t xml:space="preserve">1 (0.34)</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w:t>
            </w:r>
          </w:p>
        </w:tc>
        <w:tc>
          <w:tcPr/>
          <w:p>
            <w:pPr>
              <w:pStyle w:val="Compact"/>
              <w:jc w:val="left"/>
            </w:pPr>
            <w:r>
              <w:t xml:space="preserve">DABOM</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w:t>
            </w:r>
          </w:p>
        </w:tc>
        <w:tc>
          <w:tcPr/>
          <w:p>
            <w:pPr>
              <w:pStyle w:val="Compact"/>
              <w:jc w:val="left"/>
            </w:pPr>
            <w:r>
              <w:t xml:space="preserve">DABOM</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w:t>
            </w:r>
          </w:p>
        </w:tc>
        <w:tc>
          <w:tcPr/>
          <w:p>
            <w:pPr>
              <w:pStyle w:val="Compact"/>
              <w:jc w:val="left"/>
            </w:pPr>
            <w:r>
              <w:t xml:space="preserve">DABOM</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w:t>
            </w:r>
          </w:p>
        </w:tc>
        <w:tc>
          <w:tcPr/>
          <w:p>
            <w:pPr>
              <w:pStyle w:val="Compact"/>
              <w:jc w:val="left"/>
            </w:pPr>
            <w:r>
              <w:t xml:space="preserve">DABOM</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w:t>
            </w:r>
          </w:p>
        </w:tc>
        <w:tc>
          <w:tcPr/>
          <w:p>
            <w:pPr>
              <w:pStyle w:val="Compact"/>
              <w:jc w:val="left"/>
            </w:pPr>
            <w:r>
              <w:t xml:space="preserve">DABOM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w:t>
            </w:r>
          </w:p>
        </w:tc>
        <w:tc>
          <w:tcPr/>
          <w:p>
            <w:pPr>
              <w:pStyle w:val="Compact"/>
              <w:jc w:val="left"/>
            </w:pPr>
            <w:r>
              <w:t xml:space="preserve">DABOM</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w:t>
            </w:r>
          </w:p>
        </w:tc>
        <w:tc>
          <w:tcPr/>
          <w:p>
            <w:pPr>
              <w:pStyle w:val="Compact"/>
              <w:jc w:val="left"/>
            </w:pPr>
            <w:r>
              <w:t xml:space="preserve">DABOM</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323 (0.17)</w:t>
            </w:r>
          </w:p>
        </w:tc>
        <w:tc>
          <w:tcPr/>
          <w:p>
            <w:pPr>
              <w:pStyle w:val="Compact"/>
              <w:jc w:val="left"/>
            </w:pPr>
            <w:r>
              <w:t xml:space="preserve">85 (0.3)</w:t>
            </w:r>
          </w:p>
        </w:tc>
      </w:tr>
    </w:tbl>
    <w:p/>
    <w:p>
      <w:pPr>
        <w:pStyle w:val="TableCaption"/>
      </w:pPr>
      <w:r>
        <w:t xml:space="preserve">Table 3.6: Estimates (CV) of spawners by area and origin.</w:t>
      </w:r>
    </w:p>
    <w:tbl>
      <w:tblPr>
        <w:tblStyle w:val="Table"/>
        <w:tblW w:type="auto" w:w="0"/>
        <w:tblLook w:firstRow="1" w:lastRow="0" w:firstColumn="0" w:lastColumn="0" w:noHBand="0" w:noVBand="0" w:val="0020"/>
        <w:tblCaption w:val="Table 3.6: Estimates (CV) of spawners by area and origin."/>
      </w:tblPr>
      <w:tblGrid>
        <w:gridCol w:w="1980"/>
        <w:gridCol w:w="1980"/>
        <w:gridCol w:w="1980"/>
        <w:gridCol w:w="198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Wenatchee</w:t>
            </w:r>
          </w:p>
        </w:tc>
        <w:tc>
          <w:tcPr/>
          <w:p>
            <w:pPr>
              <w:pStyle w:val="Compact"/>
              <w:jc w:val="left"/>
            </w:pPr>
            <w:r>
              <w:t xml:space="preserve">Below Tumwater (mainstem)</w:t>
            </w:r>
          </w:p>
        </w:tc>
        <w:tc>
          <w:tcPr/>
          <w:p>
            <w:pPr>
              <w:pStyle w:val="Compact"/>
              <w:jc w:val="left"/>
            </w:pPr>
            <w:r>
              <w:t xml:space="preserve">4 (0.66)</w:t>
            </w:r>
          </w:p>
        </w:tc>
        <w:tc>
          <w:tcPr/>
          <w:p>
            <w:pPr>
              <w:pStyle w:val="Compact"/>
              <w:jc w:val="left"/>
            </w:pPr>
            <w:r>
              <w:t xml:space="preserve">4 (0.66)</w:t>
            </w:r>
          </w:p>
        </w:tc>
      </w:tr>
      <w:tr>
        <w:tc>
          <w:tcPr/>
          <w:p>
            <w:pPr>
              <w:pStyle w:val="Compact"/>
              <w:jc w:val="left"/>
            </w:pPr>
            <w:r>
              <w:t xml:space="preserve">Wenatchee</w:t>
            </w:r>
          </w:p>
        </w:tc>
        <w:tc>
          <w:tcPr/>
          <w:p>
            <w:pPr>
              <w:pStyle w:val="Compact"/>
              <w:jc w:val="left"/>
            </w:pPr>
            <w:r>
              <w:t xml:space="preserve">Above Tumwater (mainstem)</w:t>
            </w:r>
          </w:p>
        </w:tc>
        <w:tc>
          <w:tcPr/>
          <w:p>
            <w:pPr>
              <w:pStyle w:val="Compact"/>
              <w:jc w:val="left"/>
            </w:pPr>
            <w:r>
              <w:t xml:space="preserve">46 (0.34)</w:t>
            </w:r>
          </w:p>
        </w:tc>
        <w:tc>
          <w:tcPr/>
          <w:p>
            <w:pPr>
              <w:pStyle w:val="Compact"/>
              <w:jc w:val="left"/>
            </w:pPr>
            <w:r>
              <w:t xml:space="preserve">25 (0.36)</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323 (0.17)</w:t>
            </w:r>
          </w:p>
        </w:tc>
        <w:tc>
          <w:tcPr/>
          <w:p>
            <w:pPr>
              <w:pStyle w:val="Compact"/>
              <w:jc w:val="left"/>
            </w:pPr>
            <w:r>
              <w:t xml:space="preserve">85 (0.3)</w:t>
            </w:r>
          </w:p>
        </w:tc>
      </w:tr>
    </w:tbl>
    <w:bookmarkEnd w:id="31"/>
    <w:bookmarkStart w:id="32" w:name="prespawn-mortality-1"/>
    <w:p>
      <w:pPr>
        <w:pStyle w:val="Heading2"/>
      </w:pPr>
      <w:r>
        <w:rPr>
          <w:rStyle w:val="SectionNumber"/>
        </w:rPr>
        <w:t xml:space="preserve">3.3</w:t>
      </w:r>
      <w:r>
        <w:tab/>
      </w:r>
      <w:r>
        <w:t xml:space="preserve">Prespawn Mortality</w:t>
      </w:r>
    </w:p>
    <w:p>
      <w:pPr>
        <w:pStyle w:val="FirstParagraph"/>
      </w:pPr>
      <w:r>
        <w:t xml:space="preserve">The estimates of overall prespawn mortality within the Wenatchee population, by origin, are shown in Table</w:t>
      </w:r>
      <w:r>
        <w:t xml:space="preserve"> </w:t>
      </w:r>
      <w:r>
        <w:t xml:space="preserve">3.7</w:t>
      </w:r>
      <w:r>
        <w:t xml:space="preserve">.</w:t>
      </w:r>
    </w:p>
    <w:p>
      <w:pPr>
        <w:pStyle w:val="TableCaption"/>
      </w:pPr>
      <w:r>
        <w:t xml:space="preserve">Table 3.7: Wenatchee prespawn mortality estimates. Includes estimates (standard error) of escapement, spawners, rate of prespawn mortality, and standard error and coefficient of variation of this rate, separated by origin.</w:t>
      </w:r>
    </w:p>
    <w:tbl>
      <w:tblPr>
        <w:tblStyle w:val="Table"/>
        <w:tblW w:type="auto" w:w="0"/>
        <w:tblLook w:firstRow="1" w:lastRow="0" w:firstColumn="0" w:lastColumn="0" w:noHBand="0" w:noVBand="0" w:val="0020"/>
        <w:tblCaption w:val="Table 3.7: Wenatchee prespawn mortality estimates. Includes estimates (standard error) of escapement, spawners, rate of prespawn mortality, and standard error and coefficient of variation of this rate, separated by origin."/>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Escapement</w:t>
            </w:r>
          </w:p>
        </w:tc>
        <w:tc>
          <w:tcPr/>
          <w:p>
            <w:pPr>
              <w:pStyle w:val="Compact"/>
              <w:jc w:val="left"/>
            </w:pPr>
            <w:r>
              <w:t xml:space="preserve">Spawners</w:t>
            </w:r>
          </w:p>
        </w:tc>
        <w:tc>
          <w:tcPr/>
          <w:p>
            <w:pPr>
              <w:pStyle w:val="Compact"/>
              <w:jc w:val="right"/>
            </w:pPr>
            <w:r>
              <w:t xml:space="preserve">Prespawn Mortality</w:t>
            </w:r>
          </w:p>
        </w:tc>
        <w:tc>
          <w:tcPr/>
          <w:p>
            <w:pPr>
              <w:pStyle w:val="Compact"/>
              <w:jc w:val="right"/>
            </w:pPr>
            <w:r>
              <w:t xml:space="preserve">SE</w:t>
            </w:r>
          </w:p>
        </w:tc>
        <w:tc>
          <w:tcPr/>
          <w:p>
            <w:pPr>
              <w:pStyle w:val="Compact"/>
              <w:jc w:val="right"/>
            </w:pPr>
            <w:r>
              <w:t xml:space="preserve">CV</w:t>
            </w:r>
          </w:p>
        </w:tc>
      </w:tr>
      <w:tr>
        <w:tc>
          <w:tcPr/>
          <w:p>
            <w:pPr>
              <w:pStyle w:val="Compact"/>
              <w:jc w:val="left"/>
            </w:pPr>
            <w:r>
              <w:t xml:space="preserve">Natural</w:t>
            </w:r>
          </w:p>
        </w:tc>
        <w:tc>
          <w:tcPr/>
          <w:p>
            <w:pPr>
              <w:pStyle w:val="Compact"/>
              <w:jc w:val="left"/>
            </w:pPr>
            <w:r>
              <w:t xml:space="preserve">355 (60)</w:t>
            </w:r>
          </w:p>
        </w:tc>
        <w:tc>
          <w:tcPr/>
          <w:p>
            <w:pPr>
              <w:pStyle w:val="Compact"/>
              <w:jc w:val="left"/>
            </w:pPr>
            <w:r>
              <w:t xml:space="preserve">323 (55)</w:t>
            </w:r>
          </w:p>
        </w:tc>
        <w:tc>
          <w:tcPr/>
          <w:p>
            <w:pPr>
              <w:pStyle w:val="Compact"/>
              <w:jc w:val="right"/>
            </w:pPr>
            <w:r>
              <w:t xml:space="preserve">0.090</w:t>
            </w:r>
          </w:p>
        </w:tc>
        <w:tc>
          <w:tcPr/>
          <w:p>
            <w:pPr>
              <w:pStyle w:val="Compact"/>
              <w:jc w:val="right"/>
            </w:pPr>
            <w:r>
              <w:t xml:space="preserve">0.218</w:t>
            </w:r>
          </w:p>
        </w:tc>
        <w:tc>
          <w:tcPr/>
          <w:p>
            <w:pPr>
              <w:pStyle w:val="Compact"/>
              <w:jc w:val="right"/>
            </w:pPr>
            <w:r>
              <w:t xml:space="preserve">2.417</w:t>
            </w:r>
          </w:p>
        </w:tc>
      </w:tr>
      <w:tr>
        <w:tc>
          <w:tcPr/>
          <w:p>
            <w:pPr>
              <w:pStyle w:val="Compact"/>
              <w:jc w:val="left"/>
            </w:pPr>
            <w:r>
              <w:t xml:space="preserve">Hatchery</w:t>
            </w:r>
          </w:p>
        </w:tc>
        <w:tc>
          <w:tcPr/>
          <w:p>
            <w:pPr>
              <w:pStyle w:val="Compact"/>
              <w:jc w:val="left"/>
            </w:pPr>
            <w:r>
              <w:t xml:space="preserve">95 (36)</w:t>
            </w:r>
          </w:p>
        </w:tc>
        <w:tc>
          <w:tcPr/>
          <w:p>
            <w:pPr>
              <w:pStyle w:val="Compact"/>
              <w:jc w:val="left"/>
            </w:pPr>
            <w:r>
              <w:t xml:space="preserve">85 (25)</w:t>
            </w:r>
          </w:p>
        </w:tc>
        <w:tc>
          <w:tcPr/>
          <w:p>
            <w:pPr>
              <w:pStyle w:val="Compact"/>
              <w:jc w:val="right"/>
            </w:pPr>
            <w:r>
              <w:t xml:space="preserve">0.105</w:t>
            </w:r>
          </w:p>
        </w:tc>
        <w:tc>
          <w:tcPr/>
          <w:p>
            <w:pPr>
              <w:pStyle w:val="Compact"/>
              <w:jc w:val="right"/>
            </w:pPr>
            <w:r>
              <w:t xml:space="preserve">0.432</w:t>
            </w:r>
          </w:p>
        </w:tc>
        <w:tc>
          <w:tcPr/>
          <w:p>
            <w:pPr>
              <w:pStyle w:val="Compact"/>
              <w:jc w:val="right"/>
            </w:pPr>
            <w:r>
              <w:t xml:space="preserve">4.106</w:t>
            </w:r>
          </w:p>
        </w:tc>
      </w:tr>
    </w:tbl>
    <w:p>
      <w:r>
        <w:br w:type="page"/>
      </w:r>
    </w:p>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Most of the covariates collected in 2022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2.1</w:t>
      </w:r>
      <w:r>
        <w:t xml:space="preserve">). However, some reaches did not meet the minimum thresholds of number of observed redds or number of weeks with at least one new redd observed, so we only used the GAUC method in three reaches.</w:t>
      </w:r>
    </w:p>
    <w:p>
      <w:pPr>
        <w:pStyle w:val="BodyText"/>
      </w:pPr>
      <w:r>
        <w:t xml:space="preserve">Hatchery and natural origin steelhead PIT-tagged at Priest Rapids dam were not detected in a number of tributaries this year, leading to estimates of zero hatchery spawners in those tributaries (Table</w:t>
      </w:r>
      <w:r>
        <w:t xml:space="preserve"> </w:t>
      </w:r>
      <w:r>
        <w:t xml:space="preserve">3.6</w:t>
      </w:r>
      <w:r>
        <w:t xml:space="preserve">). Because these estimates are based on a sample of the entire Upper Columbia steelhead run, it’s possible a handful of steelhead may have spawned in those tributaries, but it’s potentially more likely that the estimate of zero steelhead spawners in those areas is correct.</w:t>
      </w:r>
    </w:p>
    <w:bookmarkEnd w:id="34"/>
    <w:bookmarkStart w:id="35" w:name="acknowledgements"/>
    <w:p>
      <w:pPr>
        <w:pStyle w:val="Heading1"/>
      </w:pPr>
      <w:r>
        <w:rPr>
          <w:rStyle w:val="SectionNumber"/>
        </w:rPr>
        <w:t xml:space="preserve">5</w:t>
      </w:r>
      <w:r>
        <w:tab/>
      </w:r>
      <w:r>
        <w:t xml:space="preserve">Acknowledgements</w:t>
      </w:r>
    </w:p>
    <w:p>
      <w:pPr>
        <w:pStyle w:val="FirstParagraph"/>
      </w:pPr>
      <w:r>
        <w:t xml:space="preserve">The data for this report was collected by Washington Department of Fish and Wildlife, and funded by Chelan County Public Utility District.</w:t>
      </w:r>
    </w:p>
    <w:p>
      <w:r>
        <w:br w:type="page"/>
      </w:r>
    </w:p>
    <w:bookmarkEnd w:id="35"/>
    <w:bookmarkStart w:id="41" w:name="references"/>
    <w:p>
      <w:pPr>
        <w:pStyle w:val="Heading1"/>
      </w:pPr>
      <w:r>
        <w:rPr>
          <w:rStyle w:val="SectionNumber"/>
        </w:rPr>
        <w:t xml:space="preserve">6</w:t>
      </w:r>
      <w:r>
        <w:tab/>
      </w:r>
      <w:r>
        <w:t xml:space="preserve">References</w:t>
      </w:r>
    </w:p>
    <w:bookmarkStart w:id="40" w:name="refs"/>
    <w:bookmarkStart w:id="36" w:name="ref-Gallagher2007"/>
    <w:p>
      <w:pPr>
        <w:pStyle w:val="Bibliography"/>
      </w:pPr>
      <w:r>
        <w:t xml:space="preserve">Gallagher, S. P., P. K. J. Hahn, and D. H. Johnson. 2007. Salmonid field protocols handbook: Techniques for assessing status and trends in salmon and trout populations. Pages 197–234</w:t>
      </w:r>
      <w:r>
        <w:t xml:space="preserve"> </w:t>
      </w:r>
      <w:r>
        <w:rPr>
          <w:iCs/>
          <w:i/>
        </w:rPr>
        <w:t xml:space="preserve">in</w:t>
      </w:r>
      <w:r>
        <w:t xml:space="preserve"> </w:t>
      </w:r>
      <w:r>
        <w:t xml:space="preserve">D. H. Johnson, editor. American Fisheries Society, Bethesda, Maryland.</w:t>
      </w:r>
    </w:p>
    <w:bookmarkEnd w:id="36"/>
    <w:bookmarkStart w:id="37" w:name="ref-Millar2012"/>
    <w:p>
      <w:pPr>
        <w:pStyle w:val="Bibliography"/>
      </w:pPr>
      <w:r>
        <w:t xml:space="preserve">Millar, R. B., S. McKechnie, and C. E. Jordan. 2012. Simple estimators of salmonid escapement and its variance using a new area-under-the-curve method. Canadian Journal of Fisheries and Aquatic Sciences 69(6):1002–1015.</w:t>
      </w:r>
    </w:p>
    <w:bookmarkEnd w:id="37"/>
    <w:bookmarkStart w:id="38"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8"/>
    <w:bookmarkStart w:id="39" w:name="ref-Waterhouse2020"/>
    <w:p>
      <w:pPr>
        <w:pStyle w:val="Bibliography"/>
      </w:pPr>
      <w:r>
        <w:t xml:space="preserve">Waterhouse, L., J. White, K. See, A. Murdoch, and B. X. Semmens. 2020. A bayesian nested patch occupancy model to estimate steelhead movement and abundance. Ecological Applications.</w:t>
      </w:r>
    </w:p>
    <w:bookmarkEnd w:id="39"/>
    <w:bookmarkEnd w:id="40"/>
    <w:p>
      <w:r>
        <w:br w:type="page"/>
      </w:r>
    </w:p>
    <w:bookmarkEnd w:id="41"/>
    <w:bookmarkStart w:id="42" w:name="appendices"/>
    <w:p>
      <w:pPr>
        <w:pStyle w:val="Heading1"/>
      </w:pPr>
      <w:r>
        <w:t xml:space="preserve">Appendices</w:t>
      </w:r>
    </w:p>
    <w:bookmarkEnd w:id="42"/>
    <w:bookmarkStart w:id="44" w:name="appendix-a"/>
    <w:p>
      <w:pPr>
        <w:pStyle w:val="Heading1"/>
      </w:pPr>
      <w:r>
        <w:rPr>
          <w:rStyle w:val="SectionNumber"/>
        </w:rPr>
        <w:t xml:space="preserve">7</w:t>
      </w:r>
      <w:r>
        <w:tab/>
      </w:r>
      <w:r>
        <w:t xml:space="preserve">Appendix A</w:t>
      </w:r>
    </w:p>
    <w:bookmarkStart w:id="43" w:name="appendA"/>
    <w:p>
      <w:pPr>
        <w:pStyle w:val="Heading2"/>
      </w:pPr>
      <w:r>
        <w:rPr>
          <w:rStyle w:val="SectionNumber"/>
        </w:rPr>
        <w:t xml:space="preserve">7.1</w:t>
      </w:r>
      <w:r>
        <w:tab/>
      </w:r>
      <w:r>
        <w:t xml:space="preserve">Sex Errors at Priest Rapids</w:t>
      </w:r>
    </w:p>
    <w:p>
      <w:pPr>
        <w:pStyle w:val="FirstParagraph"/>
      </w:pPr>
      <w:r>
        <w:t xml:space="preserve">Fish collected for broodstock at various locations throughout the Upper Columbia (e.g.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w:t>
      </w:r>
      <w:r>
        <w:t xml:space="preserve"> </w:t>
      </w:r>
      <w:r>
        <w:t xml:space="preserve">7.1</w:t>
      </w:r>
      <w:r>
        <w:t xml:space="preserve"> </w:t>
      </w:r>
      <w:r>
        <w:t xml:space="preserve">shows the sample sizes and results.</w:t>
      </w:r>
    </w:p>
    <w:p>
      <w:pPr>
        <w:pStyle w:val="BodyText"/>
      </w:pPr>
      <w:r>
        <w:t xml:space="preserve">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p>
      <w:pPr>
        <w:pStyle w:val="TableCaption"/>
      </w:pPr>
      <w:r>
        <w:t xml:space="preserve">Table 7.1: Error rate in sex calls at Priest Rapids.</w:t>
      </w:r>
    </w:p>
    <w:tbl>
      <w:tblPr>
        <w:tblStyle w:val="Table"/>
        <w:tblW w:type="auto" w:w="0"/>
        <w:tblLook w:firstRow="1" w:lastRow="0" w:firstColumn="0" w:lastColumn="0" w:noHBand="0" w:noVBand="0" w:val="0020"/>
        <w:tblCaption w:val="Table 7.1: Error rate in sex calls at Priest Rapids."/>
      </w:tblPr>
      <w:tblGrid>
        <w:gridCol w:w="880"/>
        <w:gridCol w:w="880"/>
        <w:gridCol w:w="880"/>
        <w:gridCol w:w="880"/>
        <w:gridCol w:w="880"/>
        <w:gridCol w:w="880"/>
        <w:gridCol w:w="880"/>
        <w:gridCol w:w="880"/>
        <w:gridCol w:w="880"/>
      </w:tblGrid>
      <w:tr>
        <w:trPr>
          <w:tblHeader w:val="true"/>
        </w:trPr>
        <w:tc>
          <w:tcPr/>
          <w:p>
            <w:pPr>
              <w:pStyle w:val="Compact"/>
              <w:jc w:val="right"/>
            </w:pPr>
            <w:r>
              <w:t xml:space="preserve">Spawn Year</w:t>
            </w:r>
          </w:p>
        </w:tc>
        <w:tc>
          <w:tcPr/>
          <w:p>
            <w:pPr>
              <w:pStyle w:val="Compact"/>
              <w:jc w:val="left"/>
            </w:pPr>
            <w:r>
              <w:t xml:space="preserve">Sex</w:t>
            </w:r>
          </w:p>
        </w:tc>
        <w:tc>
          <w:tcPr/>
          <w:p>
            <w:pPr>
              <w:pStyle w:val="Compact"/>
              <w:jc w:val="right"/>
            </w:pPr>
            <w:r>
              <w:t xml:space="preserve">N Tags</w:t>
            </w:r>
          </w:p>
        </w:tc>
        <w:tc>
          <w:tcPr/>
          <w:p>
            <w:pPr>
              <w:pStyle w:val="Compact"/>
              <w:jc w:val="right"/>
            </w:pPr>
            <w:r>
              <w:t xml:space="preserve">N True</w:t>
            </w:r>
          </w:p>
        </w:tc>
        <w:tc>
          <w:tcPr/>
          <w:p>
            <w:pPr>
              <w:pStyle w:val="Compact"/>
              <w:jc w:val="right"/>
            </w:pPr>
            <w:r>
              <w:t xml:space="preserve">N False</w:t>
            </w:r>
          </w:p>
        </w:tc>
        <w:tc>
          <w:tcPr/>
          <w:p>
            <w:pPr>
              <w:pStyle w:val="Compact"/>
              <w:jc w:val="right"/>
            </w:pPr>
            <w:r>
              <w:t xml:space="preserve">Perc False</w:t>
            </w:r>
          </w:p>
        </w:tc>
        <w:tc>
          <w:tcPr/>
          <w:p>
            <w:pPr>
              <w:pStyle w:val="Compact"/>
              <w:jc w:val="right"/>
            </w:pPr>
            <w:r>
              <w:t xml:space="preserve">Perc SE</w:t>
            </w:r>
          </w:p>
        </w:tc>
        <w:tc>
          <w:tcPr/>
          <w:p>
            <w:pPr>
              <w:pStyle w:val="Compact"/>
              <w:jc w:val="right"/>
            </w:pPr>
            <w:r>
              <w:t xml:space="preserve">LowerCI</w:t>
            </w:r>
          </w:p>
        </w:tc>
        <w:tc>
          <w:tcPr/>
          <w:p>
            <w:pPr>
              <w:pStyle w:val="Compact"/>
              <w:jc w:val="right"/>
            </w:pPr>
            <w:r>
              <w:t xml:space="preserve">UpperCI</w:t>
            </w:r>
          </w:p>
        </w:tc>
      </w:tr>
      <w:tr>
        <w:tc>
          <w:tcPr/>
          <w:p>
            <w:pPr>
              <w:pStyle w:val="Compact"/>
              <w:jc w:val="right"/>
            </w:pPr>
            <w:r>
              <w:t xml:space="preserve">2011</w:t>
            </w:r>
          </w:p>
        </w:tc>
        <w:tc>
          <w:tcPr/>
          <w:p>
            <w:pPr>
              <w:pStyle w:val="Compact"/>
              <w:jc w:val="left"/>
            </w:pPr>
            <w:r>
              <w:t xml:space="preserve">F</w:t>
            </w:r>
          </w:p>
        </w:tc>
        <w:tc>
          <w:tcPr/>
          <w:p>
            <w:pPr>
              <w:pStyle w:val="Compact"/>
              <w:jc w:val="right"/>
            </w:pPr>
            <w:r>
              <w:t xml:space="preserve">22</w:t>
            </w:r>
          </w:p>
        </w:tc>
        <w:tc>
          <w:tcPr/>
          <w:p>
            <w:pPr>
              <w:pStyle w:val="Compact"/>
              <w:jc w:val="right"/>
            </w:pPr>
            <w:r>
              <w:t xml:space="preserve">18</w:t>
            </w:r>
          </w:p>
        </w:tc>
        <w:tc>
          <w:tcPr/>
          <w:p>
            <w:pPr>
              <w:pStyle w:val="Compact"/>
              <w:jc w:val="right"/>
            </w:pPr>
            <w:r>
              <w:t xml:space="preserve">4</w:t>
            </w:r>
          </w:p>
        </w:tc>
        <w:tc>
          <w:tcPr/>
          <w:p>
            <w:pPr>
              <w:pStyle w:val="Compact"/>
              <w:jc w:val="right"/>
            </w:pPr>
            <w:r>
              <w:t xml:space="preserve">0.182</w:t>
            </w:r>
          </w:p>
        </w:tc>
        <w:tc>
          <w:tcPr/>
          <w:p>
            <w:pPr>
              <w:pStyle w:val="Compact"/>
              <w:jc w:val="right"/>
            </w:pPr>
            <w:r>
              <w:t xml:space="preserve">0.082</w:t>
            </w:r>
          </w:p>
        </w:tc>
        <w:tc>
          <w:tcPr/>
          <w:p>
            <w:pPr>
              <w:pStyle w:val="Compact"/>
              <w:jc w:val="right"/>
            </w:pPr>
            <w:r>
              <w:t xml:space="preserve">0.073</w:t>
            </w:r>
          </w:p>
        </w:tc>
        <w:tc>
          <w:tcPr/>
          <w:p>
            <w:pPr>
              <w:pStyle w:val="Compact"/>
              <w:jc w:val="right"/>
            </w:pPr>
            <w:r>
              <w:t xml:space="preserve">0.385</w:t>
            </w:r>
          </w:p>
        </w:tc>
      </w:tr>
      <w:tr>
        <w:tc>
          <w:tcPr/>
          <w:p>
            <w:pPr>
              <w:pStyle w:val="Compact"/>
              <w:jc w:val="right"/>
            </w:pPr>
            <w:r>
              <w:t xml:space="preserve">2011</w:t>
            </w:r>
          </w:p>
        </w:tc>
        <w:tc>
          <w:tcPr/>
          <w:p>
            <w:pPr>
              <w:pStyle w:val="Compact"/>
              <w:jc w:val="left"/>
            </w:pPr>
            <w:r>
              <w:t xml:space="preserve">M</w:t>
            </w:r>
          </w:p>
        </w:tc>
        <w:tc>
          <w:tcPr/>
          <w:p>
            <w:pPr>
              <w:pStyle w:val="Compact"/>
              <w:jc w:val="right"/>
            </w:pPr>
            <w:r>
              <w:t xml:space="preserve">16</w:t>
            </w:r>
          </w:p>
        </w:tc>
        <w:tc>
          <w:tcPr/>
          <w:p>
            <w:pPr>
              <w:pStyle w:val="Compact"/>
              <w:jc w:val="right"/>
            </w:pPr>
            <w:r>
              <w:t xml:space="preserve">14</w:t>
            </w:r>
          </w:p>
        </w:tc>
        <w:tc>
          <w:tcPr/>
          <w:p>
            <w:pPr>
              <w:pStyle w:val="Compact"/>
              <w:jc w:val="right"/>
            </w:pPr>
            <w:r>
              <w:t xml:space="preserve">2</w:t>
            </w:r>
          </w:p>
        </w:tc>
        <w:tc>
          <w:tcPr/>
          <w:p>
            <w:pPr>
              <w:pStyle w:val="Compact"/>
              <w:jc w:val="right"/>
            </w:pPr>
            <w:r>
              <w:t xml:space="preserve">0.125</w:t>
            </w:r>
          </w:p>
        </w:tc>
        <w:tc>
          <w:tcPr/>
          <w:p>
            <w:pPr>
              <w:pStyle w:val="Compact"/>
              <w:jc w:val="right"/>
            </w:pPr>
            <w:r>
              <w:t xml:space="preserve">0.083</w:t>
            </w:r>
          </w:p>
        </w:tc>
        <w:tc>
          <w:tcPr/>
          <w:p>
            <w:pPr>
              <w:pStyle w:val="Compact"/>
              <w:jc w:val="right"/>
            </w:pPr>
            <w:r>
              <w:t xml:space="preserve">0.035</w:t>
            </w:r>
          </w:p>
        </w:tc>
        <w:tc>
          <w:tcPr/>
          <w:p>
            <w:pPr>
              <w:pStyle w:val="Compact"/>
              <w:jc w:val="right"/>
            </w:pPr>
            <w:r>
              <w:t xml:space="preserve">0.360</w:t>
            </w:r>
          </w:p>
        </w:tc>
      </w:tr>
      <w:tr>
        <w:tc>
          <w:tcPr/>
          <w:p>
            <w:pPr>
              <w:pStyle w:val="Compact"/>
              <w:jc w:val="right"/>
            </w:pPr>
            <w:r>
              <w:t xml:space="preserve">2012</w:t>
            </w:r>
          </w:p>
        </w:tc>
        <w:tc>
          <w:tcPr/>
          <w:p>
            <w:pPr>
              <w:pStyle w:val="Compact"/>
              <w:jc w:val="left"/>
            </w:pPr>
            <w:r>
              <w:t xml:space="preserve">F</w:t>
            </w:r>
          </w:p>
        </w:tc>
        <w:tc>
          <w:tcPr/>
          <w:p>
            <w:pPr>
              <w:pStyle w:val="Compact"/>
              <w:jc w:val="right"/>
            </w:pPr>
            <w:r>
              <w:t xml:space="preserve">40</w:t>
            </w:r>
          </w:p>
        </w:tc>
        <w:tc>
          <w:tcPr/>
          <w:p>
            <w:pPr>
              <w:pStyle w:val="Compact"/>
              <w:jc w:val="right"/>
            </w:pPr>
            <w:r>
              <w:t xml:space="preserve">33</w:t>
            </w:r>
          </w:p>
        </w:tc>
        <w:tc>
          <w:tcPr/>
          <w:p>
            <w:pPr>
              <w:pStyle w:val="Compact"/>
              <w:jc w:val="right"/>
            </w:pPr>
            <w:r>
              <w:t xml:space="preserve">7</w:t>
            </w:r>
          </w:p>
        </w:tc>
        <w:tc>
          <w:tcPr/>
          <w:p>
            <w:pPr>
              <w:pStyle w:val="Compact"/>
              <w:jc w:val="right"/>
            </w:pPr>
            <w:r>
              <w:t xml:space="preserve">0.175</w:t>
            </w:r>
          </w:p>
        </w:tc>
        <w:tc>
          <w:tcPr/>
          <w:p>
            <w:pPr>
              <w:pStyle w:val="Compact"/>
              <w:jc w:val="right"/>
            </w:pPr>
            <w:r>
              <w:t xml:space="preserve">0.060</w:t>
            </w:r>
          </w:p>
        </w:tc>
        <w:tc>
          <w:tcPr/>
          <w:p>
            <w:pPr>
              <w:pStyle w:val="Compact"/>
              <w:jc w:val="right"/>
            </w:pPr>
            <w:r>
              <w:t xml:space="preserve">0.087</w:t>
            </w:r>
          </w:p>
        </w:tc>
        <w:tc>
          <w:tcPr/>
          <w:p>
            <w:pPr>
              <w:pStyle w:val="Compact"/>
              <w:jc w:val="right"/>
            </w:pPr>
            <w:r>
              <w:t xml:space="preserve">0.319</w:t>
            </w:r>
          </w:p>
        </w:tc>
      </w:tr>
      <w:tr>
        <w:tc>
          <w:tcPr/>
          <w:p>
            <w:pPr>
              <w:pStyle w:val="Compact"/>
              <w:jc w:val="right"/>
            </w:pPr>
            <w:r>
              <w:t xml:space="preserve">2012</w:t>
            </w:r>
          </w:p>
        </w:tc>
        <w:tc>
          <w:tcPr/>
          <w:p>
            <w:pPr>
              <w:pStyle w:val="Compact"/>
              <w:jc w:val="left"/>
            </w:pPr>
            <w:r>
              <w:t xml:space="preserve">M</w:t>
            </w:r>
          </w:p>
        </w:tc>
        <w:tc>
          <w:tcPr/>
          <w:p>
            <w:pPr>
              <w:pStyle w:val="Compact"/>
              <w:jc w:val="right"/>
            </w:pPr>
            <w:r>
              <w:t xml:space="preserve">20</w:t>
            </w:r>
          </w:p>
        </w:tc>
        <w:tc>
          <w:tcPr/>
          <w:p>
            <w:pPr>
              <w:pStyle w:val="Compact"/>
              <w:jc w:val="right"/>
            </w:pPr>
            <w:r>
              <w:t xml:space="preserve">19</w:t>
            </w:r>
          </w:p>
        </w:tc>
        <w:tc>
          <w:tcPr/>
          <w:p>
            <w:pPr>
              <w:pStyle w:val="Compact"/>
              <w:jc w:val="right"/>
            </w:pPr>
            <w:r>
              <w:t xml:space="preserve">1</w:t>
            </w:r>
          </w:p>
        </w:tc>
        <w:tc>
          <w:tcPr/>
          <w:p>
            <w:pPr>
              <w:pStyle w:val="Compact"/>
              <w:jc w:val="right"/>
            </w:pPr>
            <w:r>
              <w:t xml:space="preserve">0.050</w:t>
            </w:r>
          </w:p>
        </w:tc>
        <w:tc>
          <w:tcPr/>
          <w:p>
            <w:pPr>
              <w:pStyle w:val="Compact"/>
              <w:jc w:val="right"/>
            </w:pPr>
            <w:r>
              <w:t xml:space="preserve">0.049</w:t>
            </w:r>
          </w:p>
        </w:tc>
        <w:tc>
          <w:tcPr/>
          <w:p>
            <w:pPr>
              <w:pStyle w:val="Compact"/>
              <w:jc w:val="right"/>
            </w:pPr>
            <w:r>
              <w:t xml:space="preserve">0.009</w:t>
            </w:r>
          </w:p>
        </w:tc>
        <w:tc>
          <w:tcPr/>
          <w:p>
            <w:pPr>
              <w:pStyle w:val="Compact"/>
              <w:jc w:val="right"/>
            </w:pPr>
            <w:r>
              <w:t xml:space="preserve">0.236</w:t>
            </w:r>
          </w:p>
        </w:tc>
      </w:tr>
      <w:tr>
        <w:tc>
          <w:tcPr/>
          <w:p>
            <w:pPr>
              <w:pStyle w:val="Compact"/>
              <w:jc w:val="right"/>
            </w:pPr>
            <w:r>
              <w:t xml:space="preserve">2013</w:t>
            </w:r>
          </w:p>
        </w:tc>
        <w:tc>
          <w:tcPr/>
          <w:p>
            <w:pPr>
              <w:pStyle w:val="Compact"/>
              <w:jc w:val="left"/>
            </w:pPr>
            <w:r>
              <w:t xml:space="preserve">F</w:t>
            </w:r>
          </w:p>
        </w:tc>
        <w:tc>
          <w:tcPr/>
          <w:p>
            <w:pPr>
              <w:pStyle w:val="Compact"/>
              <w:jc w:val="right"/>
            </w:pPr>
            <w:r>
              <w:t xml:space="preserve">28</w:t>
            </w:r>
          </w:p>
        </w:tc>
        <w:tc>
          <w:tcPr/>
          <w:p>
            <w:pPr>
              <w:pStyle w:val="Compact"/>
              <w:jc w:val="right"/>
            </w:pPr>
            <w:r>
              <w:t xml:space="preserve">26</w:t>
            </w:r>
          </w:p>
        </w:tc>
        <w:tc>
          <w:tcPr/>
          <w:p>
            <w:pPr>
              <w:pStyle w:val="Compact"/>
              <w:jc w:val="right"/>
            </w:pPr>
            <w:r>
              <w:t xml:space="preserve">2</w:t>
            </w:r>
          </w:p>
        </w:tc>
        <w:tc>
          <w:tcPr/>
          <w:p>
            <w:pPr>
              <w:pStyle w:val="Compact"/>
              <w:jc w:val="right"/>
            </w:pPr>
            <w:r>
              <w:t xml:space="preserve">0.071</w:t>
            </w:r>
          </w:p>
        </w:tc>
        <w:tc>
          <w:tcPr/>
          <w:p>
            <w:pPr>
              <w:pStyle w:val="Compact"/>
              <w:jc w:val="right"/>
            </w:pPr>
            <w:r>
              <w:t xml:space="preserve">0.049</w:t>
            </w:r>
          </w:p>
        </w:tc>
        <w:tc>
          <w:tcPr/>
          <w:p>
            <w:pPr>
              <w:pStyle w:val="Compact"/>
              <w:jc w:val="right"/>
            </w:pPr>
            <w:r>
              <w:t xml:space="preserve">0.020</w:t>
            </w:r>
          </w:p>
        </w:tc>
        <w:tc>
          <w:tcPr/>
          <w:p>
            <w:pPr>
              <w:pStyle w:val="Compact"/>
              <w:jc w:val="right"/>
            </w:pPr>
            <w:r>
              <w:t xml:space="preserve">0.226</w:t>
            </w:r>
          </w:p>
        </w:tc>
      </w:tr>
      <w:tr>
        <w:tc>
          <w:tcPr/>
          <w:p>
            <w:pPr>
              <w:pStyle w:val="Compact"/>
              <w:jc w:val="right"/>
            </w:pPr>
            <w:r>
              <w:t xml:space="preserve">2013</w:t>
            </w:r>
          </w:p>
        </w:tc>
        <w:tc>
          <w:tcPr/>
          <w:p>
            <w:pPr>
              <w:pStyle w:val="Compact"/>
              <w:jc w:val="left"/>
            </w:pPr>
            <w:r>
              <w:t xml:space="preserve">M</w:t>
            </w:r>
          </w:p>
        </w:tc>
        <w:tc>
          <w:tcPr/>
          <w:p>
            <w:pPr>
              <w:pStyle w:val="Compact"/>
              <w:jc w:val="right"/>
            </w:pPr>
            <w:r>
              <w:t xml:space="preserve">23</w:t>
            </w:r>
          </w:p>
        </w:tc>
        <w:tc>
          <w:tcPr/>
          <w:p>
            <w:pPr>
              <w:pStyle w:val="Compact"/>
              <w:jc w:val="right"/>
            </w:pPr>
            <w:r>
              <w:t xml:space="preserve">23</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0.143</w:t>
            </w:r>
          </w:p>
        </w:tc>
      </w:tr>
      <w:tr>
        <w:tc>
          <w:tcPr/>
          <w:p>
            <w:pPr>
              <w:pStyle w:val="Compact"/>
              <w:jc w:val="right"/>
            </w:pPr>
            <w:r>
              <w:t xml:space="preserve">2014</w:t>
            </w:r>
          </w:p>
        </w:tc>
        <w:tc>
          <w:tcPr/>
          <w:p>
            <w:pPr>
              <w:pStyle w:val="Compact"/>
              <w:jc w:val="left"/>
            </w:pPr>
            <w:r>
              <w:t xml:space="preserve">F</w:t>
            </w:r>
          </w:p>
        </w:tc>
        <w:tc>
          <w:tcPr/>
          <w:p>
            <w:pPr>
              <w:pStyle w:val="Compact"/>
              <w:jc w:val="right"/>
            </w:pPr>
            <w:r>
              <w:t xml:space="preserve">52</w:t>
            </w:r>
          </w:p>
        </w:tc>
        <w:tc>
          <w:tcPr/>
          <w:p>
            <w:pPr>
              <w:pStyle w:val="Compact"/>
              <w:jc w:val="right"/>
            </w:pPr>
            <w:r>
              <w:t xml:space="preserve">47</w:t>
            </w:r>
          </w:p>
        </w:tc>
        <w:tc>
          <w:tcPr/>
          <w:p>
            <w:pPr>
              <w:pStyle w:val="Compact"/>
              <w:jc w:val="right"/>
            </w:pPr>
            <w:r>
              <w:t xml:space="preserve">5</w:t>
            </w:r>
          </w:p>
        </w:tc>
        <w:tc>
          <w:tcPr/>
          <w:p>
            <w:pPr>
              <w:pStyle w:val="Compact"/>
              <w:jc w:val="right"/>
            </w:pPr>
            <w:r>
              <w:t xml:space="preserve">0.096</w:t>
            </w:r>
          </w:p>
        </w:tc>
        <w:tc>
          <w:tcPr/>
          <w:p>
            <w:pPr>
              <w:pStyle w:val="Compact"/>
              <w:jc w:val="right"/>
            </w:pPr>
            <w:r>
              <w:t xml:space="preserve">0.041</w:t>
            </w:r>
          </w:p>
        </w:tc>
        <w:tc>
          <w:tcPr/>
          <w:p>
            <w:pPr>
              <w:pStyle w:val="Compact"/>
              <w:jc w:val="right"/>
            </w:pPr>
            <w:r>
              <w:t xml:space="preserve">0.042</w:t>
            </w:r>
          </w:p>
        </w:tc>
        <w:tc>
          <w:tcPr/>
          <w:p>
            <w:pPr>
              <w:pStyle w:val="Compact"/>
              <w:jc w:val="right"/>
            </w:pPr>
            <w:r>
              <w:t xml:space="preserve">0.206</w:t>
            </w:r>
          </w:p>
        </w:tc>
      </w:tr>
      <w:tr>
        <w:tc>
          <w:tcPr/>
          <w:p>
            <w:pPr>
              <w:pStyle w:val="Compact"/>
              <w:jc w:val="right"/>
            </w:pPr>
            <w:r>
              <w:t xml:space="preserve">2014</w:t>
            </w:r>
          </w:p>
        </w:tc>
        <w:tc>
          <w:tcPr/>
          <w:p>
            <w:pPr>
              <w:pStyle w:val="Compact"/>
              <w:jc w:val="left"/>
            </w:pPr>
            <w:r>
              <w:t xml:space="preserve">M</w:t>
            </w:r>
          </w:p>
        </w:tc>
        <w:tc>
          <w:tcPr/>
          <w:p>
            <w:pPr>
              <w:pStyle w:val="Compact"/>
              <w:jc w:val="right"/>
            </w:pPr>
            <w:r>
              <w:t xml:space="preserve">55</w:t>
            </w:r>
          </w:p>
        </w:tc>
        <w:tc>
          <w:tcPr/>
          <w:p>
            <w:pPr>
              <w:pStyle w:val="Compact"/>
              <w:jc w:val="right"/>
            </w:pPr>
            <w:r>
              <w:t xml:space="preserve">53</w:t>
            </w:r>
          </w:p>
        </w:tc>
        <w:tc>
          <w:tcPr/>
          <w:p>
            <w:pPr>
              <w:pStyle w:val="Compact"/>
              <w:jc w:val="right"/>
            </w:pPr>
            <w:r>
              <w:t xml:space="preserve">2</w:t>
            </w:r>
          </w:p>
        </w:tc>
        <w:tc>
          <w:tcPr/>
          <w:p>
            <w:pPr>
              <w:pStyle w:val="Compact"/>
              <w:jc w:val="right"/>
            </w:pPr>
            <w:r>
              <w:t xml:space="preserve">0.036</w:t>
            </w:r>
          </w:p>
        </w:tc>
        <w:tc>
          <w:tcPr/>
          <w:p>
            <w:pPr>
              <w:pStyle w:val="Compact"/>
              <w:jc w:val="right"/>
            </w:pPr>
            <w:r>
              <w:t xml:space="preserve">0.025</w:t>
            </w:r>
          </w:p>
        </w:tc>
        <w:tc>
          <w:tcPr/>
          <w:p>
            <w:pPr>
              <w:pStyle w:val="Compact"/>
              <w:jc w:val="right"/>
            </w:pPr>
            <w:r>
              <w:t xml:space="preserve">0.010</w:t>
            </w:r>
          </w:p>
        </w:tc>
        <w:tc>
          <w:tcPr/>
          <w:p>
            <w:pPr>
              <w:pStyle w:val="Compact"/>
              <w:jc w:val="right"/>
            </w:pPr>
            <w:r>
              <w:t xml:space="preserve">0.123</w:t>
            </w:r>
          </w:p>
        </w:tc>
      </w:tr>
      <w:tr>
        <w:tc>
          <w:tcPr/>
          <w:p>
            <w:pPr>
              <w:pStyle w:val="Compact"/>
              <w:jc w:val="right"/>
            </w:pPr>
            <w:r>
              <w:t xml:space="preserve">2015</w:t>
            </w:r>
          </w:p>
        </w:tc>
        <w:tc>
          <w:tcPr/>
          <w:p>
            <w:pPr>
              <w:pStyle w:val="Compact"/>
              <w:jc w:val="left"/>
            </w:pPr>
            <w:r>
              <w:t xml:space="preserve">F</w:t>
            </w:r>
          </w:p>
        </w:tc>
        <w:tc>
          <w:tcPr/>
          <w:p>
            <w:pPr>
              <w:pStyle w:val="Compact"/>
              <w:jc w:val="right"/>
            </w:pPr>
            <w:r>
              <w:t xml:space="preserve">73</w:t>
            </w:r>
          </w:p>
        </w:tc>
        <w:tc>
          <w:tcPr/>
          <w:p>
            <w:pPr>
              <w:pStyle w:val="Compact"/>
              <w:jc w:val="right"/>
            </w:pPr>
            <w:r>
              <w:t xml:space="preserve">69</w:t>
            </w:r>
          </w:p>
        </w:tc>
        <w:tc>
          <w:tcPr/>
          <w:p>
            <w:pPr>
              <w:pStyle w:val="Compact"/>
              <w:jc w:val="right"/>
            </w:pPr>
            <w:r>
              <w:t xml:space="preserve">4</w:t>
            </w:r>
          </w:p>
        </w:tc>
        <w:tc>
          <w:tcPr/>
          <w:p>
            <w:pPr>
              <w:pStyle w:val="Compact"/>
              <w:jc w:val="right"/>
            </w:pPr>
            <w:r>
              <w:t xml:space="preserve">0.055</w:t>
            </w:r>
          </w:p>
        </w:tc>
        <w:tc>
          <w:tcPr/>
          <w:p>
            <w:pPr>
              <w:pStyle w:val="Compact"/>
              <w:jc w:val="right"/>
            </w:pPr>
            <w:r>
              <w:t xml:space="preserve">0.027</w:t>
            </w:r>
          </w:p>
        </w:tc>
        <w:tc>
          <w:tcPr/>
          <w:p>
            <w:pPr>
              <w:pStyle w:val="Compact"/>
              <w:jc w:val="right"/>
            </w:pPr>
            <w:r>
              <w:t xml:space="preserve">0.022</w:t>
            </w:r>
          </w:p>
        </w:tc>
        <w:tc>
          <w:tcPr/>
          <w:p>
            <w:pPr>
              <w:pStyle w:val="Compact"/>
              <w:jc w:val="right"/>
            </w:pPr>
            <w:r>
              <w:t xml:space="preserve">0.133</w:t>
            </w:r>
          </w:p>
        </w:tc>
      </w:tr>
      <w:tr>
        <w:tc>
          <w:tcPr/>
          <w:p>
            <w:pPr>
              <w:pStyle w:val="Compact"/>
              <w:jc w:val="right"/>
            </w:pPr>
            <w:r>
              <w:t xml:space="preserve">2015</w:t>
            </w:r>
          </w:p>
        </w:tc>
        <w:tc>
          <w:tcPr/>
          <w:p>
            <w:pPr>
              <w:pStyle w:val="Compact"/>
              <w:jc w:val="left"/>
            </w:pPr>
            <w:r>
              <w:t xml:space="preserve">M</w:t>
            </w:r>
          </w:p>
        </w:tc>
        <w:tc>
          <w:tcPr/>
          <w:p>
            <w:pPr>
              <w:pStyle w:val="Compact"/>
              <w:jc w:val="right"/>
            </w:pPr>
            <w:r>
              <w:t xml:space="preserve">62</w:t>
            </w:r>
          </w:p>
        </w:tc>
        <w:tc>
          <w:tcPr/>
          <w:p>
            <w:pPr>
              <w:pStyle w:val="Compact"/>
              <w:jc w:val="right"/>
            </w:pPr>
            <w:r>
              <w:t xml:space="preserve">59</w:t>
            </w:r>
          </w:p>
        </w:tc>
        <w:tc>
          <w:tcPr/>
          <w:p>
            <w:pPr>
              <w:pStyle w:val="Compact"/>
              <w:jc w:val="right"/>
            </w:pPr>
            <w:r>
              <w:t xml:space="preserve">3</w:t>
            </w:r>
          </w:p>
        </w:tc>
        <w:tc>
          <w:tcPr/>
          <w:p>
            <w:pPr>
              <w:pStyle w:val="Compact"/>
              <w:jc w:val="right"/>
            </w:pPr>
            <w:r>
              <w:t xml:space="preserve">0.048</w:t>
            </w:r>
          </w:p>
        </w:tc>
        <w:tc>
          <w:tcPr/>
          <w:p>
            <w:pPr>
              <w:pStyle w:val="Compact"/>
              <w:jc w:val="right"/>
            </w:pPr>
            <w:r>
              <w:t xml:space="preserve">0.027</w:t>
            </w:r>
          </w:p>
        </w:tc>
        <w:tc>
          <w:tcPr/>
          <w:p>
            <w:pPr>
              <w:pStyle w:val="Compact"/>
              <w:jc w:val="right"/>
            </w:pPr>
            <w:r>
              <w:t xml:space="preserve">0.017</w:t>
            </w:r>
          </w:p>
        </w:tc>
        <w:tc>
          <w:tcPr/>
          <w:p>
            <w:pPr>
              <w:pStyle w:val="Compact"/>
              <w:jc w:val="right"/>
            </w:pPr>
            <w:r>
              <w:t xml:space="preserve">0.133</w:t>
            </w:r>
          </w:p>
        </w:tc>
      </w:tr>
      <w:tr>
        <w:tc>
          <w:tcPr/>
          <w:p>
            <w:pPr>
              <w:pStyle w:val="Compact"/>
              <w:jc w:val="right"/>
            </w:pPr>
            <w:r>
              <w:t xml:space="preserve">2016</w:t>
            </w:r>
          </w:p>
        </w:tc>
        <w:tc>
          <w:tcPr/>
          <w:p>
            <w:pPr>
              <w:pStyle w:val="Compact"/>
              <w:jc w:val="left"/>
            </w:pPr>
            <w:r>
              <w:t xml:space="preserve">F</w:t>
            </w:r>
          </w:p>
        </w:tc>
        <w:tc>
          <w:tcPr/>
          <w:p>
            <w:pPr>
              <w:pStyle w:val="Compact"/>
              <w:jc w:val="right"/>
            </w:pPr>
            <w:r>
              <w:t xml:space="preserve">69</w:t>
            </w:r>
          </w:p>
        </w:tc>
        <w:tc>
          <w:tcPr/>
          <w:p>
            <w:pPr>
              <w:pStyle w:val="Compact"/>
              <w:jc w:val="right"/>
            </w:pPr>
            <w:r>
              <w:t xml:space="preserve">63</w:t>
            </w:r>
          </w:p>
        </w:tc>
        <w:tc>
          <w:tcPr/>
          <w:p>
            <w:pPr>
              <w:pStyle w:val="Compact"/>
              <w:jc w:val="right"/>
            </w:pPr>
            <w:r>
              <w:t xml:space="preserve">6</w:t>
            </w:r>
          </w:p>
        </w:tc>
        <w:tc>
          <w:tcPr/>
          <w:p>
            <w:pPr>
              <w:pStyle w:val="Compact"/>
              <w:jc w:val="right"/>
            </w:pPr>
            <w:r>
              <w:t xml:space="preserve">0.087</w:t>
            </w:r>
          </w:p>
        </w:tc>
        <w:tc>
          <w:tcPr/>
          <w:p>
            <w:pPr>
              <w:pStyle w:val="Compact"/>
              <w:jc w:val="right"/>
            </w:pPr>
            <w:r>
              <w:t xml:space="preserve">0.034</w:t>
            </w:r>
          </w:p>
        </w:tc>
        <w:tc>
          <w:tcPr/>
          <w:p>
            <w:pPr>
              <w:pStyle w:val="Compact"/>
              <w:jc w:val="right"/>
            </w:pPr>
            <w:r>
              <w:t xml:space="preserve">0.040</w:t>
            </w:r>
          </w:p>
        </w:tc>
        <w:tc>
          <w:tcPr/>
          <w:p>
            <w:pPr>
              <w:pStyle w:val="Compact"/>
              <w:jc w:val="right"/>
            </w:pPr>
            <w:r>
              <w:t xml:space="preserve">0.177</w:t>
            </w:r>
          </w:p>
        </w:tc>
      </w:tr>
      <w:tr>
        <w:tc>
          <w:tcPr/>
          <w:p>
            <w:pPr>
              <w:pStyle w:val="Compact"/>
              <w:jc w:val="right"/>
            </w:pPr>
            <w:r>
              <w:t xml:space="preserve">2016</w:t>
            </w:r>
          </w:p>
        </w:tc>
        <w:tc>
          <w:tcPr/>
          <w:p>
            <w:pPr>
              <w:pStyle w:val="Compact"/>
              <w:jc w:val="left"/>
            </w:pPr>
            <w:r>
              <w:t xml:space="preserve">M</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0.003</w:t>
            </w:r>
          </w:p>
        </w:tc>
        <w:tc>
          <w:tcPr/>
          <w:p>
            <w:pPr>
              <w:pStyle w:val="Compact"/>
              <w:jc w:val="right"/>
            </w:pPr>
            <w:r>
              <w:t xml:space="preserve">0.081</w:t>
            </w:r>
          </w:p>
        </w:tc>
      </w:tr>
      <w:tr>
        <w:tc>
          <w:tcPr/>
          <w:p>
            <w:pPr>
              <w:pStyle w:val="Compact"/>
              <w:jc w:val="right"/>
            </w:pPr>
            <w:r>
              <w:t xml:space="preserve">2017</w:t>
            </w:r>
          </w:p>
        </w:tc>
        <w:tc>
          <w:tcPr/>
          <w:p>
            <w:pPr>
              <w:pStyle w:val="Compact"/>
              <w:jc w:val="left"/>
            </w:pPr>
            <w:r>
              <w:t xml:space="preserve">F</w:t>
            </w:r>
          </w:p>
        </w:tc>
        <w:tc>
          <w:tcPr/>
          <w:p>
            <w:pPr>
              <w:pStyle w:val="Compact"/>
              <w:jc w:val="right"/>
            </w:pPr>
            <w:r>
              <w:t xml:space="preserve">77</w:t>
            </w:r>
          </w:p>
        </w:tc>
        <w:tc>
          <w:tcPr/>
          <w:p>
            <w:pPr>
              <w:pStyle w:val="Compact"/>
              <w:jc w:val="right"/>
            </w:pPr>
            <w:r>
              <w:t xml:space="preserve">76</w:t>
            </w:r>
          </w:p>
        </w:tc>
        <w:tc>
          <w:tcPr/>
          <w:p>
            <w:pPr>
              <w:pStyle w:val="Compact"/>
              <w:jc w:val="right"/>
            </w:pPr>
            <w:r>
              <w:t xml:space="preserve">1</w:t>
            </w:r>
          </w:p>
        </w:tc>
        <w:tc>
          <w:tcPr/>
          <w:p>
            <w:pPr>
              <w:pStyle w:val="Compact"/>
              <w:jc w:val="right"/>
            </w:pPr>
            <w:r>
              <w:t xml:space="preserve">0.013</w:t>
            </w:r>
          </w:p>
        </w:tc>
        <w:tc>
          <w:tcPr/>
          <w:p>
            <w:pPr>
              <w:pStyle w:val="Compact"/>
              <w:jc w:val="right"/>
            </w:pPr>
            <w:r>
              <w:t xml:space="preserve">0.013</w:t>
            </w:r>
          </w:p>
        </w:tc>
        <w:tc>
          <w:tcPr/>
          <w:p>
            <w:pPr>
              <w:pStyle w:val="Compact"/>
              <w:jc w:val="right"/>
            </w:pPr>
            <w:r>
              <w:t xml:space="preserve">0.002</w:t>
            </w:r>
          </w:p>
        </w:tc>
        <w:tc>
          <w:tcPr/>
          <w:p>
            <w:pPr>
              <w:pStyle w:val="Compact"/>
              <w:jc w:val="right"/>
            </w:pPr>
            <w:r>
              <w:t xml:space="preserve">0.070</w:t>
            </w:r>
          </w:p>
        </w:tc>
      </w:tr>
      <w:tr>
        <w:tc>
          <w:tcPr/>
          <w:p>
            <w:pPr>
              <w:pStyle w:val="Compact"/>
              <w:jc w:val="right"/>
            </w:pPr>
            <w:r>
              <w:t xml:space="preserve">2017</w:t>
            </w:r>
          </w:p>
        </w:tc>
        <w:tc>
          <w:tcPr/>
          <w:p>
            <w:pPr>
              <w:pStyle w:val="Compact"/>
              <w:jc w:val="left"/>
            </w:pPr>
            <w:r>
              <w:t xml:space="preserve">M</w:t>
            </w:r>
          </w:p>
        </w:tc>
        <w:tc>
          <w:tcPr/>
          <w:p>
            <w:pPr>
              <w:pStyle w:val="Compact"/>
              <w:jc w:val="right"/>
            </w:pPr>
            <w:r>
              <w:t xml:space="preserve">47</w:t>
            </w:r>
          </w:p>
        </w:tc>
        <w:tc>
          <w:tcPr/>
          <w:p>
            <w:pPr>
              <w:pStyle w:val="Compact"/>
              <w:jc w:val="right"/>
            </w:pPr>
            <w:r>
              <w:t xml:space="preserve">46</w:t>
            </w:r>
          </w:p>
        </w:tc>
        <w:tc>
          <w:tcPr/>
          <w:p>
            <w:pPr>
              <w:pStyle w:val="Compact"/>
              <w:jc w:val="right"/>
            </w:pPr>
            <w:r>
              <w:t xml:space="preserve">1</w:t>
            </w:r>
          </w:p>
        </w:tc>
        <w:tc>
          <w:tcPr/>
          <w:p>
            <w:pPr>
              <w:pStyle w:val="Compact"/>
              <w:jc w:val="right"/>
            </w:pPr>
            <w:r>
              <w:t xml:space="preserve">0.021</w:t>
            </w:r>
          </w:p>
        </w:tc>
        <w:tc>
          <w:tcPr/>
          <w:p>
            <w:pPr>
              <w:pStyle w:val="Compact"/>
              <w:jc w:val="right"/>
            </w:pPr>
            <w:r>
              <w:t xml:space="preserve">0.021</w:t>
            </w:r>
          </w:p>
        </w:tc>
        <w:tc>
          <w:tcPr/>
          <w:p>
            <w:pPr>
              <w:pStyle w:val="Compact"/>
              <w:jc w:val="right"/>
            </w:pPr>
            <w:r>
              <w:t xml:space="preserve">0.004</w:t>
            </w:r>
          </w:p>
        </w:tc>
        <w:tc>
          <w:tcPr/>
          <w:p>
            <w:pPr>
              <w:pStyle w:val="Compact"/>
              <w:jc w:val="right"/>
            </w:pPr>
            <w:r>
              <w:t xml:space="preserve">0.111</w:t>
            </w:r>
          </w:p>
        </w:tc>
      </w:tr>
      <w:tr>
        <w:tc>
          <w:tcPr/>
          <w:p>
            <w:pPr>
              <w:pStyle w:val="Compact"/>
              <w:jc w:val="right"/>
            </w:pPr>
            <w:r>
              <w:t xml:space="preserve">2018</w:t>
            </w:r>
          </w:p>
        </w:tc>
        <w:tc>
          <w:tcPr/>
          <w:p>
            <w:pPr>
              <w:pStyle w:val="Compact"/>
              <w:jc w:val="left"/>
            </w:pPr>
            <w:r>
              <w:t xml:space="preserve">F</w:t>
            </w:r>
          </w:p>
        </w:tc>
        <w:tc>
          <w:tcPr/>
          <w:p>
            <w:pPr>
              <w:pStyle w:val="Compact"/>
              <w:jc w:val="right"/>
            </w:pPr>
            <w:r>
              <w:t xml:space="preserve">85</w:t>
            </w:r>
          </w:p>
        </w:tc>
        <w:tc>
          <w:tcPr/>
          <w:p>
            <w:pPr>
              <w:pStyle w:val="Compact"/>
              <w:jc w:val="right"/>
            </w:pPr>
            <w:r>
              <w:t xml:space="preserve">79</w:t>
            </w:r>
          </w:p>
        </w:tc>
        <w:tc>
          <w:tcPr/>
          <w:p>
            <w:pPr>
              <w:pStyle w:val="Compact"/>
              <w:jc w:val="right"/>
            </w:pPr>
            <w:r>
              <w:t xml:space="preserve">6</w:t>
            </w:r>
          </w:p>
        </w:tc>
        <w:tc>
          <w:tcPr/>
          <w:p>
            <w:pPr>
              <w:pStyle w:val="Compact"/>
              <w:jc w:val="right"/>
            </w:pPr>
            <w:r>
              <w:t xml:space="preserve">0.071</w:t>
            </w:r>
          </w:p>
        </w:tc>
        <w:tc>
          <w:tcPr/>
          <w:p>
            <w:pPr>
              <w:pStyle w:val="Compact"/>
              <w:jc w:val="right"/>
            </w:pPr>
            <w:r>
              <w:t xml:space="preserve">0.028</w:t>
            </w:r>
          </w:p>
        </w:tc>
        <w:tc>
          <w:tcPr/>
          <w:p>
            <w:pPr>
              <w:pStyle w:val="Compact"/>
              <w:jc w:val="right"/>
            </w:pPr>
            <w:r>
              <w:t xml:space="preserve">0.033</w:t>
            </w:r>
          </w:p>
        </w:tc>
        <w:tc>
          <w:tcPr/>
          <w:p>
            <w:pPr>
              <w:pStyle w:val="Compact"/>
              <w:jc w:val="right"/>
            </w:pPr>
            <w:r>
              <w:t xml:space="preserve">0.146</w:t>
            </w:r>
          </w:p>
        </w:tc>
      </w:tr>
      <w:tr>
        <w:tc>
          <w:tcPr/>
          <w:p>
            <w:pPr>
              <w:pStyle w:val="Compact"/>
              <w:jc w:val="right"/>
            </w:pPr>
            <w:r>
              <w:t xml:space="preserve">2018</w:t>
            </w:r>
          </w:p>
        </w:tc>
        <w:tc>
          <w:tcPr/>
          <w:p>
            <w:pPr>
              <w:pStyle w:val="Compact"/>
              <w:jc w:val="left"/>
            </w:pPr>
            <w:r>
              <w:t xml:space="preserve">M</w:t>
            </w:r>
          </w:p>
        </w:tc>
        <w:tc>
          <w:tcPr/>
          <w:p>
            <w:pPr>
              <w:pStyle w:val="Compact"/>
              <w:jc w:val="right"/>
            </w:pPr>
            <w:r>
              <w:t xml:space="preserve">79</w:t>
            </w:r>
          </w:p>
        </w:tc>
        <w:tc>
          <w:tcPr/>
          <w:p>
            <w:pPr>
              <w:pStyle w:val="Compact"/>
              <w:jc w:val="right"/>
            </w:pPr>
            <w:r>
              <w:t xml:space="preserve">77</w:t>
            </w:r>
          </w:p>
        </w:tc>
        <w:tc>
          <w:tcPr/>
          <w:p>
            <w:pPr>
              <w:pStyle w:val="Compact"/>
              <w:jc w:val="right"/>
            </w:pPr>
            <w:r>
              <w:t xml:space="preserve">2</w:t>
            </w:r>
          </w:p>
        </w:tc>
        <w:tc>
          <w:tcPr/>
          <w:p>
            <w:pPr>
              <w:pStyle w:val="Compact"/>
              <w:jc w:val="right"/>
            </w:pPr>
            <w:r>
              <w:t xml:space="preserve">0.025</w:t>
            </w:r>
          </w:p>
        </w:tc>
        <w:tc>
          <w:tcPr/>
          <w:p>
            <w:pPr>
              <w:pStyle w:val="Compact"/>
              <w:jc w:val="right"/>
            </w:pPr>
            <w:r>
              <w:t xml:space="preserve">0.018</w:t>
            </w:r>
          </w:p>
        </w:tc>
        <w:tc>
          <w:tcPr/>
          <w:p>
            <w:pPr>
              <w:pStyle w:val="Compact"/>
              <w:jc w:val="right"/>
            </w:pPr>
            <w:r>
              <w:t xml:space="preserve">0.007</w:t>
            </w:r>
          </w:p>
        </w:tc>
        <w:tc>
          <w:tcPr/>
          <w:p>
            <w:pPr>
              <w:pStyle w:val="Compact"/>
              <w:jc w:val="right"/>
            </w:pPr>
            <w:r>
              <w:t xml:space="preserve">0.088</w:t>
            </w:r>
          </w:p>
        </w:tc>
      </w:tr>
      <w:tr>
        <w:tc>
          <w:tcPr/>
          <w:p>
            <w:pPr>
              <w:pStyle w:val="Compact"/>
              <w:jc w:val="right"/>
            </w:pPr>
            <w:r>
              <w:t xml:space="preserve">2019</w:t>
            </w:r>
          </w:p>
        </w:tc>
        <w:tc>
          <w:tcPr/>
          <w:p>
            <w:pPr>
              <w:pStyle w:val="Compact"/>
              <w:jc w:val="left"/>
            </w:pPr>
            <w:r>
              <w:t xml:space="preserve">F</w:t>
            </w:r>
          </w:p>
        </w:tc>
        <w:tc>
          <w:tcPr/>
          <w:p>
            <w:pPr>
              <w:pStyle w:val="Compact"/>
              <w:jc w:val="right"/>
            </w:pPr>
            <w:r>
              <w:t xml:space="preserve">61</w:t>
            </w:r>
          </w:p>
        </w:tc>
        <w:tc>
          <w:tcPr/>
          <w:p>
            <w:pPr>
              <w:pStyle w:val="Compact"/>
              <w:jc w:val="right"/>
            </w:pPr>
            <w:r>
              <w:t xml:space="preserve">55</w:t>
            </w:r>
          </w:p>
        </w:tc>
        <w:tc>
          <w:tcPr/>
          <w:p>
            <w:pPr>
              <w:pStyle w:val="Compact"/>
              <w:jc w:val="right"/>
            </w:pPr>
            <w:r>
              <w:t xml:space="preserve">6</w:t>
            </w:r>
          </w:p>
        </w:tc>
        <w:tc>
          <w:tcPr/>
          <w:p>
            <w:pPr>
              <w:pStyle w:val="Compact"/>
              <w:jc w:val="right"/>
            </w:pPr>
            <w:r>
              <w:t xml:space="preserve">0.098</w:t>
            </w:r>
          </w:p>
        </w:tc>
        <w:tc>
          <w:tcPr/>
          <w:p>
            <w:pPr>
              <w:pStyle w:val="Compact"/>
              <w:jc w:val="right"/>
            </w:pPr>
            <w:r>
              <w:t xml:space="preserve">0.038</w:t>
            </w:r>
          </w:p>
        </w:tc>
        <w:tc>
          <w:tcPr/>
          <w:p>
            <w:pPr>
              <w:pStyle w:val="Compact"/>
              <w:jc w:val="right"/>
            </w:pPr>
            <w:r>
              <w:t xml:space="preserve">0.046</w:t>
            </w:r>
          </w:p>
        </w:tc>
        <w:tc>
          <w:tcPr/>
          <w:p>
            <w:pPr>
              <w:pStyle w:val="Compact"/>
              <w:jc w:val="right"/>
            </w:pPr>
            <w:r>
              <w:t xml:space="preserve">0.198</w:t>
            </w:r>
          </w:p>
        </w:tc>
      </w:tr>
      <w:tr>
        <w:tc>
          <w:tcPr/>
          <w:p>
            <w:pPr>
              <w:pStyle w:val="Compact"/>
              <w:jc w:val="right"/>
            </w:pPr>
            <w:r>
              <w:t xml:space="preserve">2019</w:t>
            </w:r>
          </w:p>
        </w:tc>
        <w:tc>
          <w:tcPr/>
          <w:p>
            <w:pPr>
              <w:pStyle w:val="Compact"/>
              <w:jc w:val="left"/>
            </w:pPr>
            <w:r>
              <w:t xml:space="preserve">M</w:t>
            </w:r>
          </w:p>
        </w:tc>
        <w:tc>
          <w:tcPr/>
          <w:p>
            <w:pPr>
              <w:pStyle w:val="Compact"/>
              <w:jc w:val="right"/>
            </w:pPr>
            <w:r>
              <w:t xml:space="preserve">34</w:t>
            </w:r>
          </w:p>
        </w:tc>
        <w:tc>
          <w:tcPr/>
          <w:p>
            <w:pPr>
              <w:pStyle w:val="Compact"/>
              <w:jc w:val="right"/>
            </w:pPr>
            <w:r>
              <w:t xml:space="preserve">33</w:t>
            </w:r>
          </w:p>
        </w:tc>
        <w:tc>
          <w:tcPr/>
          <w:p>
            <w:pPr>
              <w:pStyle w:val="Compact"/>
              <w:jc w:val="right"/>
            </w:pPr>
            <w:r>
              <w:t xml:space="preserve">1</w:t>
            </w:r>
          </w:p>
        </w:tc>
        <w:tc>
          <w:tcPr/>
          <w:p>
            <w:pPr>
              <w:pStyle w:val="Compact"/>
              <w:jc w:val="right"/>
            </w:pPr>
            <w:r>
              <w:t xml:space="preserve">0.029</w:t>
            </w:r>
          </w:p>
        </w:tc>
        <w:tc>
          <w:tcPr/>
          <w:p>
            <w:pPr>
              <w:pStyle w:val="Compact"/>
              <w:jc w:val="right"/>
            </w:pPr>
            <w:r>
              <w:t xml:space="preserve">0.029</w:t>
            </w:r>
          </w:p>
        </w:tc>
        <w:tc>
          <w:tcPr/>
          <w:p>
            <w:pPr>
              <w:pStyle w:val="Compact"/>
              <w:jc w:val="right"/>
            </w:pPr>
            <w:r>
              <w:t xml:space="preserve">0.005</w:t>
            </w:r>
          </w:p>
        </w:tc>
        <w:tc>
          <w:tcPr/>
          <w:p>
            <w:pPr>
              <w:pStyle w:val="Compact"/>
              <w:jc w:val="right"/>
            </w:pPr>
            <w:r>
              <w:t xml:space="preserve">0.149</w:t>
            </w:r>
          </w:p>
        </w:tc>
      </w:tr>
      <w:tr>
        <w:tc>
          <w:tcPr/>
          <w:p>
            <w:pPr>
              <w:pStyle w:val="Compact"/>
              <w:jc w:val="right"/>
            </w:pPr>
            <w:r>
              <w:t xml:space="preserve">2020</w:t>
            </w:r>
          </w:p>
        </w:tc>
        <w:tc>
          <w:tcPr/>
          <w:p>
            <w:pPr>
              <w:pStyle w:val="Compact"/>
              <w:jc w:val="left"/>
            </w:pPr>
            <w:r>
              <w:t xml:space="preserve">F</w:t>
            </w:r>
          </w:p>
        </w:tc>
        <w:tc>
          <w:tcPr/>
          <w:p>
            <w:pPr>
              <w:pStyle w:val="Compact"/>
              <w:jc w:val="right"/>
            </w:pPr>
            <w:r>
              <w:t xml:space="preserve">38</w:t>
            </w:r>
          </w:p>
        </w:tc>
        <w:tc>
          <w:tcPr/>
          <w:p>
            <w:pPr>
              <w:pStyle w:val="Compact"/>
              <w:jc w:val="right"/>
            </w:pPr>
            <w:r>
              <w:t xml:space="preserve">31</w:t>
            </w:r>
          </w:p>
        </w:tc>
        <w:tc>
          <w:tcPr/>
          <w:p>
            <w:pPr>
              <w:pStyle w:val="Compact"/>
              <w:jc w:val="right"/>
            </w:pPr>
            <w:r>
              <w:t xml:space="preserve">7</w:t>
            </w:r>
          </w:p>
        </w:tc>
        <w:tc>
          <w:tcPr/>
          <w:p>
            <w:pPr>
              <w:pStyle w:val="Compact"/>
              <w:jc w:val="right"/>
            </w:pPr>
            <w:r>
              <w:t xml:space="preserve">0.184</w:t>
            </w:r>
          </w:p>
        </w:tc>
        <w:tc>
          <w:tcPr/>
          <w:p>
            <w:pPr>
              <w:pStyle w:val="Compact"/>
              <w:jc w:val="right"/>
            </w:pPr>
            <w:r>
              <w:t xml:space="preserve">0.063</w:t>
            </w:r>
          </w:p>
        </w:tc>
        <w:tc>
          <w:tcPr/>
          <w:p>
            <w:pPr>
              <w:pStyle w:val="Compact"/>
              <w:jc w:val="right"/>
            </w:pPr>
            <w:r>
              <w:t xml:space="preserve">0.092</w:t>
            </w:r>
          </w:p>
        </w:tc>
        <w:tc>
          <w:tcPr/>
          <w:p>
            <w:pPr>
              <w:pStyle w:val="Compact"/>
              <w:jc w:val="right"/>
            </w:pPr>
            <w:r>
              <w:t xml:space="preserve">0.334</w:t>
            </w:r>
          </w:p>
        </w:tc>
      </w:tr>
      <w:tr>
        <w:tc>
          <w:tcPr/>
          <w:p>
            <w:pPr>
              <w:pStyle w:val="Compact"/>
              <w:jc w:val="right"/>
            </w:pPr>
            <w:r>
              <w:t xml:space="preserve">2020</w:t>
            </w:r>
          </w:p>
        </w:tc>
        <w:tc>
          <w:tcPr/>
          <w:p>
            <w:pPr>
              <w:pStyle w:val="Compact"/>
              <w:jc w:val="left"/>
            </w:pPr>
            <w:r>
              <w:t xml:space="preserve">M</w:t>
            </w:r>
          </w:p>
        </w:tc>
        <w:tc>
          <w:tcPr/>
          <w:p>
            <w:pPr>
              <w:pStyle w:val="Compact"/>
              <w:jc w:val="right"/>
            </w:pPr>
            <w:r>
              <w:t xml:space="preserve">33</w:t>
            </w:r>
          </w:p>
        </w:tc>
        <w:tc>
          <w:tcPr/>
          <w:p>
            <w:pPr>
              <w:pStyle w:val="Compact"/>
              <w:jc w:val="right"/>
            </w:pPr>
            <w:r>
              <w:t xml:space="preserve">32</w:t>
            </w:r>
          </w:p>
        </w:tc>
        <w:tc>
          <w:tcPr/>
          <w:p>
            <w:pPr>
              <w:pStyle w:val="Compact"/>
              <w:jc w:val="right"/>
            </w:pPr>
            <w:r>
              <w:t xml:space="preserve">2</w:t>
            </w:r>
          </w:p>
        </w:tc>
        <w:tc>
          <w:tcPr/>
          <w:p>
            <w:pPr>
              <w:pStyle w:val="Compact"/>
              <w:jc w:val="right"/>
            </w:pPr>
            <w:r>
              <w:t xml:space="preserve">0.061</w:t>
            </w:r>
          </w:p>
        </w:tc>
        <w:tc>
          <w:tcPr/>
          <w:p>
            <w:pPr>
              <w:pStyle w:val="Compact"/>
              <w:jc w:val="right"/>
            </w:pPr>
            <w:r>
              <w:t xml:space="preserve">0.042</w:t>
            </w:r>
          </w:p>
        </w:tc>
        <w:tc>
          <w:tcPr/>
          <w:p>
            <w:pPr>
              <w:pStyle w:val="Compact"/>
              <w:jc w:val="right"/>
            </w:pPr>
            <w:r>
              <w:t xml:space="preserve">0.017</w:t>
            </w:r>
          </w:p>
        </w:tc>
        <w:tc>
          <w:tcPr/>
          <w:p>
            <w:pPr>
              <w:pStyle w:val="Compact"/>
              <w:jc w:val="right"/>
            </w:pPr>
            <w:r>
              <w:t xml:space="preserve">0.196</w:t>
            </w:r>
          </w:p>
        </w:tc>
      </w:tr>
      <w:tr>
        <w:tc>
          <w:tcPr/>
          <w:p>
            <w:pPr>
              <w:pStyle w:val="Compact"/>
              <w:jc w:val="right"/>
            </w:pPr>
            <w:r>
              <w:t xml:space="preserve">2021</w:t>
            </w:r>
          </w:p>
        </w:tc>
        <w:tc>
          <w:tcPr/>
          <w:p>
            <w:pPr>
              <w:pStyle w:val="Compact"/>
              <w:jc w:val="left"/>
            </w:pPr>
            <w:r>
              <w:t xml:space="preserve">F</w:t>
            </w:r>
          </w:p>
        </w:tc>
        <w:tc>
          <w:tcPr/>
          <w:p>
            <w:pPr>
              <w:pStyle w:val="Compact"/>
              <w:jc w:val="right"/>
            </w:pPr>
            <w:r>
              <w:t xml:space="preserve">36</w:t>
            </w:r>
          </w:p>
        </w:tc>
        <w:tc>
          <w:tcPr/>
          <w:p>
            <w:pPr>
              <w:pStyle w:val="Compact"/>
              <w:jc w:val="right"/>
            </w:pPr>
            <w:r>
              <w:t xml:space="preserve">32</w:t>
            </w:r>
          </w:p>
        </w:tc>
        <w:tc>
          <w:tcPr/>
          <w:p>
            <w:pPr>
              <w:pStyle w:val="Compact"/>
              <w:jc w:val="right"/>
            </w:pPr>
            <w:r>
              <w:t xml:space="preserve">4</w:t>
            </w:r>
          </w:p>
        </w:tc>
        <w:tc>
          <w:tcPr/>
          <w:p>
            <w:pPr>
              <w:pStyle w:val="Compact"/>
              <w:jc w:val="right"/>
            </w:pPr>
            <w:r>
              <w:t xml:space="preserve">0.111</w:t>
            </w:r>
          </w:p>
        </w:tc>
        <w:tc>
          <w:tcPr/>
          <w:p>
            <w:pPr>
              <w:pStyle w:val="Compact"/>
              <w:jc w:val="right"/>
            </w:pPr>
            <w:r>
              <w:t xml:space="preserve">0.052</w:t>
            </w:r>
          </w:p>
        </w:tc>
        <w:tc>
          <w:tcPr/>
          <w:p>
            <w:pPr>
              <w:pStyle w:val="Compact"/>
              <w:jc w:val="right"/>
            </w:pPr>
            <w:r>
              <w:t xml:space="preserve">0.044</w:t>
            </w:r>
          </w:p>
        </w:tc>
        <w:tc>
          <w:tcPr/>
          <w:p>
            <w:pPr>
              <w:pStyle w:val="Compact"/>
              <w:jc w:val="right"/>
            </w:pPr>
            <w:r>
              <w:t xml:space="preserve">0.253</w:t>
            </w:r>
          </w:p>
        </w:tc>
      </w:tr>
      <w:tr>
        <w:tc>
          <w:tcPr/>
          <w:p>
            <w:pPr>
              <w:pStyle w:val="Compact"/>
              <w:jc w:val="right"/>
            </w:pPr>
            <w:r>
              <w:t xml:space="preserve">2021</w:t>
            </w:r>
          </w:p>
        </w:tc>
        <w:tc>
          <w:tcPr/>
          <w:p>
            <w:pPr>
              <w:pStyle w:val="Compact"/>
              <w:jc w:val="left"/>
            </w:pPr>
            <w:r>
              <w:t xml:space="preserve">M</w:t>
            </w:r>
          </w:p>
        </w:tc>
        <w:tc>
          <w:tcPr/>
          <w:p>
            <w:pPr>
              <w:pStyle w:val="Compact"/>
              <w:jc w:val="right"/>
            </w:pPr>
            <w:r>
              <w:t xml:space="preserve">11</w:t>
            </w:r>
          </w:p>
        </w:tc>
        <w:tc>
          <w:tcPr/>
          <w:p>
            <w:pPr>
              <w:pStyle w:val="Compact"/>
              <w:jc w:val="right"/>
            </w:pPr>
            <w:r>
              <w:t xml:space="preserve">8</w:t>
            </w:r>
          </w:p>
        </w:tc>
        <w:tc>
          <w:tcPr/>
          <w:p>
            <w:pPr>
              <w:pStyle w:val="Compact"/>
              <w:jc w:val="right"/>
            </w:pPr>
            <w:r>
              <w:t xml:space="preserve">3</w:t>
            </w:r>
          </w:p>
        </w:tc>
        <w:tc>
          <w:tcPr/>
          <w:p>
            <w:pPr>
              <w:pStyle w:val="Compact"/>
              <w:jc w:val="right"/>
            </w:pPr>
            <w:r>
              <w:t xml:space="preserve">0.273</w:t>
            </w:r>
          </w:p>
        </w:tc>
        <w:tc>
          <w:tcPr/>
          <w:p>
            <w:pPr>
              <w:pStyle w:val="Compact"/>
              <w:jc w:val="right"/>
            </w:pPr>
            <w:r>
              <w:t xml:space="preserve">0.134</w:t>
            </w:r>
          </w:p>
        </w:tc>
        <w:tc>
          <w:tcPr/>
          <w:p>
            <w:pPr>
              <w:pStyle w:val="Compact"/>
              <w:jc w:val="right"/>
            </w:pPr>
            <w:r>
              <w:t xml:space="preserve">0.097</w:t>
            </w:r>
          </w:p>
        </w:tc>
        <w:tc>
          <w:tcPr/>
          <w:p>
            <w:pPr>
              <w:pStyle w:val="Compact"/>
              <w:jc w:val="right"/>
            </w:pPr>
            <w:r>
              <w:t xml:space="preserve">0.566</w:t>
            </w:r>
          </w:p>
        </w:tc>
      </w:tr>
      <w:tr>
        <w:tc>
          <w:tcPr/>
          <w:p>
            <w:pPr>
              <w:pStyle w:val="Compact"/>
              <w:jc w:val="right"/>
            </w:pPr>
            <w:r>
              <w:t xml:space="preserve">2022</w:t>
            </w:r>
          </w:p>
        </w:tc>
        <w:tc>
          <w:tcPr/>
          <w:p>
            <w:pPr>
              <w:pStyle w:val="Compact"/>
              <w:jc w:val="left"/>
            </w:pPr>
            <w:r>
              <w:t xml:space="preserve">F</w:t>
            </w:r>
          </w:p>
        </w:tc>
        <w:tc>
          <w:tcPr/>
          <w:p>
            <w:pPr>
              <w:pStyle w:val="Compact"/>
              <w:jc w:val="right"/>
            </w:pPr>
            <w:r>
              <w:t xml:space="preserve">58</w:t>
            </w:r>
          </w:p>
        </w:tc>
        <w:tc>
          <w:tcPr/>
          <w:p>
            <w:pPr>
              <w:pStyle w:val="Compact"/>
              <w:jc w:val="right"/>
            </w:pPr>
            <w:r>
              <w:t xml:space="preserve">31</w:t>
            </w:r>
          </w:p>
        </w:tc>
        <w:tc>
          <w:tcPr/>
          <w:p>
            <w:pPr>
              <w:pStyle w:val="Compact"/>
              <w:jc w:val="right"/>
            </w:pPr>
            <w:r>
              <w:t xml:space="preserve">27</w:t>
            </w:r>
          </w:p>
        </w:tc>
        <w:tc>
          <w:tcPr/>
          <w:p>
            <w:pPr>
              <w:pStyle w:val="Compact"/>
              <w:jc w:val="right"/>
            </w:pPr>
            <w:r>
              <w:t xml:space="preserve">0.466</w:t>
            </w:r>
          </w:p>
        </w:tc>
        <w:tc>
          <w:tcPr/>
          <w:p>
            <w:pPr>
              <w:pStyle w:val="Compact"/>
              <w:jc w:val="right"/>
            </w:pPr>
            <w:r>
              <w:t xml:space="preserve">0.065</w:t>
            </w:r>
          </w:p>
        </w:tc>
        <w:tc>
          <w:tcPr/>
          <w:p>
            <w:pPr>
              <w:pStyle w:val="Compact"/>
              <w:jc w:val="right"/>
            </w:pPr>
            <w:r>
              <w:t xml:space="preserve">0.343</w:t>
            </w:r>
          </w:p>
        </w:tc>
        <w:tc>
          <w:tcPr/>
          <w:p>
            <w:pPr>
              <w:pStyle w:val="Compact"/>
              <w:jc w:val="right"/>
            </w:pPr>
            <w:r>
              <w:t xml:space="preserve">0.592</w:t>
            </w:r>
          </w:p>
        </w:tc>
      </w:tr>
      <w:tr>
        <w:tc>
          <w:tcPr/>
          <w:p>
            <w:pPr>
              <w:pStyle w:val="Compact"/>
              <w:jc w:val="right"/>
            </w:pPr>
            <w:r>
              <w:t xml:space="preserve">2022</w:t>
            </w:r>
          </w:p>
        </w:tc>
        <w:tc>
          <w:tcPr/>
          <w:p>
            <w:pPr>
              <w:pStyle w:val="Compact"/>
              <w:jc w:val="left"/>
            </w:pPr>
            <w:r>
              <w:t xml:space="preserve">M</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0.155</w:t>
            </w:r>
          </w:p>
        </w:tc>
      </w:tr>
    </w:tbl>
    <w:bookmarkEnd w:id="43"/>
    <w:bookmarkEnd w:id="44"/>
    <w:sectPr w:rsidR="00D32BC6">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A3CC" w14:textId="5C82A972" w:rsidR="00386E75" w:rsidRDefault="00386E75" w:rsidP="00386E75">
    <w:pPr>
      <w:pStyle w:val="Header"/>
      <w:jc w:val="right"/>
    </w:pPr>
    <w:r>
      <w:rPr>
        <w:noProof/>
      </w:rPr>
      <w:drawing>
        <wp:inline distT="0" distB="0" distL="0" distR="0" wp14:anchorId="1BAB5B00" wp14:editId="08E0D004">
          <wp:extent cx="676275" cy="430619"/>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3759" cy="44812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A990"/>
    <w:multiLevelType w:val="multilevel"/>
    <w:tmpl w:val="4B6255B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4">
    <w:nsid w:val="0000A991"/>
    <w:multiLevelType w:val="multilevel"/>
    <w:tmpl w:val="E9DAE4B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328100930" w:numId="1">
    <w:abstractNumId w:val="3"/>
  </w:num>
  <w:num w16cid:durableId="548801734" w:numId="2">
    <w:abstractNumId w:val="4"/>
  </w:num>
  <w:num w16cid:durableId="879823407" w:numId="3">
    <w:abstractNumId w:val="2"/>
  </w:num>
  <w:num w16cid:durableId="1545605698" w:numId="4">
    <w:abstractNumId w:val="1"/>
  </w:num>
  <w:num w16cid:durableId="734624646" w:numId="5">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D318B4"/>
    <w:pPr>
      <w:keepNext/>
      <w:keepLines/>
      <w:pageBreakBefore/>
      <w:spacing w:after="0" w:before="200" w:line="20" w:lineRule="exact"/>
      <w:outlineLvl w:val="4"/>
    </w:pPr>
    <w:rPr>
      <w:rFonts w:asciiTheme="majorHAnsi" w:cstheme="majorBidi" w:eastAsiaTheme="majorEastAsia" w:hAnsiTheme="majorHAns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FB2E29"/>
    <w:pPr>
      <w:tabs>
        <w:tab w:pos="4680" w:val="center"/>
        <w:tab w:pos="9360" w:val="right"/>
      </w:tabs>
      <w:spacing w:after="0"/>
    </w:pPr>
  </w:style>
  <w:style w:customStyle="1" w:styleId="HeaderChar" w:type="character">
    <w:name w:val="Header Char"/>
    <w:basedOn w:val="DefaultParagraphFont"/>
    <w:link w:val="Header"/>
    <w:rsid w:val="00FB2E29"/>
  </w:style>
  <w:style w:styleId="Footer" w:type="paragraph">
    <w:name w:val="footer"/>
    <w:basedOn w:val="Normal"/>
    <w:link w:val="FooterChar"/>
    <w:unhideWhenUsed/>
    <w:rsid w:val="00FB2E29"/>
    <w:pPr>
      <w:tabs>
        <w:tab w:pos="4680" w:val="center"/>
        <w:tab w:pos="9360" w:val="right"/>
      </w:tabs>
      <w:spacing w:after="0"/>
    </w:pPr>
  </w:style>
  <w:style w:customStyle="1" w:styleId="FooterChar" w:type="character">
    <w:name w:val="Footer Char"/>
    <w:basedOn w:val="DefaultParagraphFont"/>
    <w:link w:val="Footer"/>
    <w:rsid w:val="00FB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dcterms:created xsi:type="dcterms:W3CDTF">2023-04-18T23:01:20Z</dcterms:created>
  <dcterms:modified xsi:type="dcterms:W3CDTF">2023-04-18T23:01:20Z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April 18,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ies>
</file>