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Redds</w:t>
      </w:r>
      <w:r>
        <w:t xml:space="preserve"> </w:t>
      </w:r>
      <w:r>
        <w:t xml:space="preserve">in</w:t>
      </w:r>
      <w:r>
        <w:t xml:space="preserve"> </w:t>
      </w:r>
      <w:r>
        <w:t xml:space="preserve">2018</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29</w:t>
      </w:r>
      <w:r>
        <w:t xml:space="preserve"> </w:t>
      </w:r>
      <w:r>
        <w:t xml:space="preserve">January,</w:t>
      </w:r>
      <w:r>
        <w:t xml:space="preserve"> </w:t>
      </w:r>
      <w:r>
        <w:t xml:space="preserve">2020</w:t>
      </w:r>
    </w:p>
    <w:p>
      <w:pPr>
        <w:pStyle w:val="Compact"/>
        <w:pStyle w:val="Abstract"/>
      </w:pPr>
      <w:r>
        <w:t xml:space="preserve">This</w:t>
      </w:r>
      <w:r>
        <w:t xml:space="preserve"> </w:t>
      </w:r>
      <w:r>
        <w:t xml:space="preserve">report</w:t>
      </w:r>
      <w:r>
        <w:t xml:space="preserve"> </w:t>
      </w:r>
      <w:r>
        <w:t xml:space="preserve">contains</w:t>
      </w:r>
      <w:r>
        <w:t xml:space="preserve"> </w:t>
      </w:r>
      <w:r>
        <w:t xml:space="preserve">estimates</w:t>
      </w:r>
      <w:r>
        <w:t xml:space="preserve"> </w:t>
      </w:r>
      <w:r>
        <w:t xml:space="preserve">of</w:t>
      </w:r>
      <w:r>
        <w:t xml:space="preserve"> </w:t>
      </w:r>
      <w:r>
        <w:t xml:space="preserve">total</w:t>
      </w:r>
      <w:r>
        <w:t xml:space="preserve"> </w:t>
      </w:r>
      <w:r>
        <w:t xml:space="preserve">steelhead</w:t>
      </w:r>
      <w:r>
        <w:t xml:space="preserve"> </w:t>
      </w:r>
      <w:r>
        <w:t xml:space="preserve">redds</w:t>
      </w:r>
      <w:r>
        <w:t xml:space="preserve"> </w:t>
      </w:r>
      <w:r>
        <w:t xml:space="preserve">in</w:t>
      </w:r>
      <w:r>
        <w:t xml:space="preserve"> </w:t>
      </w:r>
      <w:r>
        <w:t xml:space="preserve">the</w:t>
      </w:r>
      <w:r>
        <w:t xml:space="preserve"> </w:t>
      </w:r>
      <w:r>
        <w:t xml:space="preserve">Wenatchee,</w:t>
      </w:r>
      <w:r>
        <w:t xml:space="preserve"> </w:t>
      </w:r>
      <w:r>
        <w:t xml:space="preserve">after</w:t>
      </w:r>
      <w:r>
        <w:t xml:space="preserve"> </w:t>
      </w:r>
      <w:r>
        <w:t xml:space="preserve">accounting</w:t>
      </w:r>
      <w:r>
        <w:t xml:space="preserve"> </w:t>
      </w:r>
      <w:r>
        <w:t xml:space="preserve">for</w:t>
      </w:r>
      <w:r>
        <w:t xml:space="preserve"> </w:t>
      </w:r>
      <w:r>
        <w:t xml:space="preserve">observer</w:t>
      </w:r>
      <w:r>
        <w:t xml:space="preserve"> </w:t>
      </w:r>
      <w:r>
        <w:t xml:space="preserve">bias.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Style w:val="Hyperlink"/>
            </w:rPr>
            <w:t xml:space="preserve">Kevin.See@biomark.com</w:t>
          </w:r>
        </w:hyperlink>
        <w:r>
          <w:rPr>
            <w:rStyle w:val="Hyperlink"/>
          </w:rPr>
          <w:t xml:space="preserve">&gt;</w:t>
        </w:r>
      </w:hyperlink>
    </w:p>
    <w:p>
      <w:r>
        <w:br w:type="page"/>
      </w:r>
    </w:p>
    <w:p>
      <w:pPr>
        <w:pStyle w:val="Heading1"/>
      </w:pPr>
      <w:bookmarkStart w:id="21" w:name="introduction"/>
      <w:r>
        <w:t xml:space="preserve">Introduction</w:t>
      </w:r>
      <w:bookmarkEnd w:id="21"/>
    </w:p>
    <w:p>
      <w:pPr>
        <w:pStyle w:val="FirstParagraph"/>
      </w:pPr>
      <w:r>
        <w:t xml:space="preserve">Redd counts are an established method to provide an index of adult spawners</w:t>
      </w:r>
      <w:r>
        <w:t xml:space="preserve"> </w:t>
      </w:r>
      <w:r>
        <w:t xml:space="preserve">(Gallagher et al. 2007)</w:t>
      </w:r>
      <w:r>
        <w:t xml:space="preserve">. In the Wenatchee and Methow subbasins, index reaches are surveyed weekly during the steelhead spawning season (Mar 12, 2018 - Jun 11, 2018) and non-index reaches are surveyed once during the peak spawning period. The goal of this work is to:</w:t>
      </w:r>
    </w:p>
    <w:p>
      <w:pPr>
        <w:pStyle w:val="Compact"/>
        <w:numPr>
          <w:numId w:val="1001"/>
          <w:ilvl w:val="0"/>
        </w:numPr>
      </w:pPr>
      <w:r>
        <w:t xml:space="preserve">Predict observer net error, using the model described in</w:t>
      </w:r>
      <w:r>
        <w:t xml:space="preserve"> </w:t>
      </w:r>
      <w:r>
        <w:t xml:space="preserve">Murdoch et al. (2018)</w:t>
      </w:r>
      <w:r>
        <w:t xml:space="preserve">.</w:t>
      </w:r>
    </w:p>
    <w:p>
      <w:pPr>
        <w:pStyle w:val="Compact"/>
        <w:numPr>
          <w:numId w:val="1001"/>
          <w:ilvl w:val="0"/>
        </w:numPr>
      </w:pPr>
      <w:r>
        <w:t xml:space="preserve">Use estimates of observer net error rates and the mean survey interval to estimate the number of redds in each index reach, using a Gaussian area under the curve (GAUC) technique described in</w:t>
      </w:r>
      <w:r>
        <w:t xml:space="preserve"> </w:t>
      </w:r>
      <w:r>
        <w:t xml:space="preserve">Millar et al. (2012)</w:t>
      </w:r>
      <w:r>
        <w:t xml:space="preserve">.</w:t>
      </w:r>
    </w:p>
    <w:p>
      <w:pPr>
        <w:pStyle w:val="Compact"/>
        <w:numPr>
          <w:numId w:val="1001"/>
          <w:ilvl w:val="0"/>
        </w:numPr>
      </w:pPr>
      <w:r>
        <w:t xml:space="preserve">Estimate the total number of redds in the non-index reaches by adjusting the observed counts with the estimated net error.</w:t>
      </w:r>
    </w:p>
    <w:p>
      <w:pPr>
        <w:pStyle w:val="Heading1"/>
      </w:pPr>
      <w:bookmarkStart w:id="22" w:name="methods"/>
      <w:r>
        <w:t xml:space="preserve">Methods</w:t>
      </w:r>
      <w:bookmarkEnd w:id="22"/>
    </w:p>
    <w:p>
      <w:pPr>
        <w:pStyle w:val="Heading2"/>
      </w:pPr>
      <w:bookmarkStart w:id="23" w:name="net-error-model"/>
      <w:r>
        <w:t xml:space="preserve">Net Error Model</w:t>
      </w:r>
      <w:bookmarkEnd w:id="23"/>
    </w:p>
    <w:p>
      <w:pPr>
        <w:pStyle w:val="FirstParagraph"/>
      </w:pPr>
      <w:r>
        <w:t xml:space="preserve">The model for observer net error (observed redd counts / true number of redds) is fully described in</w:t>
      </w:r>
      <w:r>
        <w:t xml:space="preserve"> </w:t>
      </w:r>
      <w:r>
        <w:t xml:space="preserve">Murdoch et al. (2018)</w:t>
      </w:r>
      <w:r>
        <w:t xml:space="preserve">. It uses covariates of the log of observer experience, mean discharge, the observed redd density and mean thalweg CV as a proxy for channel complexity. After normalizing these covariates, the model coefficients are shown in Table</w:t>
      </w:r>
      <w:r>
        <w:t xml:space="preserve"> </w:t>
      </w:r>
      <w:r>
        <w:t xml:space="preserve">1</w:t>
      </w:r>
      <w:r>
        <w:t xml:space="preserve">.</w:t>
      </w:r>
    </w:p>
    <w:p>
      <w:pPr>
        <w:pStyle w:val="TableCaption"/>
      </w:pPr>
      <w:r>
        <w:t xml:space="preserve">Table 1: Net error model covariates and coefficients.</w:t>
      </w:r>
    </w:p>
    <w:tbl>
      <w:tblPr>
        <w:tblStyle w:val="Table"/>
        <w:tblW w:type="pct" w:w="0.0"/>
        <w:tblLook w:firstRow="1"/>
        <w:tblCaption w:val="Table 1: Net error model covariates and coefficients."/>
      </w:tblPr>
      <w:tblGrid/>
      <w:tr>
        <w:trPr>
          <w:cnfStyle w:firstRow="1"/>
        </w:trPr>
        <w:tc>
          <w:tcPr>
            <w:tcBorders>
              <w:bottom w:val="single"/>
            </w:tcBorders>
            <w:vAlign w:val="bottom"/>
          </w:tcPr>
          <w:p>
            <w:pPr>
              <w:pStyle w:val="Compact"/>
              <w:jc w:val="left"/>
            </w:pPr>
            <w:r>
              <w:t xml:space="preserve">Covariate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0.682</w:t>
            </w:r>
          </w:p>
        </w:tc>
        <w:tc>
          <w:p>
            <w:pPr>
              <w:pStyle w:val="Compact"/>
              <w:jc w:val="right"/>
            </w:pPr>
            <w:r>
              <w:t xml:space="preserve">0.039</w:t>
            </w:r>
          </w:p>
        </w:tc>
        <w:tc>
          <w:p>
            <w:pPr>
              <w:pStyle w:val="Compact"/>
              <w:jc w:val="right"/>
            </w:pPr>
            <w:r>
              <w:t xml:space="preserve">17.529</w:t>
            </w:r>
          </w:p>
        </w:tc>
        <w:tc>
          <w:p>
            <w:pPr>
              <w:pStyle w:val="Compact"/>
              <w:jc w:val="right"/>
            </w:pPr>
            <w:r>
              <w:t xml:space="preserve">0.000</w:t>
            </w:r>
          </w:p>
        </w:tc>
      </w:tr>
      <w:tr>
        <w:tc>
          <w:p>
            <w:pPr>
              <w:pStyle w:val="Compact"/>
              <w:jc w:val="left"/>
            </w:pPr>
            <w:r>
              <w:t xml:space="preserve">Obs. Redd Density</w:t>
            </w:r>
          </w:p>
        </w:tc>
        <w:tc>
          <w:p>
            <w:pPr>
              <w:pStyle w:val="Compact"/>
              <w:jc w:val="right"/>
            </w:pPr>
            <w:r>
              <w:t xml:space="preserve">0.277</w:t>
            </w:r>
          </w:p>
        </w:tc>
        <w:tc>
          <w:p>
            <w:pPr>
              <w:pStyle w:val="Compact"/>
              <w:jc w:val="right"/>
            </w:pPr>
            <w:r>
              <w:t xml:space="preserve">0.053</w:t>
            </w:r>
          </w:p>
        </w:tc>
        <w:tc>
          <w:p>
            <w:pPr>
              <w:pStyle w:val="Compact"/>
              <w:jc w:val="right"/>
            </w:pPr>
            <w:r>
              <w:t xml:space="preserve">5.218</w:t>
            </w:r>
          </w:p>
        </w:tc>
        <w:tc>
          <w:p>
            <w:pPr>
              <w:pStyle w:val="Compact"/>
              <w:jc w:val="right"/>
            </w:pPr>
            <w:r>
              <w:t xml:space="preserve">0.000</w:t>
            </w:r>
          </w:p>
        </w:tc>
      </w:tr>
      <w:tr>
        <w:tc>
          <w:p>
            <w:pPr>
              <w:pStyle w:val="Compact"/>
              <w:jc w:val="left"/>
            </w:pPr>
            <w:r>
              <w:t xml:space="preserve">Mean Thalweg CV</w:t>
            </w:r>
          </w:p>
        </w:tc>
        <w:tc>
          <w:p>
            <w:pPr>
              <w:pStyle w:val="Compact"/>
              <w:jc w:val="right"/>
            </w:pPr>
            <w:r>
              <w:t xml:space="preserve">-0.169</w:t>
            </w:r>
          </w:p>
        </w:tc>
        <w:tc>
          <w:p>
            <w:pPr>
              <w:pStyle w:val="Compact"/>
              <w:jc w:val="right"/>
            </w:pPr>
            <w:r>
              <w:t xml:space="preserve">0.043</w:t>
            </w:r>
          </w:p>
        </w:tc>
        <w:tc>
          <w:p>
            <w:pPr>
              <w:pStyle w:val="Compact"/>
              <w:jc w:val="right"/>
            </w:pPr>
            <w:r>
              <w:t xml:space="preserve">-3.937</w:t>
            </w:r>
          </w:p>
        </w:tc>
        <w:tc>
          <w:p>
            <w:pPr>
              <w:pStyle w:val="Compact"/>
              <w:jc w:val="right"/>
            </w:pPr>
            <w:r>
              <w:t xml:space="preserve">0.000</w:t>
            </w:r>
          </w:p>
        </w:tc>
      </w:tr>
      <w:tr>
        <w:tc>
          <w:p>
            <w:pPr>
              <w:pStyle w:val="Compact"/>
              <w:jc w:val="left"/>
            </w:pPr>
            <w:r>
              <w:t xml:space="preserve">Mean Discharge</w:t>
            </w:r>
          </w:p>
        </w:tc>
        <w:tc>
          <w:p>
            <w:pPr>
              <w:pStyle w:val="Compact"/>
              <w:jc w:val="right"/>
            </w:pPr>
            <w:r>
              <w:t xml:space="preserve">0.116</w:t>
            </w:r>
          </w:p>
        </w:tc>
        <w:tc>
          <w:p>
            <w:pPr>
              <w:pStyle w:val="Compact"/>
              <w:jc w:val="right"/>
            </w:pPr>
            <w:r>
              <w:t xml:space="preserve">0.048</w:t>
            </w:r>
          </w:p>
        </w:tc>
        <w:tc>
          <w:p>
            <w:pPr>
              <w:pStyle w:val="Compact"/>
              <w:jc w:val="right"/>
            </w:pPr>
            <w:r>
              <w:t xml:space="preserve">2.426</w:t>
            </w:r>
          </w:p>
        </w:tc>
        <w:tc>
          <w:p>
            <w:pPr>
              <w:pStyle w:val="Compact"/>
              <w:jc w:val="right"/>
            </w:pPr>
            <w:r>
              <w:t xml:space="preserve">0.020</w:t>
            </w:r>
          </w:p>
        </w:tc>
      </w:tr>
      <w:tr>
        <w:tc>
          <w:p>
            <w:pPr>
              <w:pStyle w:val="Compact"/>
              <w:jc w:val="left"/>
            </w:pPr>
            <w:r>
              <w:t xml:space="preserve">Log Surveyor Exp.</w:t>
            </w:r>
          </w:p>
        </w:tc>
        <w:tc>
          <w:p>
            <w:pPr>
              <w:pStyle w:val="Compact"/>
              <w:jc w:val="right"/>
            </w:pPr>
            <w:r>
              <w:t xml:space="preserve">0.115</w:t>
            </w:r>
          </w:p>
        </w:tc>
        <w:tc>
          <w:p>
            <w:pPr>
              <w:pStyle w:val="Compact"/>
              <w:jc w:val="right"/>
            </w:pPr>
            <w:r>
              <w:t xml:space="preserve">0.042</w:t>
            </w:r>
          </w:p>
        </w:tc>
        <w:tc>
          <w:p>
            <w:pPr>
              <w:pStyle w:val="Compact"/>
              <w:jc w:val="right"/>
            </w:pPr>
            <w:r>
              <w:t xml:space="preserve">2.760</w:t>
            </w:r>
          </w:p>
        </w:tc>
        <w:tc>
          <w:p>
            <w:pPr>
              <w:pStyle w:val="Compact"/>
              <w:jc w:val="right"/>
            </w:pPr>
            <w:r>
              <w:t xml:space="preserve">0.009</w:t>
            </w:r>
          </w:p>
        </w:tc>
      </w:tr>
    </w:tbl>
    <w:p>
      <w:pPr>
        <w:pStyle w:val="Heading2"/>
      </w:pPr>
      <w:bookmarkStart w:id="24" w:name="data"/>
      <w:r>
        <w:t xml:space="preserve">Data</w:t>
      </w:r>
      <w:bookmarkEnd w:id="24"/>
    </w:p>
    <w:p>
      <w:pPr>
        <w:pStyle w:val="FirstParagraph"/>
      </w:pPr>
      <w:r>
        <w:t xml:space="preserve">Redd counts were conducted on a nearly weekly basis for index reaches, and once during the peak spawning period for non-index reaches. The covariates in the observer error model of</w:t>
      </w:r>
      <w:r>
        <w:t xml:space="preserve"> </w:t>
      </w:r>
      <w:r>
        <w:t xml:space="preserve">Murdoch et al. (2018)</w:t>
      </w:r>
      <w:r>
        <w:t xml:space="preserve"> </w:t>
      </w:r>
      <w:r>
        <w:t xml:space="preserve">were collected during each survey. They were compared with the covariates contained in the model data set, as well as the estimates of net error (Figure</w:t>
      </w:r>
      <w:r>
        <w:t xml:space="preserve"> </w:t>
      </w:r>
      <w:r>
        <w:t xml:space="preserve">1</w:t>
      </w:r>
      <w:r>
        <w:t xml:space="preserve">).</w:t>
      </w:r>
    </w:p>
    <w:p>
      <w:pPr>
        <w:pStyle w:val="CaptionedFigure"/>
      </w:pPr>
      <w:r>
        <w:drawing>
          <wp:inline>
            <wp:extent cx="5943600" cy="3962400"/>
            <wp:effectExtent b="0" l="0" r="0" t="0"/>
            <wp:docPr descr="Figure 1: Net error covariate values from the original study the predicted reaches in this report." title="" id="1" name="Picture"/>
            <a:graphic>
              <a:graphicData uri="http://schemas.openxmlformats.org/drawingml/2006/picture">
                <pic:pic>
                  <pic:nvPicPr>
                    <pic:cNvPr descr="../figures/covariate-comparison-1.png" id="0" name="Picture"/>
                    <pic:cNvPicPr>
                      <a:picLocks noChangeArrowheads="1" noChangeAspect="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1: Net error covariate values from the original study the predicted reaches in this report.</w:t>
      </w:r>
    </w:p>
    <w:p>
      <w:pPr>
        <w:pStyle w:val="BodyText"/>
      </w:pPr>
      <w:r>
        <w:t xml:space="preserve">Those covariates in the observer error model were collected during each survey in 2018, and predictions of net error were made for each survey. From these survey specific estimates of net error, a mean and standard error of net error was calculated for each reach. The standard deviation was calculated by taking the square root of the sum of the squared standard errors for all predictions within a reach.</w:t>
      </w:r>
    </w:p>
    <w:p>
      <w:pPr>
        <w:pStyle w:val="Heading2"/>
      </w:pPr>
      <w:bookmarkStart w:id="26" w:name="estimating-redds"/>
      <w:r>
        <w:t xml:space="preserve">Estimating Redds</w:t>
      </w:r>
      <w:bookmarkEnd w:id="26"/>
    </w:p>
    <w:p>
      <w:pPr>
        <w:pStyle w:val="FirstParagraph"/>
      </w:pPr>
      <w:r>
        <w:t xml:space="preserve">Estimates of total redds were made for each index reach with a minimum of 2 redds and at least 3 weeks with at least one new redd found using the GAUC model described in</w:t>
      </w:r>
      <w:r>
        <w:t xml:space="preserve"> </w:t>
      </w:r>
      <w:r>
        <w:t xml:space="preserve">Millar et al. (2012)</w:t>
      </w:r>
      <w:r>
        <w:t xml:space="preserve"> </w:t>
      </w:r>
      <w:r>
        <w:t xml:space="preserve">and</w:t>
      </w:r>
      <w:r>
        <w:t xml:space="preserve"> </w:t>
      </w:r>
      <w:r>
        <w:t xml:space="preserve">Murdoch et al. (2018)</w:t>
      </w:r>
      <w:r>
        <w:t xml:space="preserve">. The GAUC model was developed with spawner counts in mind. As it is usually infeasible to mark every individual spawner, only total spawner counts can be used, and an estimate of average stream life must be utilized to translate total spawner days to total unique spawners. However, in adapting this for redd surveys, we note that individual redds can be marked, and therefore the GAUC model can be fit to new redds only. The equivalent of stream life thus the difference between survey numbers which can be fixed at 1.</w:t>
      </w:r>
    </w:p>
    <w:p>
      <w:pPr>
        <w:pStyle w:val="BodyText"/>
      </w:pPr>
      <w:r>
        <w:t xml:space="preserve">For non-index reaches, which were surveyed only once during peak spawning, the estimate of total redds was calculated by dividing the observed redds by the estimate of net error associated with that survey. This assumes that no redds were washed out before the non-index survey, and that no new redds appeared after that survey. As the number of redds observed in the non-index reaches ranged from 0 to 0, any violoation of this assumption should not affect the overall estimates very much. Any index reaches that did not meet the thresholds described above were treated as non-index reaches, and the total observed redds in those reaches were divided by the mean estimate of net error for each reach.</w:t>
      </w:r>
    </w:p>
    <w:p>
      <w:r>
        <w:br w:type="page"/>
      </w:r>
    </w:p>
    <w:p>
      <w:pPr>
        <w:pStyle w:val="Heading1"/>
      </w:pPr>
      <w:bookmarkStart w:id="27" w:name="results"/>
      <w:r>
        <w:t xml:space="preserve">Results</w:t>
      </w:r>
      <w:bookmarkEnd w:id="27"/>
    </w:p>
    <w:p>
      <w:pPr>
        <w:pStyle w:val="Heading2"/>
      </w:pPr>
      <w:bookmarkStart w:id="28" w:name="redd-estimates"/>
      <w:r>
        <w:t xml:space="preserve">Redd estimates</w:t>
      </w:r>
      <w:bookmarkEnd w:id="28"/>
    </w:p>
    <w:p>
      <w:pPr>
        <w:pStyle w:val="FirstParagraph"/>
      </w:pPr>
      <w:r>
        <w:t xml:space="preserve">The estimated net error, observed redds and estimates of redds are shown in Table</w:t>
      </w:r>
      <w:r>
        <w:t xml:space="preserve"> </w:t>
      </w:r>
      <w:r>
        <w:t xml:space="preserve">2</w:t>
      </w:r>
      <w:r>
        <w:t xml:space="preserve">. Plots of the new redds and the GAUC fit to those data are shown in Figure</w:t>
      </w:r>
      <w:r>
        <w:t xml:space="preserve"> </w:t>
      </w:r>
      <w:r>
        <w:t xml:space="preserve">2</w:t>
      </w:r>
      <w:r>
        <w:t xml:space="preserve">.</w:t>
      </w:r>
    </w:p>
    <w:p>
      <w:pPr>
        <w:pStyle w:val="TableCaption"/>
      </w:pPr>
      <w:r>
        <w:t xml:space="preserve">Table 2: Estimates of mean net error and redds for each reach.</w:t>
      </w:r>
    </w:p>
    <w:tbl>
      <w:tblPr>
        <w:tblStyle w:val="Table"/>
        <w:tblW w:type="pct" w:w="0.0"/>
        <w:tblLook w:firstRow="1"/>
        <w:tblCaption w:val="Table 2: Estimates of mean net error and redds for each reach."/>
      </w:tblPr>
      <w:tblGrid/>
      <w:tr>
        <w:trPr>
          <w:cnfStyle w:firstRow="1"/>
        </w:trPr>
        <w:tc>
          <w:tcPr>
            <w:tcBorders>
              <w:bottom w:val="single"/>
            </w:tcBorders>
            <w:vAlign w:val="bottom"/>
          </w:tcPr>
          <w:p>
            <w:pPr>
              <w:pStyle w:val="Compact"/>
              <w:jc w:val="left"/>
            </w:pPr>
            <w:r>
              <w:t xml:space="preserve">River</w:t>
            </w:r>
          </w:p>
        </w:tc>
        <w:tc>
          <w:tcPr>
            <w:tcBorders>
              <w:bottom w:val="single"/>
            </w:tcBorders>
            <w:vAlign w:val="bottom"/>
          </w:tcPr>
          <w:p>
            <w:pPr>
              <w:pStyle w:val="Compact"/>
              <w:jc w:val="left"/>
            </w:pPr>
            <w:r>
              <w:t xml:space="preserve">Reach</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Net Error</w:t>
            </w:r>
          </w:p>
        </w:tc>
        <w:tc>
          <w:tcPr>
            <w:tcBorders>
              <w:bottom w:val="single"/>
            </w:tcBorders>
            <w:vAlign w:val="bottom"/>
          </w:tcPr>
          <w:p>
            <w:pPr>
              <w:pStyle w:val="Compact"/>
              <w:jc w:val="right"/>
            </w:pPr>
            <w:r>
              <w:t xml:space="preserve">Net Error CV</w:t>
            </w:r>
          </w:p>
        </w:tc>
        <w:tc>
          <w:tcPr>
            <w:tcBorders>
              <w:bottom w:val="single"/>
            </w:tcBorders>
            <w:vAlign w:val="bottom"/>
          </w:tcPr>
          <w:p>
            <w:pPr>
              <w:pStyle w:val="Compact"/>
              <w:jc w:val="center"/>
            </w:pPr>
            <w:r>
              <w:t xml:space="preserve">Observed Redds</w:t>
            </w:r>
          </w:p>
        </w:tc>
        <w:tc>
          <w:tcPr>
            <w:tcBorders>
              <w:bottom w:val="single"/>
            </w:tcBorders>
            <w:vAlign w:val="bottom"/>
          </w:tcPr>
          <w:p>
            <w:pPr>
              <w:pStyle w:val="Compact"/>
              <w:jc w:val="right"/>
            </w:pPr>
            <w:r>
              <w:t xml:space="preserve">Estimated Redds</w:t>
            </w:r>
          </w:p>
        </w:tc>
        <w:tc>
          <w:tcPr>
            <w:tcBorders>
              <w:bottom w:val="single"/>
            </w:tcBorders>
            <w:vAlign w:val="bottom"/>
          </w:tcPr>
          <w:p>
            <w:pPr>
              <w:pStyle w:val="Compact"/>
              <w:jc w:val="right"/>
            </w:pPr>
            <w:r>
              <w:t xml:space="preserve">Redds CV</w:t>
            </w:r>
          </w:p>
        </w:tc>
      </w:tr>
      <w:tr>
        <w:tc>
          <w:p>
            <w:pPr>
              <w:pStyle w:val="Compact"/>
              <w:jc w:val="left"/>
            </w:pPr>
            <w:r>
              <w:t xml:space="preserve">Chiwawa</w:t>
            </w:r>
          </w:p>
        </w:tc>
        <w:tc>
          <w:p>
            <w:pPr>
              <w:pStyle w:val="Compact"/>
              <w:jc w:val="left"/>
            </w:pPr>
            <w:r>
              <w:t xml:space="preserve">C1</w:t>
            </w:r>
          </w:p>
        </w:tc>
        <w:tc>
          <w:p>
            <w:pPr>
              <w:pStyle w:val="Compact"/>
              <w:jc w:val="left"/>
            </w:pPr>
            <w:r>
              <w:t xml:space="preserve">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Nason</w:t>
            </w:r>
          </w:p>
        </w:tc>
        <w:tc>
          <w:p>
            <w:pPr>
              <w:pStyle w:val="Compact"/>
              <w:jc w:val="left"/>
            </w:pPr>
            <w:r>
              <w:t xml:space="preserve">N1</w:t>
            </w:r>
          </w:p>
        </w:tc>
        <w:tc>
          <w:p>
            <w:pPr>
              <w:pStyle w:val="Compact"/>
              <w:jc w:val="left"/>
            </w:pPr>
            <w:r>
              <w:t xml:space="preserve">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Peshastin</w:t>
            </w:r>
          </w:p>
        </w:tc>
        <w:tc>
          <w:p>
            <w:pPr>
              <w:pStyle w:val="Compact"/>
              <w:jc w:val="left"/>
            </w:pPr>
            <w:r>
              <w:t xml:space="preserve">P1</w:t>
            </w:r>
          </w:p>
        </w:tc>
        <w:tc>
          <w:p>
            <w:pPr>
              <w:pStyle w:val="Compact"/>
              <w:jc w:val="left"/>
            </w:pPr>
            <w:r>
              <w:t xml:space="preserve">Index</w:t>
            </w:r>
          </w:p>
        </w:tc>
        <w:tc>
          <w:p>
            <w:pPr>
              <w:pStyle w:val="Compact"/>
              <w:jc w:val="right"/>
            </w:pPr>
            <w:r>
              <w:t xml:space="preserve">1</w:t>
            </w:r>
          </w:p>
        </w:tc>
        <w:tc>
          <w:p>
            <w:pPr>
              <w:pStyle w:val="Compact"/>
              <w:jc w:val="right"/>
            </w:pPr>
            <w:r>
              <w:t xml:space="preserve">0</w:t>
            </w:r>
          </w:p>
        </w:tc>
        <w:tc>
          <w:p>
            <w:pPr>
              <w:pStyle w:val="Compact"/>
              <w:jc w:val="center"/>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Wenatchee</w:t>
            </w:r>
          </w:p>
        </w:tc>
        <w:tc>
          <w:p>
            <w:pPr>
              <w:pStyle w:val="Compact"/>
              <w:jc w:val="left"/>
            </w:pPr>
            <w:r>
              <w:t xml:space="preserve">W1</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W2</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W2</w:t>
            </w:r>
          </w:p>
        </w:tc>
        <w:tc>
          <w:p>
            <w:pPr>
              <w:pStyle w:val="Compact"/>
              <w:jc w:val="left"/>
            </w:pPr>
            <w:r>
              <w:t xml:space="preserve">Index</w:t>
            </w:r>
          </w:p>
        </w:tc>
        <w:tc>
          <w:p>
            <w:pPr>
              <w:pStyle w:val="Compact"/>
              <w:jc w:val="right"/>
            </w:pPr>
            <w:r>
              <w:t xml:space="preserve">0.736</w:t>
            </w:r>
          </w:p>
        </w:tc>
        <w:tc>
          <w:p>
            <w:pPr>
              <w:pStyle w:val="Compact"/>
              <w:jc w:val="right"/>
            </w:pPr>
            <w:r>
              <w:t xml:space="preserve">0.238</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W3</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W4</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W5</w:t>
            </w:r>
          </w:p>
        </w:tc>
        <w:tc>
          <w:p>
            <w:pPr>
              <w:pStyle w:val="Compact"/>
              <w:jc w:val="left"/>
            </w:pPr>
            <w:r>
              <w:t xml:space="preserve">Non-Index</w:t>
            </w:r>
          </w:p>
        </w:tc>
        <w:tc>
          <w:p>
            <w:pPr>
              <w:pStyle w:val="Compact"/>
              <w:jc w:val="right"/>
            </w:pPr>
            <w:r>
              <w:t xml:space="preserve">1</w:t>
            </w:r>
          </w:p>
        </w:tc>
        <w:tc>
          <w:p>
            <w:pPr>
              <w:pStyle w:val="Compact"/>
              <w:jc w:val="right"/>
            </w:pPr>
            <w:r>
              <w:t xml:space="preserve">0</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W6</w:t>
            </w:r>
          </w:p>
        </w:tc>
        <w:tc>
          <w:p>
            <w:pPr>
              <w:pStyle w:val="Compact"/>
              <w:jc w:val="left"/>
            </w:pPr>
            <w:r>
              <w:t xml:space="preserve">Non-Index</w:t>
            </w:r>
          </w:p>
        </w:tc>
        <w:tc>
          <w:p>
            <w:pPr>
              <w:pStyle w:val="Compact"/>
              <w:jc w:val="right"/>
            </w:pPr>
            <w:r>
              <w:t xml:space="preserve">0.925</w:t>
            </w:r>
          </w:p>
        </w:tc>
        <w:tc>
          <w:p>
            <w:pPr>
              <w:pStyle w:val="Compact"/>
              <w:jc w:val="right"/>
            </w:pPr>
            <w:r>
              <w:t xml:space="preserve">0.223</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W6</w:t>
            </w:r>
          </w:p>
        </w:tc>
        <w:tc>
          <w:p>
            <w:pPr>
              <w:pStyle w:val="Compact"/>
              <w:jc w:val="left"/>
            </w:pPr>
            <w:r>
              <w:t xml:space="preserve">Index</w:t>
            </w:r>
          </w:p>
        </w:tc>
        <w:tc>
          <w:p>
            <w:pPr>
              <w:pStyle w:val="Compact"/>
              <w:jc w:val="right"/>
            </w:pPr>
            <w:r>
              <w:t xml:space="preserve">0.784</w:t>
            </w:r>
          </w:p>
        </w:tc>
        <w:tc>
          <w:p>
            <w:pPr>
              <w:pStyle w:val="Compact"/>
              <w:jc w:val="right"/>
            </w:pPr>
            <w:r>
              <w:t xml:space="preserve">0.232</w:t>
            </w:r>
          </w:p>
        </w:tc>
        <w:tc>
          <w:p>
            <w:pPr>
              <w:pStyle w:val="Compact"/>
              <w:jc w:val="center"/>
            </w:pPr>
            <w:r>
              <w:t xml:space="preserve">2</w:t>
            </w:r>
          </w:p>
        </w:tc>
        <w:tc>
          <w:p>
            <w:pPr>
              <w:pStyle w:val="Compact"/>
              <w:jc w:val="right"/>
            </w:pPr>
            <w:r>
              <w:t xml:space="preserve">3</w:t>
            </w:r>
          </w:p>
        </w:tc>
        <w:tc>
          <w:p>
            <w:pPr>
              <w:pStyle w:val="Compact"/>
              <w:jc w:val="right"/>
            </w:pPr>
            <w:r>
              <w:t xml:space="preserve">0.197</w:t>
            </w:r>
          </w:p>
        </w:tc>
      </w:tr>
      <w:tr>
        <w:tc>
          <w:p>
            <w:pPr>
              <w:pStyle w:val="Compact"/>
              <w:jc w:val="left"/>
            </w:pPr>
            <w:r>
              <w:t xml:space="preserve">Wenatchee</w:t>
            </w:r>
          </w:p>
        </w:tc>
        <w:tc>
          <w:p>
            <w:pPr>
              <w:pStyle w:val="Compact"/>
              <w:jc w:val="left"/>
            </w:pPr>
            <w:r>
              <w:t xml:space="preserve">W8</w:t>
            </w:r>
          </w:p>
        </w:tc>
        <w:tc>
          <w:p>
            <w:pPr>
              <w:pStyle w:val="Compact"/>
              <w:jc w:val="left"/>
            </w:pPr>
            <w:r>
              <w:t xml:space="preserve">Index</w:t>
            </w:r>
          </w:p>
        </w:tc>
        <w:tc>
          <w:p>
            <w:pPr>
              <w:pStyle w:val="Compact"/>
              <w:jc w:val="right"/>
            </w:pPr>
            <w:r>
              <w:t xml:space="preserve">0.484</w:t>
            </w:r>
          </w:p>
        </w:tc>
        <w:tc>
          <w:p>
            <w:pPr>
              <w:pStyle w:val="Compact"/>
              <w:jc w:val="right"/>
            </w:pPr>
            <w:r>
              <w:t xml:space="preserve">0.301</w:t>
            </w:r>
          </w:p>
        </w:tc>
        <w:tc>
          <w:p>
            <w:pPr>
              <w:pStyle w:val="Compact"/>
              <w:jc w:val="center"/>
            </w:pPr>
            <w:r>
              <w:t xml:space="preserve">1</w:t>
            </w:r>
          </w:p>
        </w:tc>
        <w:tc>
          <w:p>
            <w:pPr>
              <w:pStyle w:val="Compact"/>
              <w:jc w:val="right"/>
            </w:pPr>
            <w:r>
              <w:t xml:space="preserve">2</w:t>
            </w:r>
          </w:p>
        </w:tc>
        <w:tc>
          <w:p>
            <w:pPr>
              <w:pStyle w:val="Compact"/>
              <w:jc w:val="right"/>
            </w:pPr>
            <w:r>
              <w:t xml:space="preserve">0.31</w:t>
            </w:r>
          </w:p>
        </w:tc>
      </w:tr>
      <w:tr>
        <w:tc>
          <w:p>
            <w:pPr>
              <w:pStyle w:val="Compact"/>
              <w:jc w:val="left"/>
            </w:pPr>
            <w:r>
              <w:t xml:space="preserve">Wenatchee</w:t>
            </w:r>
          </w:p>
        </w:tc>
        <w:tc>
          <w:p>
            <w:pPr>
              <w:pStyle w:val="Compact"/>
              <w:jc w:val="left"/>
            </w:pPr>
            <w:r>
              <w:t xml:space="preserve">W9</w:t>
            </w:r>
          </w:p>
        </w:tc>
        <w:tc>
          <w:p>
            <w:pPr>
              <w:pStyle w:val="Compact"/>
              <w:jc w:val="left"/>
            </w:pPr>
            <w:r>
              <w:t xml:space="preserve">Non-Index</w:t>
            </w:r>
          </w:p>
        </w:tc>
        <w:tc>
          <w:p>
            <w:pPr>
              <w:pStyle w:val="Compact"/>
              <w:jc w:val="right"/>
            </w:pPr>
            <w:r>
              <w:t xml:space="preserve">1.055</w:t>
            </w:r>
          </w:p>
        </w:tc>
        <w:tc>
          <w:p>
            <w:pPr>
              <w:pStyle w:val="Compact"/>
              <w:jc w:val="right"/>
            </w:pPr>
            <w:r>
              <w:t xml:space="preserve">0.225</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W9</w:t>
            </w:r>
          </w:p>
        </w:tc>
        <w:tc>
          <w:p>
            <w:pPr>
              <w:pStyle w:val="Compact"/>
              <w:jc w:val="left"/>
            </w:pPr>
            <w:r>
              <w:t xml:space="preserve">Index</w:t>
            </w:r>
          </w:p>
        </w:tc>
        <w:tc>
          <w:p>
            <w:pPr>
              <w:pStyle w:val="Compact"/>
              <w:jc w:val="right"/>
            </w:pPr>
            <w:r>
              <w:t xml:space="preserve">0.779</w:t>
            </w:r>
          </w:p>
        </w:tc>
        <w:tc>
          <w:p>
            <w:pPr>
              <w:pStyle w:val="Compact"/>
              <w:jc w:val="right"/>
            </w:pPr>
            <w:r>
              <w:t xml:space="preserve">0.2</w:t>
            </w:r>
          </w:p>
        </w:tc>
        <w:tc>
          <w:p>
            <w:pPr>
              <w:pStyle w:val="Compact"/>
              <w:jc w:val="center"/>
            </w:pPr>
            <w:r>
              <w:t xml:space="preserve">8</w:t>
            </w:r>
          </w:p>
        </w:tc>
        <w:tc>
          <w:p>
            <w:pPr>
              <w:pStyle w:val="Compact"/>
              <w:jc w:val="right"/>
            </w:pPr>
            <w:r>
              <w:t xml:space="preserve">10</w:t>
            </w:r>
          </w:p>
        </w:tc>
        <w:tc>
          <w:p>
            <w:pPr>
              <w:pStyle w:val="Compact"/>
              <w:jc w:val="right"/>
            </w:pPr>
            <w:r>
              <w:t xml:space="preserve">0.454</w:t>
            </w:r>
          </w:p>
        </w:tc>
      </w:tr>
      <w:tr>
        <w:tc>
          <w:p>
            <w:pPr>
              <w:pStyle w:val="Compact"/>
              <w:jc w:val="left"/>
            </w:pPr>
            <w:r>
              <w:t xml:space="preserve">Wenatchee</w:t>
            </w:r>
          </w:p>
        </w:tc>
        <w:tc>
          <w:p>
            <w:pPr>
              <w:pStyle w:val="Compact"/>
              <w:jc w:val="left"/>
            </w:pPr>
            <w:r>
              <w:t xml:space="preserve">W10</w:t>
            </w:r>
          </w:p>
        </w:tc>
        <w:tc>
          <w:p>
            <w:pPr>
              <w:pStyle w:val="Compact"/>
              <w:jc w:val="left"/>
            </w:pPr>
            <w:r>
              <w:t xml:space="preserve">Non-Index</w:t>
            </w:r>
          </w:p>
        </w:tc>
        <w:tc>
          <w:p>
            <w:pPr>
              <w:pStyle w:val="Compact"/>
              <w:jc w:val="right"/>
            </w:pPr>
            <w:r>
              <w:t xml:space="preserve">0.558</w:t>
            </w:r>
          </w:p>
        </w:tc>
        <w:tc>
          <w:p>
            <w:pPr>
              <w:pStyle w:val="Compact"/>
              <w:jc w:val="right"/>
            </w:pPr>
            <w:r>
              <w:t xml:space="preserve">0.301</w:t>
            </w:r>
          </w:p>
        </w:tc>
        <w:tc>
          <w:p>
            <w:pPr>
              <w:pStyle w:val="Compact"/>
              <w:jc w:val="center"/>
            </w:pPr>
            <w:r>
              <w:t xml:space="preserve">0</w:t>
            </w:r>
          </w:p>
        </w:tc>
        <w:tc>
          <w:p>
            <w:pPr>
              <w:pStyle w:val="Compact"/>
              <w:jc w:val="right"/>
            </w:pPr>
            <w:r>
              <w:t xml:space="preserve">0</w:t>
            </w:r>
          </w:p>
        </w:tc>
        <w:tc>
          <w:p>
            <w:pPr>
              <w:pStyle w:val="Compact"/>
              <w:jc w:val="right"/>
            </w:pPr>
            <w:r>
              <w:t xml:space="preserve">-</w:t>
            </w:r>
          </w:p>
        </w:tc>
      </w:tr>
      <w:tr>
        <w:tc>
          <w:p>
            <w:pPr>
              <w:pStyle w:val="Compact"/>
              <w:jc w:val="left"/>
            </w:pPr>
            <w:r>
              <w:t xml:space="preserve">Wenatchee</w:t>
            </w:r>
          </w:p>
        </w:tc>
        <w:tc>
          <w:p>
            <w:pPr>
              <w:pStyle w:val="Compact"/>
              <w:jc w:val="left"/>
            </w:pPr>
            <w:r>
              <w:t xml:space="preserve">W10</w:t>
            </w:r>
          </w:p>
        </w:tc>
        <w:tc>
          <w:p>
            <w:pPr>
              <w:pStyle w:val="Compact"/>
              <w:jc w:val="left"/>
            </w:pPr>
            <w:r>
              <w:t xml:space="preserve">Index</w:t>
            </w:r>
          </w:p>
        </w:tc>
        <w:tc>
          <w:p>
            <w:pPr>
              <w:pStyle w:val="Compact"/>
              <w:jc w:val="right"/>
            </w:pPr>
            <w:r>
              <w:t xml:space="preserve">0.472</w:t>
            </w:r>
          </w:p>
        </w:tc>
        <w:tc>
          <w:p>
            <w:pPr>
              <w:pStyle w:val="Compact"/>
              <w:jc w:val="right"/>
            </w:pPr>
            <w:r>
              <w:t xml:space="preserve">0.357</w:t>
            </w:r>
          </w:p>
        </w:tc>
        <w:tc>
          <w:p>
            <w:pPr>
              <w:pStyle w:val="Compact"/>
              <w:jc w:val="center"/>
            </w:pPr>
            <w:r>
              <w:t xml:space="preserve">16</w:t>
            </w:r>
          </w:p>
        </w:tc>
        <w:tc>
          <w:p>
            <w:pPr>
              <w:pStyle w:val="Compact"/>
              <w:jc w:val="right"/>
            </w:pPr>
            <w:r>
              <w:t xml:space="preserve">34</w:t>
            </w:r>
          </w:p>
        </w:tc>
        <w:tc>
          <w:p>
            <w:pPr>
              <w:pStyle w:val="Compact"/>
              <w:jc w:val="right"/>
            </w:pPr>
            <w:r>
              <w:t xml:space="preserve">0.449</w:t>
            </w:r>
          </w:p>
        </w:tc>
      </w:tr>
      <w:tr>
        <w:tc>
          <w:p>
            <w:pPr>
              <w:pStyle w:val="Compact"/>
              <w:jc w:val="left"/>
            </w:pPr>
            <w:r>
              <w:t xml:space="preserve">Total</w:t>
            </w:r>
          </w:p>
        </w:tc>
        <w:tc>
          <w:p>
            <w:pPr>
              <w:pStyle w:val="Compact"/>
              <w:jc w:val="lef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center"/>
            </w:pPr>
            <w:r>
              <w:t xml:space="preserve">28</w:t>
            </w:r>
          </w:p>
        </w:tc>
        <w:tc>
          <w:p>
            <w:pPr>
              <w:pStyle w:val="Compact"/>
              <w:jc w:val="right"/>
            </w:pPr>
            <w:r>
              <w:t xml:space="preserve">50</w:t>
            </w:r>
          </w:p>
        </w:tc>
        <w:tc>
          <w:p>
            <w:pPr>
              <w:pStyle w:val="Compact"/>
              <w:jc w:val="right"/>
            </w:pPr>
            <w:r>
              <w:t xml:space="preserve">0.319</w:t>
            </w:r>
          </w:p>
        </w:tc>
      </w:tr>
    </w:tbl>
    <w:p>
      <w:pPr>
        <w:pStyle w:val="CaptionedFigure"/>
      </w:pPr>
      <w:r>
        <w:drawing>
          <wp:inline>
            <wp:extent cx="5943600" cy="3962400"/>
            <wp:effectExtent b="0" l="0" r="0" t="0"/>
            <wp:docPr descr="Figure 2: Plots of observed redd counts (black dots) through time for each qualifying index reach, and the fitted curve from the GAUC model (blue line) with associated uncertainty (gray)." title="" id="1" name="Picture"/>
            <a:graphic>
              <a:graphicData uri="http://schemas.openxmlformats.org/drawingml/2006/picture">
                <pic:pic>
                  <pic:nvPicPr>
                    <pic:cNvPr descr="../figures/gauc-plots-1.png" id="0"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2: Plots of observed redd counts (black dots) through time for each qualifying index reach, and the fitted curve from the GAUC model (blue line) with associated uncertainty (gray).</w:t>
      </w:r>
    </w:p>
    <w:p>
      <w:pPr>
        <w:pStyle w:val="Heading1"/>
      </w:pPr>
      <w:bookmarkStart w:id="30" w:name="discussion"/>
      <w:r>
        <w:t xml:space="preserve">Discussion</w:t>
      </w:r>
      <w:bookmarkEnd w:id="30"/>
    </w:p>
    <w:p>
      <w:pPr>
        <w:pStyle w:val="FirstParagraph"/>
      </w:pPr>
      <w:r>
        <w:t xml:space="preserve">Most of the covariates collected in 2018 were within the range of those in the model data set from</w:t>
      </w:r>
      <w:r>
        <w:t xml:space="preserve"> </w:t>
      </w:r>
      <w:r>
        <w:t xml:space="preserve">Murdoch et al. (2018)</w:t>
      </w:r>
      <w:r>
        <w:t xml:space="preserve">, leading to estimates of net error in a very similar range to the model dataset (Figure</w:t>
      </w:r>
      <w:r>
        <w:t xml:space="preserve"> </w:t>
      </w:r>
      <w:r>
        <w:t xml:space="preserve">1</w:t>
      </w:r>
      <w:r>
        <w:t xml:space="preserve">). However, most reaches did not meet the minimum thresholds of number of observed redds or number of weeks with at least one new redd observed, so we only used the GAUC method in only 2 reaches.</w:t>
      </w:r>
    </w:p>
    <w:p>
      <w:pPr>
        <w:pStyle w:val="Heading1"/>
      </w:pPr>
      <w:bookmarkStart w:id="31" w:name="acknowledgements"/>
      <w:r>
        <w:t xml:space="preserve">Acknowledgements</w:t>
      </w:r>
      <w:bookmarkEnd w:id="31"/>
    </w:p>
    <w:p>
      <w:r>
        <w:br w:type="page"/>
      </w:r>
    </w:p>
    <w:p>
      <w:pPr>
        <w:pStyle w:val="Heading1"/>
      </w:pPr>
      <w:bookmarkStart w:id="32" w:name="references"/>
      <w:r>
        <w:t xml:space="preserve">References</w:t>
      </w:r>
      <w:bookmarkEnd w:id="32"/>
    </w:p>
    <w:bookmarkStart w:id="36" w:name="refs"/>
    <w:bookmarkStart w:id="33" w:name="ref-Gallagher2007"/>
    <w:p>
      <w:pPr>
        <w:pStyle w:val="FirstParagraph"/>
      </w:pPr>
      <w:r>
        <w:t xml:space="preserve">Gallagher, S., P. Hahn, and D. Johnson. 2007. Salmonid field protocols handbook: Techniques for assessing status and trends in salmon and trout populations. Pages 197–234</w:t>
      </w:r>
      <w:r>
        <w:t xml:space="preserve"> </w:t>
      </w:r>
      <w:r>
        <w:rPr>
          <w:i/>
        </w:rPr>
        <w:t xml:space="preserve">in</w:t>
      </w:r>
      <w:r>
        <w:t xml:space="preserve"> </w:t>
      </w:r>
      <w:r>
        <w:t xml:space="preserve">D. Johnson, editor. American Fisheries Society, Bethesda, Maryland.</w:t>
      </w:r>
    </w:p>
    <w:bookmarkEnd w:id="33"/>
    <w:bookmarkStart w:id="34" w:name="ref-Millar2012"/>
    <w:p>
      <w:pPr>
        <w:pStyle w:val="BodyText"/>
      </w:pPr>
      <w:r>
        <w:t xml:space="preserve">Millar, R., S. McKechnie, and C. Jordan. 2012. Simple estimators of salmonid escapement and its variance using a new area-under-the-curve method. Canadian Journal of Fisheries and Aquatic Sciences 69(6):1002–1015.</w:t>
      </w:r>
    </w:p>
    <w:bookmarkEnd w:id="34"/>
    <w:bookmarkStart w:id="35" w:name="ref-Murdoch2018"/>
    <w:p>
      <w:pPr>
        <w:pStyle w:val="BodyText"/>
      </w:pPr>
      <w:r>
        <w:t xml:space="preserve">Murdoch, A. R., C. J. Herring, C. H. Frady, K. See, and C. E. Jordan. 2018. Estimating observer error and steelhead redd abundance using a modified gaussian area-under-the-curve framework. Canadian Journal of Fisheries and Aquatic Sciences (999):1–10.</w:t>
      </w:r>
    </w:p>
    <w:bookmarkEnd w:id="35"/>
    <w:bookmarkEnd w:id="36"/>
    <w:p>
      <w:r>
        <w:br w:type="page"/>
      </w:r>
    </w:p>
    <w:p>
      <w:pPr>
        <w:pStyle w:val="Heading3"/>
      </w:pPr>
      <w:bookmarkStart w:id="37" w:name="colophon"/>
      <w:r>
        <w:t xml:space="preserve">Colophon</w:t>
      </w:r>
      <w:bookmarkEnd w:id="37"/>
    </w:p>
    <w:p>
      <w:pPr>
        <w:pStyle w:val="FirstParagraph"/>
      </w:pPr>
      <w:r>
        <w:t xml:space="preserve">This report was generated on 2020-01-29 17:54:31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Mojave 10.14.6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2020-01-29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[2] CRAN (R 3.6.0)</w:t>
      </w:r>
      <w:r>
        <w:br w:type="textWrapping"/>
      </w:r>
      <w:r>
        <w:rPr>
          <w:rStyle w:val="VerbatimChar"/>
        </w:rPr>
        <w:t xml:space="preserve">#&gt;  backports          1.1.5      2019-10-02 [2] CRAN (R 3.6.0)</w:t>
      </w:r>
      <w:r>
        <w:br w:type="textWrapping"/>
      </w:r>
      <w:r>
        <w:rPr>
          <w:rStyle w:val="VerbatimChar"/>
        </w:rPr>
        <w:t xml:space="preserve">#&gt;  bookdown           0.17       2020-01-11 [1] CRAN (R 3.6.0)</w:t>
      </w:r>
      <w:r>
        <w:br w:type="textWrapping"/>
      </w:r>
      <w:r>
        <w:rPr>
          <w:rStyle w:val="VerbatimChar"/>
        </w:rPr>
        <w:t xml:space="preserve">#&gt;  broom              0.5.3      2019-12-14 [1] CRAN (R 3.6.0)</w:t>
      </w:r>
      <w:r>
        <w:br w:type="textWrapping"/>
      </w:r>
      <w:r>
        <w:rPr>
          <w:rStyle w:val="VerbatimChar"/>
        </w:rPr>
        <w:t xml:space="preserve">#&gt;  callr              3.4.0      2019-12-09 [2] CRAN (R 3.6.1)</w:t>
      </w:r>
      <w:r>
        <w:br w:type="textWrapping"/>
      </w:r>
      <w:r>
        <w:rPr>
          <w:rStyle w:val="VerbatimChar"/>
        </w:rPr>
        <w:t xml:space="preserve">#&gt;  cellranger         1.1.0      2016-07-27 [2] CRAN (R 3.6.0)</w:t>
      </w:r>
      <w:r>
        <w:br w:type="textWrapping"/>
      </w:r>
      <w:r>
        <w:rPr>
          <w:rStyle w:val="VerbatimChar"/>
        </w:rPr>
        <w:t xml:space="preserve">#&gt;  cli                2.0.1      2020-01-08 [1] CRAN (R 3.6.0)</w:t>
      </w:r>
      <w:r>
        <w:br w:type="textWrapping"/>
      </w:r>
      <w:r>
        <w:rPr>
          <w:rStyle w:val="VerbatimChar"/>
        </w:rPr>
        <w:t xml:space="preserve">#&gt;  colorspace         1.4-1      2019-03-18 [2] CRAN (R 3.6.0)</w:t>
      </w:r>
      <w:r>
        <w:br w:type="textWrapping"/>
      </w:r>
      <w:r>
        <w:rPr>
          <w:rStyle w:val="VerbatimChar"/>
        </w:rPr>
        <w:t xml:space="preserve">#&gt;  crayon             1.3.4      2017-09-16 [2] CRAN (R 3.6.0)</w:t>
      </w:r>
      <w:r>
        <w:br w:type="textWrapping"/>
      </w:r>
      <w:r>
        <w:rPr>
          <w:rStyle w:val="VerbatimChar"/>
        </w:rPr>
        <w:t xml:space="preserve">#&gt;  DBI                1.0.0      2018-05-02 [2] CRAN (R 3.6.0)</w:t>
      </w:r>
      <w:r>
        <w:br w:type="textWrapping"/>
      </w:r>
      <w:r>
        <w:rPr>
          <w:rStyle w:val="VerbatimChar"/>
        </w:rPr>
        <w:t xml:space="preserve">#&gt;  dbplyr             1.4.2      2019-06-17 [2] CRAN (R 3.6.0)</w:t>
      </w:r>
      <w:r>
        <w:br w:type="textWrapping"/>
      </w:r>
      <w:r>
        <w:rPr>
          <w:rStyle w:val="VerbatimChar"/>
        </w:rPr>
        <w:t xml:space="preserve">#&gt;  desc               1.2.0      2018-05-01 [1] CRAN (R 3.6.0)</w:t>
      </w:r>
      <w:r>
        <w:br w:type="textWrapping"/>
      </w:r>
      <w:r>
        <w:rPr>
          <w:rStyle w:val="VerbatimChar"/>
        </w:rPr>
        <w:t xml:space="preserve">#&gt;  devtools           2.2.1      2019-09-24 [1] CRAN (R 3.6.0)</w:t>
      </w:r>
      <w:r>
        <w:br w:type="textWrapping"/>
      </w:r>
      <w:r>
        <w:rPr>
          <w:rStyle w:val="VerbatimChar"/>
        </w:rPr>
        <w:t xml:space="preserve">#&gt;  digest             0.6.23     2019-11-23 [2] CRAN (R 3.6.0)</w:t>
      </w:r>
      <w:r>
        <w:br w:type="textWrapping"/>
      </w:r>
      <w:r>
        <w:rPr>
          <w:rStyle w:val="VerbatimChar"/>
        </w:rPr>
        <w:t xml:space="preserve">#&gt;  dplyr            * 0.8.3      2019-07-04 [2] CRAN (R 3.6.0)</w:t>
      </w:r>
      <w:r>
        <w:br w:type="textWrapping"/>
      </w:r>
      <w:r>
        <w:rPr>
          <w:rStyle w:val="VerbatimChar"/>
        </w:rPr>
        <w:t xml:space="preserve">#&gt;  ellipsis           0.3.0      2019-09-20 [2] CRAN (R 3.6.0)</w:t>
      </w:r>
      <w:r>
        <w:br w:type="textWrapping"/>
      </w:r>
      <w:r>
        <w:rPr>
          <w:rStyle w:val="VerbatimChar"/>
        </w:rPr>
        <w:t xml:space="preserve">#&gt;  english          * 1.2-5      2020-01-26 [1] CRAN (R 3.6.1)</w:t>
      </w:r>
      <w:r>
        <w:br w:type="textWrapping"/>
      </w:r>
      <w:r>
        <w:rPr>
          <w:rStyle w:val="VerbatimChar"/>
        </w:rPr>
        <w:t xml:space="preserve">#&gt;  evaluate           0.14       2019-05-28 [2] CRAN (R 3.6.0)</w:t>
      </w:r>
      <w:r>
        <w:br w:type="textWrapping"/>
      </w:r>
      <w:r>
        <w:rPr>
          <w:rStyle w:val="VerbatimChar"/>
        </w:rPr>
        <w:t xml:space="preserve">#&gt;  expm               0.999-4    2019-03-21 [1] CRAN (R 3.6.0)</w:t>
      </w:r>
      <w:r>
        <w:br w:type="textWrapping"/>
      </w:r>
      <w:r>
        <w:rPr>
          <w:rStyle w:val="VerbatimChar"/>
        </w:rPr>
        <w:t xml:space="preserve">#&gt;  fansi              0.4.1      2020-01-08 [1] CRAN (R 3.6.0)</w:t>
      </w:r>
      <w:r>
        <w:br w:type="textWrapping"/>
      </w:r>
      <w:r>
        <w:rPr>
          <w:rStyle w:val="VerbatimChar"/>
        </w:rPr>
        <w:t xml:space="preserve">#&gt;  farver             2.0.3      2020-01-16 [1] CRAN (R 3.6.0)</w:t>
      </w:r>
      <w:r>
        <w:br w:type="textWrapping"/>
      </w:r>
      <w:r>
        <w:rPr>
          <w:rStyle w:val="VerbatimChar"/>
        </w:rPr>
        <w:t xml:space="preserve">#&gt;  forcats          * 0.4.0      2019-02-17 [2] CRAN (R 3.6.0)</w:t>
      </w:r>
      <w:r>
        <w:br w:type="textWrapping"/>
      </w:r>
      <w:r>
        <w:rPr>
          <w:rStyle w:val="VerbatimChar"/>
        </w:rPr>
        <w:t xml:space="preserve">#&gt;  fs                 1.3.1      2019-05-06 [2] CRAN (R 3.6.0)</w:t>
      </w:r>
      <w:r>
        <w:br w:type="textWrapping"/>
      </w:r>
      <w:r>
        <w:rPr>
          <w:rStyle w:val="VerbatimChar"/>
        </w:rPr>
        <w:t xml:space="preserve">#&gt;  generics           0.0.2      2018-11-29 [2] CRAN (R 3.6.0)</w:t>
      </w:r>
      <w:r>
        <w:br w:type="textWrapping"/>
      </w:r>
      <w:r>
        <w:rPr>
          <w:rStyle w:val="VerbatimChar"/>
        </w:rPr>
        <w:t xml:space="preserve">#&gt;  ggplot2          * 3.2.1      2019-08-10 [2] CRAN (R 3.6.0)</w:t>
      </w:r>
      <w:r>
        <w:br w:type="textWrapping"/>
      </w:r>
      <w:r>
        <w:rPr>
          <w:rStyle w:val="VerbatimChar"/>
        </w:rPr>
        <w:t xml:space="preserve">#&gt;  glue               1.3.1      2019-03-12 [2] CRAN (R 3.6.0)</w:t>
      </w:r>
      <w:r>
        <w:br w:type="textWrapping"/>
      </w:r>
      <w:r>
        <w:rPr>
          <w:rStyle w:val="VerbatimChar"/>
        </w:rPr>
        <w:t xml:space="preserve">#&gt;  gtable             0.3.0      2019-03-25 [2] CRAN (R 3.6.0)</w:t>
      </w:r>
      <w:r>
        <w:br w:type="textWrapping"/>
      </w:r>
      <w:r>
        <w:rPr>
          <w:rStyle w:val="VerbatimChar"/>
        </w:rPr>
        <w:t xml:space="preserve">#&gt;  haven              2.2.0      2019-11-08 [2] CRAN (R 3.6.0)</w:t>
      </w:r>
      <w:r>
        <w:br w:type="textWrapping"/>
      </w:r>
      <w:r>
        <w:rPr>
          <w:rStyle w:val="VerbatimChar"/>
        </w:rPr>
        <w:t xml:space="preserve">#&gt;  highr              0.8        2019-03-20 [2] CRAN (R 3.6.0)</w:t>
      </w:r>
      <w:r>
        <w:br w:type="textWrapping"/>
      </w:r>
      <w:r>
        <w:rPr>
          <w:rStyle w:val="VerbatimChar"/>
        </w:rPr>
        <w:t xml:space="preserve">#&gt;  hms                0.5.2      2019-10-30 [2] CRAN (R 3.6.0)</w:t>
      </w:r>
      <w:r>
        <w:br w:type="textWrapping"/>
      </w:r>
      <w:r>
        <w:rPr>
          <w:rStyle w:val="VerbatimChar"/>
        </w:rPr>
        <w:t xml:space="preserve">#&gt;  htmltools          0.4.0      2019-10-04 [2] CRAN (R 3.6.0)</w:t>
      </w:r>
      <w:r>
        <w:br w:type="textWrapping"/>
      </w:r>
      <w:r>
        <w:rPr>
          <w:rStyle w:val="VerbatimChar"/>
        </w:rPr>
        <w:t xml:space="preserve">#&gt;  httr               1.4.1      2019-08-05 [2] CRAN (R 3.6.0)</w:t>
      </w:r>
      <w:r>
        <w:br w:type="textWrapping"/>
      </w:r>
      <w:r>
        <w:rPr>
          <w:rStyle w:val="VerbatimChar"/>
        </w:rPr>
        <w:t xml:space="preserve">#&gt;  janitor          * 1.2.0      2019-04-21 [1] CRAN (R 3.6.0)</w:t>
      </w:r>
      <w:r>
        <w:br w:type="textWrapping"/>
      </w:r>
      <w:r>
        <w:rPr>
          <w:rStyle w:val="VerbatimChar"/>
        </w:rPr>
        <w:t xml:space="preserve">#&gt;  jsonlite           1.6        2018-12-07 [2] CRAN (R 3.6.0)</w:t>
      </w:r>
      <w:r>
        <w:br w:type="textWrapping"/>
      </w:r>
      <w:r>
        <w:rPr>
          <w:rStyle w:val="VerbatimChar"/>
        </w:rPr>
        <w:t xml:space="preserve">#&gt;  knitr            * 1.27       2020-01-16 [1] CRAN (R 3.6.0)</w:t>
      </w:r>
      <w:r>
        <w:br w:type="textWrapping"/>
      </w:r>
      <w:r>
        <w:rPr>
          <w:rStyle w:val="VerbatimChar"/>
        </w:rPr>
        <w:t xml:space="preserve">#&gt;  labeling           0.3        2014-08-23 [2] CRAN (R 3.6.0)</w:t>
      </w:r>
      <w:r>
        <w:br w:type="textWrapping"/>
      </w:r>
      <w:r>
        <w:rPr>
          <w:rStyle w:val="VerbatimChar"/>
        </w:rPr>
        <w:t xml:space="preserve">#&gt;  lattice            0.20-38    2018-11-04 [2] CRAN (R 3.6.1)</w:t>
      </w:r>
      <w:r>
        <w:br w:type="textWrapping"/>
      </w:r>
      <w:r>
        <w:rPr>
          <w:rStyle w:val="VerbatimChar"/>
        </w:rPr>
        <w:t xml:space="preserve">#&gt;  lazyeval           0.2.2      2019-03-15 [2] CRAN (R 3.6.0)</w:t>
      </w:r>
      <w:r>
        <w:br w:type="textWrapping"/>
      </w:r>
      <w:r>
        <w:rPr>
          <w:rStyle w:val="VerbatimChar"/>
        </w:rPr>
        <w:t xml:space="preserve">#&gt;  lifecycle          0.1.0      2019-08-01 [2] CRAN (R 3.6.0)</w:t>
      </w:r>
      <w:r>
        <w:br w:type="textWrapping"/>
      </w:r>
      <w:r>
        <w:rPr>
          <w:rStyle w:val="VerbatimChar"/>
        </w:rPr>
        <w:t xml:space="preserve">#&gt;  lubridate        * 1.7.4      2018-04-11 [2] CRAN (R 3.6.0)</w:t>
      </w:r>
      <w:r>
        <w:br w:type="textWrapping"/>
      </w:r>
      <w:r>
        <w:rPr>
          <w:rStyle w:val="VerbatimChar"/>
        </w:rPr>
        <w:t xml:space="preserve">#&gt;  magrittr         * 1.5        2014-11-22 [2] CRAN (R 3.6.0)</w:t>
      </w:r>
      <w:r>
        <w:br w:type="textWrapping"/>
      </w:r>
      <w:r>
        <w:rPr>
          <w:rStyle w:val="VerbatimChar"/>
        </w:rPr>
        <w:t xml:space="preserve">#&gt;  Matrix             1.2-17     2019-03-22 [2] CRAN (R 3.6.1)</w:t>
      </w:r>
      <w:r>
        <w:br w:type="textWrapping"/>
      </w:r>
      <w:r>
        <w:rPr>
          <w:rStyle w:val="VerbatimChar"/>
        </w:rPr>
        <w:t xml:space="preserve">#&gt;  memoise            1.1.0      2017-04-21 [1] CRAN (R 3.6.0)</w:t>
      </w:r>
      <w:r>
        <w:br w:type="textWrapping"/>
      </w:r>
      <w:r>
        <w:rPr>
          <w:rStyle w:val="VerbatimChar"/>
        </w:rPr>
        <w:t xml:space="preserve">#&gt;  modelr             0.1.5      2019-08-08 [2] CRAN (R 3.6.0)</w:t>
      </w:r>
      <w:r>
        <w:br w:type="textWrapping"/>
      </w:r>
      <w:r>
        <w:rPr>
          <w:rStyle w:val="VerbatimChar"/>
        </w:rPr>
        <w:t xml:space="preserve">#&gt;  msm              * 1.6.7      2019-03-18 [1] CRAN (R 3.6.0)</w:t>
      </w:r>
      <w:r>
        <w:br w:type="textWrapping"/>
      </w:r>
      <w:r>
        <w:rPr>
          <w:rStyle w:val="VerbatimChar"/>
        </w:rPr>
        <w:t xml:space="preserve">#&gt;  munsell            0.5.0      2018-06-12 [2] CRAN (R 3.6.0)</w:t>
      </w:r>
      <w:r>
        <w:br w:type="textWrapping"/>
      </w:r>
      <w:r>
        <w:rPr>
          <w:rStyle w:val="VerbatimChar"/>
        </w:rPr>
        <w:t xml:space="preserve">#&gt;  mvtnorm            1.0-11     2019-06-19 [1] CRAN (R 3.6.0)</w:t>
      </w:r>
      <w:r>
        <w:br w:type="textWrapping"/>
      </w:r>
      <w:r>
        <w:rPr>
          <w:rStyle w:val="VerbatimChar"/>
        </w:rPr>
        <w:t xml:space="preserve">#&gt;  nlme               3.1-142    2019-11-07 [1] CRAN (R 3.6.0)</w:t>
      </w:r>
      <w:r>
        <w:br w:type="textWrapping"/>
      </w:r>
      <w:r>
        <w:rPr>
          <w:rStyle w:val="VerbatimChar"/>
        </w:rPr>
        <w:t xml:space="preserve">#&gt;  pillar             1.4.3      2019-12-20 [1] CRAN (R 3.6.0)</w:t>
      </w:r>
      <w:r>
        <w:br w:type="textWrapping"/>
      </w:r>
      <w:r>
        <w:rPr>
          <w:rStyle w:val="VerbatimChar"/>
        </w:rPr>
        <w:t xml:space="preserve">#&gt;  pkgbuild           1.0.6      2019-10-09 [1] CRAN (R 3.6.0)</w:t>
      </w:r>
      <w:r>
        <w:br w:type="textWrapping"/>
      </w:r>
      <w:r>
        <w:rPr>
          <w:rStyle w:val="VerbatimChar"/>
        </w:rPr>
        <w:t xml:space="preserve">#&gt;  pkgconfig          2.0.3      2019-09-22 [2] CRAN (R 3.6.0)</w:t>
      </w:r>
      <w:r>
        <w:br w:type="textWrapping"/>
      </w:r>
      <w:r>
        <w:rPr>
          <w:rStyle w:val="VerbatimChar"/>
        </w:rPr>
        <w:t xml:space="preserve">#&gt;  pkgload            1.0.2      2018-10-29 [1] CRAN (R 3.6.0)</w:t>
      </w:r>
      <w:r>
        <w:br w:type="textWrapping"/>
      </w:r>
      <w:r>
        <w:rPr>
          <w:rStyle w:val="VerbatimChar"/>
        </w:rPr>
        <w:t xml:space="preserve">#&gt;  prettyunits        1.1.0      2020-01-09 [1] CRAN (R 3.6.0)</w:t>
      </w:r>
      <w:r>
        <w:br w:type="textWrapping"/>
      </w:r>
      <w:r>
        <w:rPr>
          <w:rStyle w:val="VerbatimChar"/>
        </w:rPr>
        <w:t xml:space="preserve">#&gt;  processx           3.4.1      2019-07-18 [2] CRAN (R 3.6.0)</w:t>
      </w:r>
      <w:r>
        <w:br w:type="textWrapping"/>
      </w:r>
      <w:r>
        <w:rPr>
          <w:rStyle w:val="VerbatimChar"/>
        </w:rPr>
        <w:t xml:space="preserve">#&gt;  ps                 1.3.0      2018-12-21 [2] CRAN (R 3.6.0)</w:t>
      </w:r>
      <w:r>
        <w:br w:type="textWrapping"/>
      </w:r>
      <w:r>
        <w:rPr>
          <w:rStyle w:val="VerbatimChar"/>
        </w:rPr>
        <w:t xml:space="preserve">#&gt;  purrr            * 0.3.3      2019-10-18 [2] CRAN (R 3.6.0)</w:t>
      </w:r>
      <w:r>
        <w:br w:type="textWrapping"/>
      </w:r>
      <w:r>
        <w:rPr>
          <w:rStyle w:val="VerbatimChar"/>
        </w:rPr>
        <w:t xml:space="preserve">#&gt;  R6                 2.4.1      2019-11-12 [2] CRAN (R 3.6.0)</w:t>
      </w:r>
      <w:r>
        <w:br w:type="textWrapping"/>
      </w:r>
      <w:r>
        <w:rPr>
          <w:rStyle w:val="VerbatimChar"/>
        </w:rPr>
        <w:t xml:space="preserve">#&gt;  RColorBrewer       1.1-2      2014-12-07 [2] CRAN (R 3.6.0)</w:t>
      </w:r>
      <w:r>
        <w:br w:type="textWrapping"/>
      </w:r>
      <w:r>
        <w:rPr>
          <w:rStyle w:val="VerbatimChar"/>
        </w:rPr>
        <w:t xml:space="preserve">#&gt;  Rcpp               1.0.3      2019-11-08 [2] CRAN (R 3.6.0)</w:t>
      </w:r>
      <w:r>
        <w:br w:type="textWrapping"/>
      </w:r>
      <w:r>
        <w:rPr>
          <w:rStyle w:val="VerbatimChar"/>
        </w:rPr>
        <w:t xml:space="preserve">#&gt;  readr            * 1.3.1      2018-12-21 [2] CRAN (R 3.6.0)</w:t>
      </w:r>
      <w:r>
        <w:br w:type="textWrapping"/>
      </w:r>
      <w:r>
        <w:rPr>
          <w:rStyle w:val="VerbatimChar"/>
        </w:rPr>
        <w:t xml:space="preserve">#&gt;  readxl             1.3.1      2019-03-13 [2] CRAN (R 3.6.0)</w:t>
      </w:r>
      <w:r>
        <w:br w:type="textWrapping"/>
      </w:r>
      <w:r>
        <w:rPr>
          <w:rStyle w:val="VerbatimChar"/>
        </w:rPr>
        <w:t xml:space="preserve">#&gt;  remotes            2.1.0      2019-06-24 [1] CRAN (R 3.6.0)</w:t>
      </w:r>
      <w:r>
        <w:br w:type="textWrapping"/>
      </w:r>
      <w:r>
        <w:rPr>
          <w:rStyle w:val="VerbatimChar"/>
        </w:rPr>
        <w:t xml:space="preserve">#&gt;  reprex             0.3.0      2019-05-16 [2] CRAN (R 3.6.0)</w:t>
      </w:r>
      <w:r>
        <w:br w:type="textWrapping"/>
      </w:r>
      <w:r>
        <w:rPr>
          <w:rStyle w:val="VerbatimChar"/>
        </w:rPr>
        <w:t xml:space="preserve">#&gt;  rlang              0.4.2      2019-11-23 [2] CRAN (R 3.6.0)</w:t>
      </w:r>
      <w:r>
        <w:br w:type="textWrapping"/>
      </w:r>
      <w:r>
        <w:rPr>
          <w:rStyle w:val="VerbatimChar"/>
        </w:rPr>
        <w:t xml:space="preserve">#&gt;  rmarkdown          2.1        2020-01-20 [1] CRAN (R 3.6.1)</w:t>
      </w:r>
      <w:r>
        <w:br w:type="textWrapping"/>
      </w:r>
      <w:r>
        <w:rPr>
          <w:rStyle w:val="VerbatimChar"/>
        </w:rPr>
        <w:t xml:space="preserve">#&gt;  rprojroot          1.3-2      2018-01-03 [1] CRAN (R 3.6.0)</w:t>
      </w:r>
      <w:r>
        <w:br w:type="textWrapping"/>
      </w:r>
      <w:r>
        <w:rPr>
          <w:rStyle w:val="VerbatimChar"/>
        </w:rPr>
        <w:t xml:space="preserve">#&gt;  rstudioapi         0.10       2019-03-19 [2] CRAN (R 3.6.0)</w:t>
      </w:r>
      <w:r>
        <w:br w:type="textWrapping"/>
      </w:r>
      <w:r>
        <w:rPr>
          <w:rStyle w:val="VerbatimChar"/>
        </w:rPr>
        <w:t xml:space="preserve">#&gt;  rvest              0.3.5      2019-11-08 [2] CRAN (R 3.6.0)</w:t>
      </w:r>
      <w:r>
        <w:br w:type="textWrapping"/>
      </w:r>
      <w:r>
        <w:rPr>
          <w:rStyle w:val="VerbatimChar"/>
        </w:rPr>
        <w:t xml:space="preserve">#&gt;  scales             1.1.0      2019-11-18 [2] CRAN (R 3.6.0)</w:t>
      </w:r>
      <w:r>
        <w:br w:type="textWrapping"/>
      </w:r>
      <w:r>
        <w:rPr>
          <w:rStyle w:val="VerbatimChar"/>
        </w:rPr>
        <w:t xml:space="preserve">#&gt;  sessioninfo        1.1.1      2018-11-05 [1] CRAN (R 3.6.0)</w:t>
      </w:r>
      <w:r>
        <w:br w:type="textWrapping"/>
      </w:r>
      <w:r>
        <w:rPr>
          <w:rStyle w:val="VerbatimChar"/>
        </w:rPr>
        <w:t xml:space="preserve">#&gt;  SthdReddObsError * 0.0.0.9000 2020-01-29 [1] local         </w:t>
      </w:r>
      <w:r>
        <w:br w:type="textWrapping"/>
      </w:r>
      <w:r>
        <w:rPr>
          <w:rStyle w:val="VerbatimChar"/>
        </w:rPr>
        <w:t xml:space="preserve">#&gt;  stringi            1.4.5      2020-01-11 [1] CRAN (R 3.6.0)</w:t>
      </w:r>
      <w:r>
        <w:br w:type="textWrapping"/>
      </w:r>
      <w:r>
        <w:rPr>
          <w:rStyle w:val="VerbatimChar"/>
        </w:rPr>
        <w:t xml:space="preserve">#&gt;  stringr          * 1.4.0      2019-02-10 [2] CRAN (R 3.6.0)</w:t>
      </w:r>
      <w:r>
        <w:br w:type="textWrapping"/>
      </w:r>
      <w:r>
        <w:rPr>
          <w:rStyle w:val="VerbatimChar"/>
        </w:rPr>
        <w:t xml:space="preserve">#&gt;  survival           2.44-1.1   2019-04-01 [2] CRAN (R 3.6.1)</w:t>
      </w:r>
      <w:r>
        <w:br w:type="textWrapping"/>
      </w:r>
      <w:r>
        <w:rPr>
          <w:rStyle w:val="VerbatimChar"/>
        </w:rPr>
        <w:t xml:space="preserve">#&gt;  testthat           2.3.1      2019-12-01 [1] CRAN (R 3.6.0)</w:t>
      </w:r>
      <w:r>
        <w:br w:type="textWrapping"/>
      </w:r>
      <w:r>
        <w:rPr>
          <w:rStyle w:val="VerbatimChar"/>
        </w:rPr>
        <w:t xml:space="preserve">#&gt;  tibble           * 2.1.3      2019-06-06 [2] CRAN (R 3.6.0)</w:t>
      </w:r>
      <w:r>
        <w:br w:type="textWrapping"/>
      </w:r>
      <w:r>
        <w:rPr>
          <w:rStyle w:val="VerbatimChar"/>
        </w:rPr>
        <w:t xml:space="preserve">#&gt;  tidyr            * 1.0.0      2019-09-11 [2] CRAN (R 3.6.0)</w:t>
      </w:r>
      <w:r>
        <w:br w:type="textWrapping"/>
      </w:r>
      <w:r>
        <w:rPr>
          <w:rStyle w:val="VerbatimChar"/>
        </w:rPr>
        <w:t xml:space="preserve">#&gt;  tidyselect         0.2.5      2018-10-11 [2] CRAN (R 3.6.0)</w:t>
      </w:r>
      <w:r>
        <w:br w:type="textWrapping"/>
      </w:r>
      <w:r>
        <w:rPr>
          <w:rStyle w:val="VerbatimChar"/>
        </w:rPr>
        <w:t xml:space="preserve">#&gt;  tidyverse        * 1.3.0      2019-11-21 [2] CRAN (R 3.6.0)</w:t>
      </w:r>
      <w:r>
        <w:br w:type="textWrapping"/>
      </w:r>
      <w:r>
        <w:rPr>
          <w:rStyle w:val="VerbatimChar"/>
        </w:rPr>
        <w:t xml:space="preserve">#&gt;  usethis            1.5.1      2019-07-04 [1] CRAN (R 3.6.0)</w:t>
      </w:r>
      <w:r>
        <w:br w:type="textWrapping"/>
      </w:r>
      <w:r>
        <w:rPr>
          <w:rStyle w:val="VerbatimChar"/>
        </w:rPr>
        <w:t xml:space="preserve">#&gt;  vctrs              0.2.1      2019-12-17 [1] CRAN (R 3.6.0)</w:t>
      </w:r>
      <w:r>
        <w:br w:type="textWrapping"/>
      </w:r>
      <w:r>
        <w:rPr>
          <w:rStyle w:val="VerbatimChar"/>
        </w:rPr>
        <w:t xml:space="preserve">#&gt;  withr              2.1.2      2018-03-15 [2] CRAN (R 3.6.0)</w:t>
      </w:r>
      <w:r>
        <w:br w:type="textWrapping"/>
      </w:r>
      <w:r>
        <w:rPr>
          <w:rStyle w:val="VerbatimChar"/>
        </w:rPr>
        <w:t xml:space="preserve">#&gt;  xfun               0.12       2020-01-13 [1] CRAN (R 3.6.0)</w:t>
      </w:r>
      <w:r>
        <w:br w:type="textWrapping"/>
      </w:r>
      <w:r>
        <w:rPr>
          <w:rStyle w:val="VerbatimChar"/>
        </w:rPr>
        <w:t xml:space="preserve">#&gt;  xml2               1.2.2      2019-08-09 [2] CRAN (R 3.6.0)</w:t>
      </w:r>
      <w:r>
        <w:br w:type="textWrapping"/>
      </w:r>
      <w:r>
        <w:rPr>
          <w:rStyle w:val="VerbatimChar"/>
        </w:rPr>
        <w:t xml:space="preserve">#&gt;  yaml               2.2.0      2018-07-25 [2] CRAN (R 3.6.0)</w:t>
      </w:r>
      <w:r>
        <w:br w:type="textWrapping"/>
      </w:r>
      <w:r>
        <w:rPr>
          <w:rStyle w:val="VerbatimChar"/>
        </w:rPr>
        <w:t xml:space="preserve">#&gt;  zeallot            0.1.0      2018-01-28 [2] CRAN (R 3.6.0)</w:t>
      </w:r>
      <w:r>
        <w:br w:type="textWrapping"/>
      </w:r>
      <w:r>
        <w:rPr>
          <w:rStyle w:val="VerbatimChar"/>
        </w:rPr>
        <w:t xml:space="preserve">#&gt; </w:t>
      </w:r>
      <w:r>
        <w:br w:type="textWrapping"/>
      </w:r>
      <w:r>
        <w:rPr>
          <w:rStyle w:val="VerbatimChar"/>
        </w:rPr>
        <w:t xml:space="preserve">#&gt; [1] /Users/seek/Library/R/3.6/library</w:t>
      </w:r>
      <w:r>
        <w:br w:type="textWrapping"/>
      </w:r>
      <w:r>
        <w:rPr>
          <w:rStyle w:val="VerbatimChar"/>
        </w:rPr>
        <w:t xml:space="preserve">#&gt; [2]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/Users/seek/Documents/GitProjects/MyProjects/SthdReddObsError</w:t>
      </w:r>
      <w:r>
        <w:br w:type="textWrapping"/>
      </w:r>
      <w:r>
        <w:rPr>
          <w:rStyle w:val="VerbatimChar"/>
        </w:rPr>
        <w:t xml:space="preserve">#&gt; Remote:   master @ origin (git@github.com:KevinSee/SthdReddObsError.git)</w:t>
      </w:r>
      <w:r>
        <w:br w:type="textWrapping"/>
      </w:r>
      <w:r>
        <w:rPr>
          <w:rStyle w:val="VerbatimChar"/>
        </w:rPr>
        <w:t xml:space="preserve">#&gt; Head:     [efc2742] 2020-01-30: changed NetError_rate to NetError</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0" Target="mailto:Kevin.See@biomar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biomark.com"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in 2018</dc:title>
  <dc:creator>Kevin See1,✉</dc:creator>
  <cp:keywords/>
  <dcterms:created xsi:type="dcterms:W3CDTF">2020-01-30T01:54:33Z</dcterms:created>
  <dcterms:modified xsi:type="dcterms:W3CDTF">2020-01-30T01:54:33Z</dcterms:modified>
</cp:coreProperties>
</file>