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2.png" ContentType="image/png"/>
  <Override PartName="/word/media/rId30.png" ContentType="image/png"/>
  <Override PartName="/word/media/rId25.png" ContentType="image/png"/>
  <Override PartName="/word/media/rId26.png" ContentType="image/png"/>
  <Override PartName="/word/media/rId33.png" ContentType="image/png"/>
  <Override PartName="/word/media/rId34.png" ContentType="image/png"/>
  <Override PartName="/word/media/rId35.png" ContentType="image/png"/>
  <Override PartName="/word/media/rId31.png" ContentType="image/png"/>
  <Override PartName="/word/media/rId21.png" ContentType="image/png"/>
  <Override PartName="/word/media/rId22.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Estimates</w:t>
      </w:r>
      <w:r>
        <w:t xml:space="preserve"> </w:t>
      </w:r>
      <w:r>
        <w:t xml:space="preserve">of</w:t>
      </w:r>
      <w:r>
        <w:t xml:space="preserve"> </w:t>
      </w:r>
      <w:r>
        <w:t xml:space="preserve">Wenatchee</w:t>
      </w:r>
      <w:r>
        <w:t xml:space="preserve"> </w:t>
      </w:r>
      <w:r>
        <w:t xml:space="preserve">Steelhead</w:t>
      </w:r>
      <w:r>
        <w:t xml:space="preserve"> </w:t>
      </w:r>
      <w:r>
        <w:t xml:space="preserve">Spawners</w:t>
      </w:r>
    </w:p>
    <w:p>
      <w:pPr>
        <w:pStyle w:val="Subtitle"/>
      </w:pPr>
      <w:r>
        <w:t xml:space="preserve">Spawn</w:t>
      </w:r>
      <w:r>
        <w:t xml:space="preserve"> </w:t>
      </w:r>
      <w:r>
        <w:t xml:space="preserve">Years</w:t>
      </w:r>
      <w:r>
        <w:t xml:space="preserve"> </w:t>
      </w:r>
      <w:r>
        <w:t xml:space="preserve">1987-2022</w:t>
      </w:r>
    </w:p>
    <w:p>
      <w:pPr>
        <w:pStyle w:val="Author"/>
      </w:pPr>
      <w:r>
        <w:t xml:space="preserve">Kevin See</w:t>
      </w:r>
      <w:r>
        <w:rPr>
          <w:vertAlign w:val="superscript"/>
        </w:rPr>
        <w:t xml:space="preserve">1</w:t>
      </w:r>
      <w:r>
        <w:rPr>
          <w:vertAlign w:val="superscript"/>
        </w:rPr>
        <w:t xml:space="preserve">,</w:t>
      </w:r>
      <w:r>
        <w:rPr>
          <w:vertAlign w:val="superscript"/>
        </w:rPr>
        <w:t xml:space="preserve">✉</w:t>
      </w:r>
    </w:p>
    <w:p>
      <w:pPr>
        <w:pStyle w:val="Date"/>
      </w:pPr>
      <w:r>
        <w:t xml:space="preserve">April</w:t>
      </w:r>
      <w:r>
        <w:t xml:space="preserve"> </w:t>
      </w:r>
      <w:r>
        <w:t xml:space="preserve">14,</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Washington Department of Fish &amp; Wildlife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Pr>
            <w:t xml:space="preserve">Kevin.See@dfw.wa.gov</w:t>
          </w:r>
        </w:hyperlink>
        <w:r>
          <w:rPr>
            <w:rStyle w:val="Hyperlink"/>
          </w:rPr>
          <w:t xml:space="preserve">&gt;</w:t>
        </w:r>
      </w:hyperlink>
    </w:p>
    <w:bookmarkStart w:id="24" w:name="goal"/>
    <w:p>
      <w:pPr>
        <w:pStyle w:val="Heading1"/>
      </w:pPr>
      <w:r>
        <w:rPr>
          <w:rStyle w:val="SectionNumber"/>
        </w:rPr>
        <w:t xml:space="preserve">1</w:t>
      </w:r>
      <w:r>
        <w:tab/>
      </w:r>
      <w:r>
        <w:t xml:space="preserve">Goal</w:t>
      </w:r>
    </w:p>
    <w:p>
      <w:pPr>
        <w:pStyle w:val="FirstParagraph"/>
      </w:pPr>
      <w:r>
        <w:t xml:space="preserve">The current method of estimating spawners in the Wenatchee subbasin involves using a PIT-tag based escapement model (DABOM) to estimate tributary spawners</w:t>
      </w:r>
      <w:r>
        <w:t xml:space="preserve"> </w:t>
      </w:r>
      <w:r>
        <w:t xml:space="preserve">(Waterhouse et al. 2020)</w:t>
      </w:r>
      <w:r>
        <w:t xml:space="preserve"> </w:t>
      </w:r>
      <w:r>
        <w:t xml:space="preserve">and adjust the observed redd counts in the mainstem Wenatchee from two observers with a redd observer error model and a Gaussian area-under-the-curve method, as described in</w:t>
      </w:r>
      <w:r>
        <w:t xml:space="preserve"> </w:t>
      </w:r>
      <w:r>
        <w:t xml:space="preserve">Murdoch et al. (2018)</w:t>
      </w:r>
      <w:r>
        <w:t xml:space="preserve">. These adjusted redd counts are combined with redd counts in tributaries below the PIT tag arrays. The PIT tags observed moving into the mainstem (or the tributaries) are used to calculate a fish / redd estimate (males/females + 1</w:t>
      </w:r>
      <w:r>
        <w:t xml:space="preserve"> </w:t>
      </w:r>
      <w:r>
        <w:t xml:space="preserve">(Murdoch et al. 2009)</w:t>
      </w:r>
      <w:r>
        <w:t xml:space="preserve">) and the proportion of hatchery fish on the spawning grounds (pHOS), both of which are used to translate estimates of redds into estimates of hatchery and natural origin spawners. This method has been utilized from spawn year 2014 until the present.</w:t>
      </w:r>
    </w:p>
    <w:p>
      <w:pPr>
        <w:pStyle w:val="BodyText"/>
      </w:pPr>
      <w:r>
        <w:t xml:space="preserve">From 2011-2013, the exact same methods were used, except observer error was estimated with the one-observer net error model from</w:t>
      </w:r>
      <w:r>
        <w:t xml:space="preserve"> </w:t>
      </w:r>
      <w:r>
        <w:t xml:space="preserve">Murdoch et al. (2018)</w:t>
      </w:r>
      <w:r>
        <w:t xml:space="preserve">, because redd surveys in the Wenatchee during that time used a one-observer methodology.</w:t>
      </w:r>
    </w:p>
    <w:p>
      <w:pPr>
        <w:pStyle w:val="BodyText"/>
      </w:pPr>
      <w:r>
        <w:t xml:space="preserve">From 2004-2010, estimates of spawners come mainly from redd surveys, which are adjusted using the one-observer net error model from</w:t>
      </w:r>
      <w:r>
        <w:t xml:space="preserve"> </w:t>
      </w:r>
      <w:r>
        <w:t xml:space="preserve">Murdoch et al. (2018)</w:t>
      </w:r>
      <w:r>
        <w:t xml:space="preserve">. Estimates of fish / redd and pHOS come from fish sampled at Dryden dam or from broodstock collection. There were three tributaries (Mission, Chumstick and Chiwaukum) that were not part of the redd sampling frame. However, when PIT tag arrays were placed in those tributaries after 2011, some steelhead spawning was observed. Therefore, for 2004-2010, we expanded the estimate of hatchery and natural origin spawners by the mean proportion of overall Wenatchee spawners in those tributaries from 2011 on.</w:t>
      </w:r>
    </w:p>
    <w:p>
      <w:pPr>
        <w:pStyle w:val="BodyText"/>
      </w:pPr>
      <w:r>
        <w:t xml:space="preserve">This results in a complete time series from 2004-2021 of estimates of hatchery and natural origin spawners, with associated standard errors. We believe these estimates to be unbiased, based on</w:t>
      </w:r>
      <w:r>
        <w:t xml:space="preserve"> </w:t>
      </w:r>
      <w:r>
        <w:t xml:space="preserve">Murdoch et al. (2018)</w:t>
      </w:r>
      <w:r>
        <w:t xml:space="preserve"> </w:t>
      </w:r>
      <w:r>
        <w:t xml:space="preserve">and</w:t>
      </w:r>
      <w:r>
        <w:t xml:space="preserve"> </w:t>
      </w:r>
      <w:r>
        <w:t xml:space="preserve">Waterhouse et al. (2020)</w:t>
      </w:r>
      <w:r>
        <w:t xml:space="preserve">.</w:t>
      </w:r>
    </w:p>
    <w:p>
      <w:pPr>
        <w:pStyle w:val="BodyText"/>
      </w:pPr>
      <w:r>
        <w:t xml:space="preserve">There is another time series of estimates, from 1987 - 2021, using older methods based on dam counts at the mainstem dams on the Upper Columbia. The goal of this work is to establish a relationship between the two time-series, and use that relationship to</w:t>
      </w:r>
      <w:r>
        <w:t xml:space="preserve"> </w:t>
      </w:r>
      <w:r>
        <w:t xml:space="preserve">“</w:t>
      </w:r>
      <w:r>
        <w:t xml:space="preserve">adjust</w:t>
      </w:r>
      <w:r>
        <w:t xml:space="preserve">”</w:t>
      </w:r>
      <w:r>
        <w:t xml:space="preserve"> </w:t>
      </w:r>
      <w:r>
        <w:t xml:space="preserve">the older time-series, from 1987-2003, to better match the more recent time-series.</w:t>
      </w:r>
    </w:p>
    <w:p>
      <w:pPr>
        <w:pStyle w:val="CaptionedFigure"/>
      </w:pPr>
      <w:r>
        <w:drawing>
          <wp:inline>
            <wp:extent cx="5504749" cy="3669832"/>
            <wp:effectExtent b="0" l="0" r="0" t="0"/>
            <wp:docPr descr="Figure 1.1: Time-series of hatchery and natural origin spawners in the Wenatchee, colored by what method was used. Error bars represent 95% confidence intervals where available." title="" id="1" name="Picture"/>
            <a:graphic>
              <a:graphicData uri="http://schemas.openxmlformats.org/drawingml/2006/picture">
                <pic:pic>
                  <pic:nvPicPr>
                    <pic:cNvPr descr="../figures/ts-fig-1.png" id="0" name="Picture"/>
                    <pic:cNvPicPr>
                      <a:picLocks noChangeArrowheads="1" noChangeAspect="1"/>
                    </pic:cNvPicPr>
                  </pic:nvPicPr>
                  <pic:blipFill>
                    <a:blip r:embed="rId21"/>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1.1: Time-series of hatchery and natural origin spawners in the Wenatchee, colored by what method was used. Error bars represent 95% confidence intervals where available.</w:t>
      </w:r>
    </w:p>
    <w:p>
      <w:pPr>
        <w:pStyle w:val="CaptionedFigure"/>
      </w:pPr>
      <w:r>
        <w:drawing>
          <wp:inline>
            <wp:extent cx="5504749" cy="3669832"/>
            <wp:effectExtent b="0" l="0" r="0" t="0"/>
            <wp:docPr descr="Figure 1.2: Scatterplots of hatchery and natural origin spawners in the Wenatachee, as estimated by the old method (x-axis) and new methods (y-axis). The blue line is a loess fit, and the red line shows a linear fit forced through the origin." title="" id="1" name="Picture"/>
            <a:graphic>
              <a:graphicData uri="http://schemas.openxmlformats.org/drawingml/2006/picture">
                <pic:pic>
                  <pic:nvPicPr>
                    <pic:cNvPr descr="../figures/xy-fig-1.png" id="0" name="Picture"/>
                    <pic:cNvPicPr>
                      <a:picLocks noChangeArrowheads="1" noChangeAspect="1"/>
                    </pic:cNvPicPr>
                  </pic:nvPicPr>
                  <pic:blipFill>
                    <a:blip r:embed="rId22"/>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1.2: Scatterplots of hatchery and natural origin spawners in the Wenatachee, as estimated by the old method (x-axis) and new methods (y-axis). The blue line is a loess fit, and the red line shows a linear fit forced through the origin.</w:t>
      </w:r>
    </w:p>
    <w:p>
      <w:pPr>
        <w:pStyle w:val="CaptionedFigure"/>
      </w:pPr>
      <w:r>
        <w:drawing>
          <wp:inline>
            <wp:extent cx="5504749" cy="3669832"/>
            <wp:effectExtent b="0" l="0" r="0" t="0"/>
            <wp:docPr descr="Figure 1.3: Log-log scatterplots of hatchery and natural origin spawners in the Wenatachee, as estimated by the old method (x-axis) and new methods (y-axis). The blue line is a loess fit, and the red line shows a linear fit forced through the origin." title="" id="1" name="Picture"/>
            <a:graphic>
              <a:graphicData uri="http://schemas.openxmlformats.org/drawingml/2006/picture">
                <pic:pic>
                  <pic:nvPicPr>
                    <pic:cNvPr descr="../figures/xy-ll-fig-1.png" id="0" name="Picture"/>
                    <pic:cNvPicPr>
                      <a:picLocks noChangeArrowheads="1" noChangeAspect="1"/>
                    </pic:cNvPicPr>
                  </pic:nvPicPr>
                  <pic:blipFill>
                    <a:blip r:embed="rId2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1.3: Log-log scatterplots of hatchery and natural origin spawners in the Wenatachee, as estimated by the old method (x-axis) and new methods (y-axis). The blue line is a loess fit, and the red line shows a linear fit forced through the origin.</w:t>
      </w:r>
    </w:p>
    <w:bookmarkEnd w:id="24"/>
    <w:bookmarkStart w:id="38" w:name="methods-and-results"/>
    <w:p>
      <w:pPr>
        <w:pStyle w:val="Heading1"/>
      </w:pPr>
      <w:r>
        <w:rPr>
          <w:rStyle w:val="SectionNumber"/>
        </w:rPr>
        <w:t xml:space="preserve">2</w:t>
      </w:r>
      <w:r>
        <w:tab/>
      </w:r>
      <w:r>
        <w:t xml:space="preserve">Methods and Results</w:t>
      </w:r>
    </w:p>
    <w:bookmarkStart w:id="28" w:name="linear-model"/>
    <w:p>
      <w:pPr>
        <w:pStyle w:val="Heading2"/>
      </w:pPr>
      <w:r>
        <w:rPr>
          <w:rStyle w:val="SectionNumber"/>
        </w:rPr>
        <w:t xml:space="preserve">2.1</w:t>
      </w:r>
      <w:r>
        <w:tab/>
      </w:r>
      <w:r>
        <w:t xml:space="preserve">Linear Model</w:t>
      </w:r>
    </w:p>
    <w:p>
      <w:pPr>
        <w:pStyle w:val="FirstParagraph"/>
      </w:pPr>
      <w:r>
        <w:t xml:space="preserve">Our first approach was to treat each year as independent, and fit a linear model that includes interactions with origin for both the intercept and slope, with the new estimates as the independent variable and old estimates as the dependent variable. We also tested a log-log linear regression, which involved taking the natural logarithm of each time-series before fitting a linear regression.</w:t>
      </w:r>
    </w:p>
    <w:p>
      <w:pPr>
        <w:pStyle w:val="CaptionedFigure"/>
      </w:pPr>
      <w:r>
        <w:drawing>
          <wp:inline>
            <wp:extent cx="5504749" cy="3669832"/>
            <wp:effectExtent b="0" l="0" r="0" t="0"/>
            <wp:docPr descr="Figure 2.1: Black lines show linear regression estimates with the 95% confidence intervals depicted as grey ribbons. Blue triangles depict estimates from the old time-series, while red points and 95% confidence intervals are from the new time-series." title="" id="1" name="Picture"/>
            <a:graphic>
              <a:graphicData uri="http://schemas.openxmlformats.org/drawingml/2006/picture">
                <pic:pic>
                  <pic:nvPicPr>
                    <pic:cNvPr descr="../figures/lin-fit-1.png" id="0" name="Picture"/>
                    <pic:cNvPicPr>
                      <a:picLocks noChangeArrowheads="1" noChangeAspect="1"/>
                    </pic:cNvPicPr>
                  </pic:nvPicPr>
                  <pic:blipFill>
                    <a:blip r:embed="rId25"/>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2.1: Black lines show linear regression estimates with the 95% confidence intervals depicted as grey ribbons. Blue triangles depict estimates from the old time-series, while red points and 95% confidence intervals are from the new time-series.</w:t>
      </w:r>
    </w:p>
    <w:p>
      <w:pPr>
        <w:pStyle w:val="CaptionedFigure"/>
      </w:pPr>
      <w:r>
        <w:drawing>
          <wp:inline>
            <wp:extent cx="5504749" cy="3669832"/>
            <wp:effectExtent b="0" l="0" r="0" t="0"/>
            <wp:docPr descr="Figure 2.2: Black lines show log-log linear regression estimates with the 95% confidence intervals depicted as grey ribbons. Blue triangles depict estimates from the old time-series, while red points and 95% confidence intervals are from the new time-series." title="" id="1" name="Picture"/>
            <a:graphic>
              <a:graphicData uri="http://schemas.openxmlformats.org/drawingml/2006/picture">
                <pic:pic>
                  <pic:nvPicPr>
                    <pic:cNvPr descr="../figures/log-log-fig-1.png" id="0" name="Picture"/>
                    <pic:cNvPicPr>
                      <a:picLocks noChangeArrowheads="1" noChangeAspect="1"/>
                    </pic:cNvPicPr>
                  </pic:nvPicPr>
                  <pic:blipFill>
                    <a:blip r:embed="rId26"/>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2.2: Black lines show log-log linear regression estimates with the 95% confidence intervals depicted as grey ribbons. Blue triangles depict estimates from the old time-series, while red points and 95% confidence intervals are from the new time-series.</w:t>
      </w:r>
    </w:p>
    <w:bookmarkStart w:id="27" w:name="linear-modeling-results"/>
    <w:p>
      <w:pPr>
        <w:pStyle w:val="Heading3"/>
      </w:pPr>
      <w:r>
        <w:rPr>
          <w:rStyle w:val="SectionNumber"/>
        </w:rPr>
        <w:t xml:space="preserve">2.1.1</w:t>
      </w:r>
      <w:r>
        <w:tab/>
      </w:r>
      <w:r>
        <w:t xml:space="preserve">Linear Modeling Results</w:t>
      </w:r>
    </w:p>
    <w:p>
      <w:pPr>
        <w:pStyle w:val="FirstParagraph"/>
      </w:pPr>
      <w:r>
        <w:t xml:space="preserve">Neither a linear nor a log-log linear model fit the data very well (Figures</w:t>
      </w:r>
      <w:r>
        <w:t xml:space="preserve"> </w:t>
      </w:r>
      <w:r>
        <w:t xml:space="preserve">1.2</w:t>
      </w:r>
      <w:r>
        <w:t xml:space="preserve"> </w:t>
      </w:r>
      <w:r>
        <w:t xml:space="preserve">and</w:t>
      </w:r>
      <w:r>
        <w:t xml:space="preserve"> </w:t>
      </w:r>
      <w:r>
        <w:t xml:space="preserve">1.3</w:t>
      </w:r>
      <w:r>
        <w:t xml:space="preserve">). A linear fit to these scatter plots would imply a consistent bias (either additive or multiplicative). The lack of such an obvious fit implies the relationship between the two time-series is more complicated. Both appeared to underestimate abundance during years when the older method predicted high numbers steelhead spawners (Figures</w:t>
      </w:r>
      <w:r>
        <w:t xml:space="preserve"> </w:t>
      </w:r>
      <w:r>
        <w:t xml:space="preserve">2.1</w:t>
      </w:r>
      <w:r>
        <w:t xml:space="preserve"> </w:t>
      </w:r>
      <w:r>
        <w:t xml:space="preserve">and</w:t>
      </w:r>
      <w:r>
        <w:t xml:space="preserve"> </w:t>
      </w:r>
      <w:r>
        <w:t xml:space="preserve">2.2</w:t>
      </w:r>
      <w:r>
        <w:t xml:space="preserve">).</w:t>
      </w:r>
    </w:p>
    <w:bookmarkEnd w:id="27"/>
    <w:bookmarkEnd w:id="28"/>
    <w:bookmarkStart w:id="37" w:name="marss"/>
    <w:p>
      <w:pPr>
        <w:pStyle w:val="Heading2"/>
      </w:pPr>
      <w:r>
        <w:rPr>
          <w:rStyle w:val="SectionNumber"/>
        </w:rPr>
        <w:t xml:space="preserve">2.2</w:t>
      </w:r>
      <w:r>
        <w:tab/>
      </w:r>
      <w:r>
        <w:t xml:space="preserve">MARSS</w:t>
      </w:r>
    </w:p>
    <w:p>
      <w:pPr>
        <w:pStyle w:val="FirstParagraph"/>
      </w:pPr>
      <w:r>
        <w:t xml:space="preserve">Our next approach was to fit a multivariate auto-regressive state-space (MARSS) model</w:t>
      </w:r>
      <w:r>
        <w:t xml:space="preserve"> </w:t>
      </w:r>
      <w:r>
        <w:t xml:space="preserve">(Holmes et al. 2012, 2021)</w:t>
      </w:r>
      <w:r>
        <w:t xml:space="preserve"> </w:t>
      </w:r>
      <w:r>
        <w:t xml:space="preserve">to the two time-series, ensuring that the only offset of the true states is for the old time-series and that the observation error of the new time-series is informed by mean standard error from the new time-series.</w:t>
      </w:r>
    </w:p>
    <w:p>
      <w:pPr>
        <w:pStyle w:val="BodyText"/>
      </w:pPr>
      <w:r>
        <w:t xml:space="preserve">A MARSS model is of the form:</w:t>
      </w:r>
    </w:p>
    <w:p>
      <w:pPr>
        <w:pStyle w:val="BodyText"/>
      </w:pPr>
      <m:oMathPara>
        <m:oMathParaPr>
          <m:jc m:val="center"/>
        </m:oMathParaPr>
        <m:oMath>
          <m:m>
            <m:mPr>
              <m:baseJc m:val="center"/>
              <m:plcHide m:val="1"/>
              <m:mcs>
                <m:mc>
                  <m:mcPr>
                    <m:mcJc m:val="right"/>
                    <m:count m:val="1"/>
                  </m:mcPr>
                </m:mc>
              </m:mcs>
            </m:mPr>
            <m:mr>
              <m:e>
                <m:sSub>
                  <m:e>
                    <m:r>
                      <m:rPr>
                        <m:nor/>
                        <m:sty m:val="b"/>
                      </m:rPr>
                      <m:t>x</m:t>
                    </m:r>
                  </m:e>
                  <m:sub>
                    <m:r>
                      <m:t>t</m:t>
                    </m:r>
                  </m:sub>
                </m:sSub>
                <m:r>
                  <m:rPr>
                    <m:sty m:val="p"/>
                  </m:rPr>
                  <m:t>=</m:t>
                </m:r>
                <m:r>
                  <m:rPr>
                    <m:nor/>
                    <m:sty m:val="b"/>
                  </m:rPr>
                  <m:t>B</m:t>
                </m:r>
                <m:sSub>
                  <m:e>
                    <m:r>
                      <m:rPr>
                        <m:nor/>
                        <m:sty m:val="b"/>
                      </m:rPr>
                      <m:t>x</m:t>
                    </m:r>
                  </m:e>
                  <m:sub>
                    <m:r>
                      <m:t>t</m:t>
                    </m:r>
                    <m:r>
                      <m:rPr>
                        <m:sty m:val="p"/>
                      </m:rPr>
                      <m:t>−</m:t>
                    </m:r>
                    <m:r>
                      <m:t>1</m:t>
                    </m:r>
                  </m:sub>
                </m:sSub>
                <m:r>
                  <m:rPr>
                    <m:sty m:val="p"/>
                  </m:rPr>
                  <m:t>+</m:t>
                </m:r>
                <m:r>
                  <m:rPr>
                    <m:nor/>
                    <m:sty m:val="b"/>
                  </m:rPr>
                  <m:t>u</m:t>
                </m:r>
                <m:r>
                  <m:rPr>
                    <m:sty m:val="p"/>
                  </m:rPr>
                  <m:t>+</m:t>
                </m:r>
                <m:sSub>
                  <m:e>
                    <m:r>
                      <m:rPr>
                        <m:nor/>
                        <m:sty m:val="b"/>
                      </m:rPr>
                      <m:t>C</m:t>
                    </m:r>
                  </m:e>
                  <m:sub>
                    <m:r>
                      <m:t>t</m:t>
                    </m:r>
                  </m:sub>
                </m:sSub>
                <m:sSub>
                  <m:e>
                    <m:r>
                      <m:rPr>
                        <m:nor/>
                        <m:sty m:val="b"/>
                      </m:rPr>
                      <m:t>c</m:t>
                    </m:r>
                  </m:e>
                  <m:sub>
                    <m:r>
                      <m:t>t</m:t>
                    </m:r>
                  </m:sub>
                </m:sSub>
                <m:r>
                  <m:rPr>
                    <m:sty m:val="p"/>
                  </m:rPr>
                  <m:t>+</m:t>
                </m:r>
                <m:sSub>
                  <m:e>
                    <m:r>
                      <m:rPr>
                        <m:nor/>
                        <m:sty m:val="b"/>
                      </m:rPr>
                      <m:t>w</m:t>
                    </m:r>
                  </m:e>
                  <m:sub>
                    <m:r>
                      <m:t>t</m:t>
                    </m:r>
                  </m:sub>
                </m:sSub>
                <m:r>
                  <m:rPr>
                    <m:sty m:val="p"/>
                  </m:rPr>
                  <m:t>,</m:t>
                </m:r>
                <m:r>
                  <m:rPr>
                    <m:nor/>
                    <m:sty m:val="p"/>
                  </m:rPr>
                  <m:t>where </m:t>
                </m:r>
                <m:sSub>
                  <m:e>
                    <m:r>
                      <m:rPr>
                        <m:nor/>
                        <m:sty m:val="b"/>
                      </m:rPr>
                      <m:t>w</m:t>
                    </m:r>
                  </m:e>
                  <m:sub>
                    <m:r>
                      <m:t>t</m:t>
                    </m:r>
                  </m:sub>
                </m:sSub>
                <m:r>
                  <m:rPr>
                    <m:sty m:val="p"/>
                  </m:rPr>
                  <m:t>∼</m:t>
                </m:r>
                <m:r>
                  <m:t>M</m:t>
                </m:r>
                <m:r>
                  <m:t>V</m:t>
                </m:r>
                <m:r>
                  <m:t>N</m:t>
                </m:r>
                <m:d>
                  <m:dPr>
                    <m:begChr m:val="("/>
                    <m:endChr m:val=")"/>
                    <m:sepChr m:val=""/>
                    <m:grow/>
                  </m:dPr>
                  <m:e>
                    <m:r>
                      <m:t>0</m:t>
                    </m:r>
                    <m:r>
                      <m:rPr>
                        <m:sty m:val="p"/>
                      </m:rPr>
                      <m:t>,</m:t>
                    </m:r>
                    <m:r>
                      <m:rPr>
                        <m:nor/>
                        <m:sty m:val="b"/>
                      </m:rPr>
                      <m:t>Q</m:t>
                    </m:r>
                  </m:e>
                </m:d>
              </m:e>
            </m:mr>
            <m:mr>
              <m:e>
                <m:sSub>
                  <m:e>
                    <m:r>
                      <m:rPr>
                        <m:nor/>
                        <m:sty m:val="b"/>
                      </m:rPr>
                      <m:t>y</m:t>
                    </m:r>
                  </m:e>
                  <m:sub>
                    <m:r>
                      <m:t>t</m:t>
                    </m:r>
                  </m:sub>
                </m:sSub>
                <m:r>
                  <m:rPr>
                    <m:sty m:val="p"/>
                  </m:rPr>
                  <m:t>=</m:t>
                </m:r>
                <m:r>
                  <m:rPr>
                    <m:nor/>
                    <m:sty m:val="b"/>
                  </m:rPr>
                  <m:t>Z</m:t>
                </m:r>
                <m:sSub>
                  <m:e>
                    <m:r>
                      <m:rPr>
                        <m:nor/>
                        <m:sty m:val="b"/>
                      </m:rPr>
                      <m:t>x</m:t>
                    </m:r>
                  </m:e>
                  <m:sub>
                    <m:r>
                      <m:t>t</m:t>
                    </m:r>
                  </m:sub>
                </m:sSub>
                <m:r>
                  <m:rPr>
                    <m:sty m:val="p"/>
                  </m:rPr>
                  <m:t>+</m:t>
                </m:r>
                <m:r>
                  <m:rPr>
                    <m:nor/>
                    <m:sty m:val="b"/>
                  </m:rPr>
                  <m:t>a</m:t>
                </m:r>
                <m:r>
                  <m:rPr>
                    <m:sty m:val="p"/>
                  </m:rPr>
                  <m:t>+</m:t>
                </m:r>
                <m:sSub>
                  <m:e>
                    <m:r>
                      <m:rPr>
                        <m:nor/>
                        <m:sty m:val="b"/>
                      </m:rPr>
                      <m:t>D</m:t>
                    </m:r>
                  </m:e>
                  <m:sub>
                    <m:r>
                      <m:t>t</m:t>
                    </m:r>
                  </m:sub>
                </m:sSub>
                <m:sSub>
                  <m:e>
                    <m:r>
                      <m:rPr>
                        <m:nor/>
                        <m:sty m:val="b"/>
                      </m:rPr>
                      <m:t>d</m:t>
                    </m:r>
                  </m:e>
                  <m:sub>
                    <m:r>
                      <m:t>t</m:t>
                    </m:r>
                  </m:sub>
                </m:sSub>
                <m:r>
                  <m:rPr>
                    <m:sty m:val="p"/>
                  </m:rPr>
                  <m:t>+</m:t>
                </m:r>
                <m:sSub>
                  <m:e>
                    <m:r>
                      <m:rPr>
                        <m:nor/>
                        <m:sty m:val="b"/>
                      </m:rPr>
                      <m:t>v</m:t>
                    </m:r>
                  </m:e>
                  <m:sub>
                    <m:r>
                      <m:t>t</m:t>
                    </m:r>
                  </m:sub>
                </m:sSub>
                <m:r>
                  <m:rPr>
                    <m:sty m:val="p"/>
                  </m:rPr>
                  <m:t>,</m:t>
                </m:r>
                <m:r>
                  <m:rPr>
                    <m:nor/>
                    <m:sty m:val="p"/>
                  </m:rPr>
                  <m:t>where </m:t>
                </m:r>
                <m:sSub>
                  <m:e>
                    <m:r>
                      <m:rPr>
                        <m:nor/>
                        <m:sty m:val="b"/>
                      </m:rPr>
                      <m:t>v</m:t>
                    </m:r>
                  </m:e>
                  <m:sub>
                    <m:r>
                      <m:t>t</m:t>
                    </m:r>
                  </m:sub>
                </m:sSub>
                <m:r>
                  <m:rPr>
                    <m:sty m:val="p"/>
                  </m:rPr>
                  <m:t>∼</m:t>
                </m:r>
                <m:r>
                  <m:t>M</m:t>
                </m:r>
                <m:r>
                  <m:t>V</m:t>
                </m:r>
                <m:r>
                  <m:t>N</m:t>
                </m:r>
                <m:d>
                  <m:dPr>
                    <m:begChr m:val="("/>
                    <m:endChr m:val=")"/>
                    <m:sepChr m:val=""/>
                    <m:grow/>
                  </m:dPr>
                  <m:e>
                    <m:r>
                      <m:t>0</m:t>
                    </m:r>
                    <m:r>
                      <m:rPr>
                        <m:sty m:val="p"/>
                      </m:rPr>
                      <m:t>,</m:t>
                    </m:r>
                    <m:r>
                      <m:rPr>
                        <m:nor/>
                        <m:sty m:val="b"/>
                      </m:rPr>
                      <m:t>R</m:t>
                    </m:r>
                  </m:e>
                </m:d>
              </m:e>
            </m:mr>
          </m:m>
        </m:oMath>
      </m:oMathPara>
    </w:p>
    <w:p>
      <w:pPr>
        <w:pStyle w:val="FirstParagraph"/>
      </w:pPr>
      <w:r>
        <w:t xml:space="preserve">where</w:t>
      </w:r>
      <w:r>
        <w:t xml:space="preserve"> </w:t>
      </w:r>
      <m:oMath>
        <m:sSub>
          <m:e>
            <m:r>
              <m:rPr>
                <m:nor/>
                <m:sty m:val="b"/>
              </m:rPr>
              <m:t>x</m:t>
            </m:r>
          </m:e>
          <m:sub>
            <m:r>
              <m:t>t</m:t>
            </m:r>
          </m:sub>
        </m:sSub>
      </m:oMath>
      <w:r>
        <w:t xml:space="preserve"> </w:t>
      </w:r>
      <w:r>
        <w:t xml:space="preserve">represents the true state at time</w:t>
      </w:r>
      <w:r>
        <w:t xml:space="preserve"> </w:t>
      </w:r>
      <m:oMath>
        <m:r>
          <m:t>t</m:t>
        </m:r>
      </m:oMath>
      <w:r>
        <w:t xml:space="preserve">, which change as a correlated random walk through time. The</w:t>
      </w:r>
      <w:r>
        <w:t xml:space="preserve"> </w:t>
      </w:r>
      <m:oMath>
        <m:r>
          <m:rPr>
            <m:nor/>
            <m:sty m:val="b"/>
          </m:rPr>
          <m:t>u</m:t>
        </m:r>
      </m:oMath>
      <w:r>
        <w:t xml:space="preserve"> </w:t>
      </w:r>
      <w:r>
        <w:t xml:space="preserve">term represents average drift or trend through time. Meanwhile,</w:t>
      </w:r>
      <w:r>
        <w:t xml:space="preserve"> </w:t>
      </w:r>
      <m:oMath>
        <m:sSub>
          <m:e>
            <m:r>
              <m:rPr>
                <m:nor/>
                <m:sty m:val="b"/>
              </m:rPr>
              <m:t>y</m:t>
            </m:r>
          </m:e>
          <m:sub>
            <m:r>
              <m:t>t</m:t>
            </m:r>
          </m:sub>
        </m:sSub>
      </m:oMath>
      <w:r>
        <w:t xml:space="preserve"> </w:t>
      </w:r>
      <w:r>
        <w:t xml:space="preserve">represent the observations of those true states,</w:t>
      </w:r>
      <w:r>
        <w:t xml:space="preserve"> </w:t>
      </w:r>
      <m:oMath>
        <m:sSub>
          <m:e>
            <m:r>
              <m:rPr>
                <m:nor/>
                <m:sty m:val="b"/>
              </m:rPr>
              <m:t>x</m:t>
            </m:r>
          </m:e>
          <m:sub>
            <m:r>
              <m:t>t</m:t>
            </m:r>
          </m:sub>
        </m:sSub>
      </m:oMath>
      <w:r>
        <w:t xml:space="preserve">. Which state each element of</w:t>
      </w:r>
      <w:r>
        <w:t xml:space="preserve"> </w:t>
      </w:r>
      <m:oMath>
        <m:sSub>
          <m:e>
            <m:r>
              <m:rPr>
                <m:nor/>
                <m:sty m:val="b"/>
              </m:rPr>
              <m:t>y</m:t>
            </m:r>
          </m:e>
          <m:sub>
            <m:r>
              <m:t>t</m:t>
            </m:r>
          </m:sub>
        </m:sSub>
      </m:oMath>
      <w:r>
        <w:t xml:space="preserve"> </w:t>
      </w:r>
      <w:r>
        <w:t xml:space="preserve">is an observation of is determined by the</w:t>
      </w:r>
      <w:r>
        <w:t xml:space="preserve"> </w:t>
      </w:r>
      <m:oMath>
        <m:r>
          <m:rPr>
            <m:nor/>
            <m:sty m:val="b"/>
          </m:rPr>
          <m:t>Z</m:t>
        </m:r>
      </m:oMath>
      <w:r>
        <w:t xml:space="preserve"> </w:t>
      </w:r>
      <w:r>
        <w:t xml:space="preserve">matrix, while</w:t>
      </w:r>
      <w:r>
        <w:t xml:space="preserve"> </w:t>
      </w:r>
      <m:oMath>
        <m:r>
          <m:rPr>
            <m:nor/>
            <m:sty m:val="b"/>
          </m:rPr>
          <m:t>a</m:t>
        </m:r>
      </m:oMath>
      <w:r>
        <w:t xml:space="preserve"> </w:t>
      </w:r>
      <w:r>
        <w:t xml:space="preserve">represents a fixed offset between different elements of</w:t>
      </w:r>
      <w:r>
        <w:t xml:space="preserve"> </w:t>
      </w:r>
      <m:oMath>
        <m:r>
          <m:rPr>
            <m:nor/>
            <m:sty m:val="b"/>
          </m:rPr>
          <m:t>y</m:t>
        </m:r>
      </m:oMath>
      <w:r>
        <w:t xml:space="preserve">.</w:t>
      </w:r>
      <w:r>
        <w:t xml:space="preserve"> </w:t>
      </w:r>
      <m:oMath>
        <m:sSub>
          <m:e>
            <m:r>
              <m:rPr>
                <m:nor/>
                <m:sty m:val="b"/>
              </m:rPr>
              <m:t>C</m:t>
            </m:r>
          </m:e>
          <m:sub>
            <m:r>
              <m:t>t</m:t>
            </m:r>
          </m:sub>
        </m:sSub>
      </m:oMath>
      <w:r>
        <w:t xml:space="preserve"> </w:t>
      </w:r>
      <w:r>
        <w:t xml:space="preserve">and</w:t>
      </w:r>
      <w:r>
        <w:t xml:space="preserve"> </w:t>
      </w:r>
      <m:oMath>
        <m:sSub>
          <m:e>
            <m:r>
              <m:rPr>
                <m:nor/>
                <m:sty m:val="b"/>
              </m:rPr>
              <m:t>D</m:t>
            </m:r>
          </m:e>
          <m:sub>
            <m:r>
              <m:t>t</m:t>
            </m:r>
          </m:sub>
        </m:sSub>
      </m:oMath>
      <w:r>
        <w:t xml:space="preserve"> </w:t>
      </w:r>
      <w:r>
        <w:t xml:space="preserve">are possible parameters that show how inputs</w:t>
      </w:r>
      <w:r>
        <w:t xml:space="preserve"> </w:t>
      </w:r>
      <m:oMath>
        <m:sSub>
          <m:e>
            <m:r>
              <m:rPr>
                <m:nor/>
                <m:sty m:val="b"/>
              </m:rPr>
              <m:t>c</m:t>
            </m:r>
          </m:e>
          <m:sub>
            <m:r>
              <m:t>t</m:t>
            </m:r>
          </m:sub>
        </m:sSub>
      </m:oMath>
      <w:r>
        <w:t xml:space="preserve"> </w:t>
      </w:r>
      <w:r>
        <w:t xml:space="preserve">and</w:t>
      </w:r>
      <w:r>
        <w:t xml:space="preserve"> </w:t>
      </w:r>
      <m:oMath>
        <m:sSub>
          <m:e>
            <m:r>
              <m:rPr>
                <m:nor/>
                <m:sty m:val="b"/>
              </m:rPr>
              <m:t>d</m:t>
            </m:r>
          </m:e>
          <m:sub>
            <m:r>
              <m:t>t</m:t>
            </m:r>
          </m:sub>
        </m:sSub>
      </m:oMath>
      <w:r>
        <w:t xml:space="preserve"> </w:t>
      </w:r>
      <w:r>
        <w:t xml:space="preserve">influence the states (</w:t>
      </w:r>
      <m:oMath>
        <m:sSub>
          <m:e>
            <m:r>
              <m:rPr>
                <m:nor/>
                <m:sty m:val="b"/>
              </m:rPr>
              <m:t>x</m:t>
            </m:r>
          </m:e>
          <m:sub>
            <m:r>
              <m:t>t</m:t>
            </m:r>
          </m:sub>
        </m:sSub>
      </m:oMath>
      <w:r>
        <w:t xml:space="preserve">) or observations (</w:t>
      </w:r>
      <m:oMath>
        <m:sSub>
          <m:e>
            <m:r>
              <m:rPr>
                <m:nor/>
                <m:sty m:val="b"/>
              </m:rPr>
              <m:t>y</m:t>
            </m:r>
          </m:e>
          <m:sub>
            <m:r>
              <m:t>t</m:t>
            </m:r>
          </m:sub>
        </m:sSub>
      </m:oMath>
      <w:r>
        <w:t xml:space="preserve">); in other words they are covariates. Finally</w:t>
      </w:r>
      <w:r>
        <w:t xml:space="preserve"> </w:t>
      </w:r>
      <m:oMath>
        <m:r>
          <m:rPr>
            <m:nor/>
            <m:sty m:val="b"/>
          </m:rPr>
          <m:t>Q</m:t>
        </m:r>
      </m:oMath>
      <w:r>
        <w:t xml:space="preserve"> </w:t>
      </w:r>
      <w:r>
        <w:t xml:space="preserve">is the process error variance, while</w:t>
      </w:r>
      <w:r>
        <w:t xml:space="preserve"> </w:t>
      </w:r>
      <m:oMath>
        <m:r>
          <m:rPr>
            <m:nor/>
            <m:sty m:val="b"/>
          </m:rPr>
          <m:t>R</m:t>
        </m:r>
      </m:oMath>
      <w:r>
        <w:t xml:space="preserve"> </w:t>
      </w:r>
      <w:r>
        <w:t xml:space="preserve">is the observation error covariance matrix. This framework works best in log-space, so we log-transformed</w:t>
      </w:r>
      <w:r>
        <w:t xml:space="preserve"> </w:t>
      </w:r>
      <m:oMath>
        <m:sSub>
          <m:e>
            <m:r>
              <m:rPr>
                <m:nor/>
                <m:sty m:val="b"/>
              </m:rPr>
              <m:t>y</m:t>
            </m:r>
          </m:e>
          <m:sub>
            <m:r>
              <m:t>t</m:t>
            </m:r>
          </m:sub>
        </m:sSub>
      </m:oMath>
      <w:r>
        <w:t xml:space="preserve">. Further details of MARSS models can be found in the</w:t>
      </w:r>
      <w:r>
        <w:t xml:space="preserve"> </w:t>
      </w:r>
      <w:hyperlink r:id="rId29">
        <w:r>
          <w:rPr>
            <w:rStyle w:val="Hyperlink"/>
          </w:rPr>
          <w:t xml:space="preserve">MARSS user guide</w:t>
        </w:r>
      </w:hyperlink>
      <w:r>
        <w:t xml:space="preserve">.</w:t>
      </w:r>
    </w:p>
    <w:p>
      <w:pPr>
        <w:numPr>
          <w:ilvl w:val="0"/>
          <w:numId w:val="1001"/>
        </w:numPr>
      </w:pPr>
      <w:r>
        <w:t xml:space="preserve">We set</w:t>
      </w:r>
      <w:r>
        <w:t xml:space="preserve"> </w:t>
      </w:r>
      <m:oMath>
        <m:sSub>
          <m:e>
            <m:r>
              <m:rPr>
                <m:nor/>
                <m:sty m:val="b"/>
              </m:rPr>
              <m:t>y</m:t>
            </m:r>
          </m:e>
          <m:sub>
            <m:r>
              <m:t>1</m:t>
            </m:r>
            <m:r>
              <m:rPr>
                <m:sty m:val="p"/>
              </m:rPr>
              <m:t>,</m:t>
            </m:r>
            <m:r>
              <m:t>t</m:t>
            </m:r>
          </m:sub>
        </m:sSub>
      </m:oMath>
      <w:r>
        <w:t xml:space="preserve"> </w:t>
      </w:r>
      <w:r>
        <w:t xml:space="preserve">and</w:t>
      </w:r>
      <w:r>
        <w:t xml:space="preserve"> </w:t>
      </w:r>
      <m:oMath>
        <m:sSub>
          <m:e>
            <m:r>
              <m:rPr>
                <m:nor/>
                <m:sty m:val="b"/>
              </m:rPr>
              <m:t>y</m:t>
            </m:r>
          </m:e>
          <m:sub>
            <m:r>
              <m:t>3</m:t>
            </m:r>
            <m:r>
              <m:rPr>
                <m:sty m:val="p"/>
              </m:rPr>
              <m:t>,</m:t>
            </m:r>
            <m:r>
              <m:t>t</m:t>
            </m:r>
          </m:sub>
        </m:sSub>
      </m:oMath>
      <w:r>
        <w:t xml:space="preserve"> </w:t>
      </w:r>
      <w:r>
        <w:t xml:space="preserve">to be the estimates of hatchery and wild spawners using the most updated methods, while</w:t>
      </w:r>
      <w:r>
        <w:t xml:space="preserve"> </w:t>
      </w:r>
      <m:oMath>
        <m:sSub>
          <m:e>
            <m:r>
              <m:rPr>
                <m:nor/>
                <m:sty m:val="b"/>
              </m:rPr>
              <m:t>y</m:t>
            </m:r>
          </m:e>
          <m:sub>
            <m:r>
              <m:t>2</m:t>
            </m:r>
            <m:r>
              <m:rPr>
                <m:sty m:val="p"/>
              </m:rPr>
              <m:t>,</m:t>
            </m:r>
            <m:r>
              <m:t>t</m:t>
            </m:r>
          </m:sub>
        </m:sSub>
      </m:oMath>
      <w:r>
        <w:t xml:space="preserve"> </w:t>
      </w:r>
      <w:r>
        <w:t xml:space="preserve">and</w:t>
      </w:r>
      <w:r>
        <w:t xml:space="preserve"> </w:t>
      </w:r>
      <m:oMath>
        <m:sSub>
          <m:e>
            <m:r>
              <m:rPr>
                <m:nor/>
                <m:sty m:val="b"/>
              </m:rPr>
              <m:t>y</m:t>
            </m:r>
          </m:e>
          <m:sub>
            <m:r>
              <m:t>4</m:t>
            </m:r>
            <m:r>
              <m:rPr>
                <m:sty m:val="p"/>
              </m:rPr>
              <m:t>,</m:t>
            </m:r>
            <m:r>
              <m:t>t</m:t>
            </m:r>
          </m:sub>
        </m:sSub>
      </m:oMath>
      <w:r>
        <w:t xml:space="preserve"> </w:t>
      </w:r>
      <w:r>
        <w:t xml:space="preserve">are the vector of estimates of hatchery and wild spawners using the older method.</w:t>
      </w:r>
    </w:p>
    <w:p>
      <w:pPr>
        <w:numPr>
          <w:ilvl w:val="0"/>
          <w:numId w:val="1001"/>
        </w:numPr>
      </w:pPr>
      <w:r>
        <w:t xml:space="preserve">We fixed the first and third element of</w:t>
      </w:r>
      <w:r>
        <w:t xml:space="preserve"> </w:t>
      </w:r>
      <m:oMath>
        <m:r>
          <m:rPr>
            <m:nor/>
            <m:sty m:val="b"/>
          </m:rPr>
          <m:t>a</m:t>
        </m:r>
      </m:oMath>
      <w:r>
        <w:t xml:space="preserve"> </w:t>
      </w:r>
      <w:r>
        <w:t xml:space="preserve">to be 0, to ensure there was no offset between the updated estimates and the MARSS model states (The second and fourth element of</w:t>
      </w:r>
      <w:r>
        <w:t xml:space="preserve"> </w:t>
      </w:r>
      <m:oMath>
        <m:r>
          <m:rPr>
            <m:nor/>
            <m:sty m:val="b"/>
          </m:rPr>
          <m:t>a</m:t>
        </m:r>
      </m:oMath>
      <w:r>
        <w:t xml:space="preserve"> </w:t>
      </w:r>
      <w:r>
        <w:t xml:space="preserve">was estimated, as the average multiplicative offset between the older time-series and the true states).</w:t>
      </w:r>
    </w:p>
    <w:p>
      <w:pPr>
        <w:numPr>
          <w:ilvl w:val="0"/>
          <w:numId w:val="1001"/>
        </w:numPr>
      </w:pPr>
      <w:r>
        <w:t xml:space="preserve">We set</w:t>
      </w:r>
      <w:r>
        <w:t xml:space="preserve"> </w:t>
      </w:r>
      <m:oMath>
        <m:r>
          <m:rPr>
            <m:nor/>
            <m:sty m:val="b"/>
          </m:rPr>
          <m:t>B</m:t>
        </m:r>
      </m:oMath>
      <w:r>
        <w:t xml:space="preserve"> </w:t>
      </w:r>
      <w:r>
        <w:t xml:space="preserve">to be the identity matrix.</w:t>
      </w:r>
    </w:p>
    <w:p>
      <w:pPr>
        <w:numPr>
          <w:ilvl w:val="0"/>
          <w:numId w:val="1001"/>
        </w:numPr>
      </w:pPr>
      <w:r>
        <w:t xml:space="preserve">We tested setting</w:t>
      </w:r>
      <w:r>
        <w:t xml:space="preserve"> </w:t>
      </w:r>
      <m:oMath>
        <m:r>
          <m:rPr>
            <m:nor/>
            <m:sty m:val="b"/>
          </m:rPr>
          <m:t>u</m:t>
        </m:r>
      </m:oMath>
      <w:r>
        <w:t xml:space="preserve"> </w:t>
      </w:r>
      <w:r>
        <w:t xml:space="preserve">to 0, the equivalent of a random walk model, and allowing it be estimated, the equivalent of a random walk with drift or trend model.</w:t>
      </w:r>
    </w:p>
    <w:p>
      <w:pPr>
        <w:numPr>
          <w:ilvl w:val="0"/>
          <w:numId w:val="1001"/>
        </w:numPr>
      </w:pPr>
      <w:r>
        <w:t xml:space="preserve">The other element we wanted to feed</w:t>
      </w:r>
      <w:r>
        <w:t xml:space="preserve"> </w:t>
      </w:r>
      <w:r>
        <w:rPr>
          <w:iCs/>
          <w:i/>
        </w:rPr>
        <w:t xml:space="preserve">a priori</w:t>
      </w:r>
      <w:r>
        <w:t xml:space="preserve"> </w:t>
      </w:r>
      <w:r>
        <w:t xml:space="preserve">into the MARSS framework was the observation error variance, based on the estimated standard errors in the updated estimates. Because the model is set in log-space, we transformed the estimated standard errors by calculating the coefficient of variation, adding 1, logging that value and then calculating the square root. We then took the mean of the log-space standard errors before squaring it. These two values for hatchery and wild observation error were set as the first and third term along the diagonal of the</w:t>
      </w:r>
      <w:r>
        <w:t xml:space="preserve"> </w:t>
      </w:r>
      <m:oMath>
        <m:r>
          <m:rPr>
            <m:nor/>
            <m:sty m:val="b"/>
          </m:rPr>
          <m:t>R</m:t>
        </m:r>
      </m:oMath>
      <w:r>
        <w:t xml:space="preserve"> </w:t>
      </w:r>
      <w:r>
        <w:t xml:space="preserve">matrix, while the off-diagonals were set to 0 and the observation variance of the older methods was left for the MARSS model to estimate.</w:t>
      </w:r>
    </w:p>
    <w:p>
      <w:pPr>
        <w:numPr>
          <w:ilvl w:val="0"/>
          <w:numId w:val="1001"/>
        </w:numPr>
      </w:pPr>
      <w:r>
        <w:t xml:space="preserve">Because hatchery and natural origin returns may be correlated to other dam counts, we compiled time-series of counts from several other Columbia River dams: Bonneville, Ice Harbor, McNary, Prosser and Rock Island dams. These were treated as separate states in the MARSS framework, each with a single observation. For all dams, counts were summed from June 1 the year prior to May 31 of that spawn year. These counts are plotted in Figure</w:t>
      </w:r>
      <w:r>
        <w:t xml:space="preserve"> </w:t>
      </w:r>
      <w:r>
        <w:t xml:space="preserve">2.3</w:t>
      </w:r>
      <w:r>
        <w:t xml:space="preserve">. The hypothesis here is that other dam counts may inform the</w:t>
      </w:r>
      <w:r>
        <w:t xml:space="preserve"> </w:t>
      </w:r>
      <w:r>
        <w:t xml:space="preserve">$\textbf(Q)$</w:t>
      </w:r>
      <w:r>
        <w:t xml:space="preserve"> </w:t>
      </w:r>
      <w:r>
        <w:t xml:space="preserve">matrix, allowing for better inference of the states we are interested in.</w:t>
      </w:r>
    </w:p>
    <w:p>
      <w:pPr>
        <w:numPr>
          <w:ilvl w:val="0"/>
          <w:numId w:val="1001"/>
        </w:numPr>
      </w:pPr>
      <w:r>
        <w:t xml:space="preserve">We also compiled one more possible input, hatchery releases of smolts. We hypothesized that the hatchery release numbers from previous years might inform the predicted returns of adults. We used the weighted average of salt age 1 and salt age 2 releases, weighted 70% towards salt age 1 and 30% towards salt age 2 based on average age composition data. Salt age 1 fish returned 2 years after their release, while salt age 2 fish returned after 3 years. This time-series extended back to 1987 and was normalized to have a mean of zero and standard deviation of one. This was treated as a possible covariate for the estimated state of hatchery spawners. This time series is shown in Figure</w:t>
      </w:r>
      <w:r>
        <w:t xml:space="preserve"> </w:t>
      </w:r>
      <w:r>
        <w:t xml:space="preserve">2.4</w:t>
      </w:r>
      <w:r>
        <w:t xml:space="preserve">.</w:t>
      </w:r>
    </w:p>
    <w:p>
      <w:pPr>
        <w:numPr>
          <w:ilvl w:val="0"/>
          <w:numId w:val="1001"/>
        </w:numPr>
      </w:pPr>
      <w:r>
        <w:t xml:space="preserve">We tested several configurations of this model:</w:t>
      </w:r>
    </w:p>
    <w:p>
      <w:pPr>
        <w:numPr>
          <w:ilvl w:val="1"/>
          <w:numId w:val="1002"/>
        </w:numPr>
        <w:pStyle w:val="Compact"/>
      </w:pPr>
      <w:r>
        <w:t xml:space="preserve">Treated all states (Wenatchee hatchery and wild spawners, and other dam counts) as independent, by setting the off-diagonal terms of</w:t>
      </w:r>
      <w:r>
        <w:t xml:space="preserve"> </w:t>
      </w:r>
      <m:oMath>
        <m:r>
          <m:rPr>
            <m:nor/>
            <m:sty m:val="b"/>
          </m:rPr>
          <m:t>Q</m:t>
        </m:r>
      </m:oMath>
      <w:r>
        <w:t xml:space="preserve"> </w:t>
      </w:r>
      <w:r>
        <w:t xml:space="preserve">to 0. (</w:t>
      </w:r>
      <w:r>
        <w:rPr>
          <w:rStyle w:val="VerbatimChar"/>
        </w:rPr>
        <w:t xml:space="preserve">Q = "diagonal and unequal</w:t>
      </w:r>
      <w:r>
        <w:t xml:space="preserve">)</w:t>
      </w:r>
    </w:p>
    <w:p>
      <w:pPr>
        <w:numPr>
          <w:ilvl w:val="1"/>
          <w:numId w:val="1002"/>
        </w:numPr>
        <w:pStyle w:val="Compact"/>
      </w:pPr>
      <w:r>
        <w:t xml:space="preserve">Similar to (1), but allowed for the process errors of Wenatchee hatchery and wild spawners to co-vary by estimating a single off-diagonal element of</w:t>
      </w:r>
      <w:r>
        <w:t xml:space="preserve"> </w:t>
      </w:r>
      <m:oMath>
        <m:r>
          <m:rPr>
            <m:nor/>
            <m:sty m:val="b"/>
          </m:rPr>
          <m:t>Q</m:t>
        </m:r>
      </m:oMath>
      <w:r>
        <w:t xml:space="preserve">.</w:t>
      </w:r>
    </w:p>
    <w:p>
      <w:pPr>
        <w:numPr>
          <w:ilvl w:val="1"/>
          <w:numId w:val="1002"/>
        </w:numPr>
        <w:pStyle w:val="Compact"/>
      </w:pPr>
      <w:r>
        <w:t xml:space="preserve">Allowed the process errors to co-vary across all states, and estimated their covariance as the off-diagonal term of</w:t>
      </w:r>
      <w:r>
        <w:t xml:space="preserve"> </w:t>
      </w:r>
      <m:oMath>
        <m:r>
          <m:rPr>
            <m:nor/>
            <m:sty m:val="b"/>
          </m:rPr>
          <m:t>Q</m:t>
        </m:r>
      </m:oMath>
      <w:r>
        <w:t xml:space="preserve">. (</w:t>
      </w:r>
      <w:r>
        <w:rPr>
          <w:rStyle w:val="VerbatimChar"/>
        </w:rPr>
        <w:t xml:space="preserve">Q = "unconstrained</w:t>
      </w:r>
      <w:r>
        <w:t xml:space="preserve">)</w:t>
      </w:r>
    </w:p>
    <w:p>
      <w:pPr>
        <w:numPr>
          <w:ilvl w:val="1"/>
          <w:numId w:val="1002"/>
        </w:numPr>
        <w:pStyle w:val="Compact"/>
      </w:pPr>
      <w:r>
        <w:t xml:space="preserve">Same as (1), but included a covariate of hatchery smolt releases to inform hatchery returns.</w:t>
      </w:r>
    </w:p>
    <w:p>
      <w:pPr>
        <w:numPr>
          <w:ilvl w:val="1"/>
          <w:numId w:val="1002"/>
        </w:numPr>
        <w:pStyle w:val="Compact"/>
      </w:pPr>
      <w:r>
        <w:t xml:space="preserve">Same as (2), but included a covariate of hatchery smolt releases to inform hatchery returns.</w:t>
      </w:r>
    </w:p>
    <w:p>
      <w:pPr>
        <w:numPr>
          <w:ilvl w:val="1"/>
          <w:numId w:val="1002"/>
        </w:numPr>
        <w:pStyle w:val="Compact"/>
      </w:pPr>
      <w:r>
        <w:t xml:space="preserve">Same as (3), but included a covariate of hatchery smolt releases to inform hatchery returns.</w:t>
      </w:r>
    </w:p>
    <w:p>
      <w:pPr>
        <w:numPr>
          <w:ilvl w:val="1"/>
          <w:numId w:val="1002"/>
        </w:numPr>
        <w:pStyle w:val="Compact"/>
      </w:pPr>
      <w:r>
        <w:t xml:space="preserve">7-12. Same as above, but included a possible trend (</w:t>
      </w:r>
      <w:r>
        <w:rPr>
          <w:rStyle w:val="VerbatimChar"/>
        </w:rPr>
        <w:t xml:space="preserve">U = "unequal"</w:t>
      </w:r>
      <w:r>
        <w:t xml:space="preserve">).</w:t>
      </w:r>
    </w:p>
    <w:p>
      <w:pPr>
        <w:pStyle w:val="FirstParagraph"/>
      </w:pPr>
      <w:r>
        <w:t xml:space="preserve">Models 1, 2, 4 and 5 essentially ignore the dam counts when it comes to fitting and predicting for the Wenatchee states. Models 1 and 4 treat hatchery and wild spawners as independent time-series which is the equivalent of fitting separate models for wild and hatchery spawners.</w:t>
      </w:r>
    </w:p>
    <w:p>
      <w:pPr>
        <w:numPr>
          <w:ilvl w:val="0"/>
          <w:numId w:val="1003"/>
        </w:numPr>
      </w:pPr>
      <w:r>
        <w:t xml:space="preserve">All models were compared with AICc.</w:t>
      </w:r>
    </w:p>
    <w:p>
      <w:pPr>
        <w:numPr>
          <w:ilvl w:val="0"/>
          <w:numId w:val="1003"/>
        </w:numPr>
      </w:pPr>
      <w:r>
        <w:t xml:space="preserve">All models were fit using the</w:t>
      </w:r>
      <w:r>
        <w:t xml:space="preserve"> </w:t>
      </w:r>
      <w:r>
        <w:rPr>
          <w:rStyle w:val="VerbatimChar"/>
        </w:rPr>
        <w:t xml:space="preserve">MARSS</w:t>
      </w:r>
      <w:r>
        <w:t xml:space="preserve"> </w:t>
      </w:r>
      <w:r>
        <w:t xml:space="preserve">package in R.</w:t>
      </w:r>
    </w:p>
    <w:p>
      <w:pPr>
        <w:pStyle w:val="CaptionedFigure"/>
      </w:pPr>
      <w:r>
        <w:drawing>
          <wp:inline>
            <wp:extent cx="5504749" cy="3669832"/>
            <wp:effectExtent b="0" l="0" r="0" t="0"/>
            <wp:docPr descr="Figure 2.3: Time-series of counts from various Columbia River dams, from June 1 the year prior to May 31 of that spawn year." title="" id="1" name="Picture"/>
            <a:graphic>
              <a:graphicData uri="http://schemas.openxmlformats.org/drawingml/2006/picture">
                <pic:pic>
                  <pic:nvPicPr>
                    <pic:cNvPr descr="../figures/dam-ts-1.png" id="0" name="Picture"/>
                    <pic:cNvPicPr>
                      <a:picLocks noChangeArrowheads="1" noChangeAspect="1"/>
                    </pic:cNvPicPr>
                  </pic:nvPicPr>
                  <pic:blipFill>
                    <a:blip r:embed="rId3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2.3: Time-series of counts from various Columbia River dams, from June 1 the year prior to May 31 of that spawn year.</w:t>
      </w:r>
    </w:p>
    <w:p>
      <w:pPr>
        <w:pStyle w:val="CaptionedFigure"/>
      </w:pPr>
      <w:r>
        <w:drawing>
          <wp:inline>
            <wp:extent cx="5504749" cy="3669832"/>
            <wp:effectExtent b="0" l="0" r="0" t="0"/>
            <wp:docPr descr="Figure 2.4: Time-series of normalized weighted average of smolt releases prior to the spawn year (x-axis). Dotted line shows when the new time-series begins." title="" id="1" name="Picture"/>
            <a:graphic>
              <a:graphicData uri="http://schemas.openxmlformats.org/drawingml/2006/picture">
                <pic:pic>
                  <pic:nvPicPr>
                    <pic:cNvPr descr="../figures/smolt-ts-1.png" id="0" name="Picture"/>
                    <pic:cNvPicPr>
                      <a:picLocks noChangeArrowheads="1" noChangeAspect="1"/>
                    </pic:cNvPicPr>
                  </pic:nvPicPr>
                  <pic:blipFill>
                    <a:blip r:embed="rId31"/>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2.4: Time-series of normalized weighted average of smolt releases prior to the spawn year (x-axis). Dotted line shows when the new time-series begins.</w:t>
      </w:r>
    </w:p>
    <w:bookmarkStart w:id="36" w:name="marss-results"/>
    <w:p>
      <w:pPr>
        <w:pStyle w:val="Heading3"/>
      </w:pPr>
      <w:r>
        <w:rPr>
          <w:rStyle w:val="SectionNumber"/>
        </w:rPr>
        <w:t xml:space="preserve">2.2.1</w:t>
      </w:r>
      <w:r>
        <w:tab/>
      </w:r>
      <w:r>
        <w:t xml:space="preserve">MARSS Results</w:t>
      </w:r>
    </w:p>
    <w:p>
      <w:pPr>
        <w:pStyle w:val="TableCaption"/>
      </w:pPr>
      <w:r>
        <w:t xml:space="preserve">Table 2.1: AICc values for all models.</w:t>
      </w:r>
    </w:p>
    <w:tbl>
      <w:tblPr>
        <w:tblStyle w:val="Table"/>
        <w:tblW w:type="auto" w:w="0"/>
        <w:tblLook w:firstRow="1" w:lastRow="0" w:firstColumn="0" w:lastColumn="0" w:noHBand="0" w:noVBand="0" w:val="0020"/>
        <w:tblCaption w:val="Table 2.1: AICc values for all models."/>
      </w:tblPr>
      <w:tblGrid>
        <w:gridCol w:w="1131"/>
        <w:gridCol w:w="1131"/>
        <w:gridCol w:w="1131"/>
        <w:gridCol w:w="1131"/>
        <w:gridCol w:w="1131"/>
        <w:gridCol w:w="1131"/>
        <w:gridCol w:w="1131"/>
      </w:tblGrid>
      <w:tr>
        <w:trPr>
          <w:tblHeader w:val="true"/>
        </w:trPr>
        <w:tc>
          <w:tcPr/>
          <w:p>
            <w:pPr>
              <w:pStyle w:val="Compact"/>
              <w:jc w:val="right"/>
            </w:pPr>
            <w:r>
              <w:t xml:space="preserve">Model Num.</w:t>
            </w:r>
          </w:p>
        </w:tc>
        <w:tc>
          <w:tcPr/>
          <w:p>
            <w:pPr>
              <w:pStyle w:val="Compact"/>
              <w:jc w:val="left"/>
            </w:pPr>
            <w:r>
              <w:t xml:space="preserve">Description</w:t>
            </w:r>
          </w:p>
        </w:tc>
        <w:tc>
          <w:tcPr/>
          <w:p>
            <w:pPr>
              <w:pStyle w:val="Compact"/>
              <w:jc w:val="right"/>
            </w:pPr>
            <w:r>
              <w:t xml:space="preserve">n Params</w:t>
            </w:r>
          </w:p>
        </w:tc>
        <w:tc>
          <w:tcPr/>
          <w:p>
            <w:pPr>
              <w:pStyle w:val="Compact"/>
              <w:jc w:val="right"/>
            </w:pPr>
            <w:r>
              <w:t xml:space="preserve">LogLik</w:t>
            </w:r>
          </w:p>
        </w:tc>
        <w:tc>
          <w:tcPr/>
          <w:p>
            <w:pPr>
              <w:pStyle w:val="Compact"/>
              <w:jc w:val="right"/>
            </w:pPr>
            <w:r>
              <w:t xml:space="preserve">AICc</w:t>
            </w:r>
          </w:p>
        </w:tc>
        <w:tc>
          <w:tcPr/>
          <w:p>
            <w:pPr>
              <w:pStyle w:val="Compact"/>
              <w:jc w:val="right"/>
            </w:pPr>
            <w:r>
              <w:t xml:space="preserve">delta AICc</w:t>
            </w:r>
          </w:p>
        </w:tc>
        <w:tc>
          <w:tcPr/>
          <w:p>
            <w:pPr>
              <w:pStyle w:val="Compact"/>
              <w:jc w:val="right"/>
            </w:pPr>
            <w:r>
              <w:t xml:space="preserve">Model Weight</w:t>
            </w:r>
          </w:p>
        </w:tc>
      </w:tr>
      <w:tr>
        <w:tc>
          <w:tcPr/>
          <w:p>
            <w:pPr>
              <w:pStyle w:val="Compact"/>
              <w:jc w:val="right"/>
            </w:pPr>
            <w:r>
              <w:t xml:space="preserve">3</w:t>
            </w:r>
          </w:p>
        </w:tc>
        <w:tc>
          <w:tcPr/>
          <w:p>
            <w:pPr>
              <w:pStyle w:val="Compact"/>
              <w:jc w:val="left"/>
            </w:pPr>
            <w:r>
              <w:t xml:space="preserve">Q unconstrained, no covariates</w:t>
            </w:r>
          </w:p>
        </w:tc>
        <w:tc>
          <w:tcPr/>
          <w:p>
            <w:pPr>
              <w:pStyle w:val="Compact"/>
              <w:jc w:val="right"/>
            </w:pPr>
            <w:r>
              <w:t xml:space="preserve">44</w:t>
            </w:r>
          </w:p>
        </w:tc>
        <w:tc>
          <w:tcPr/>
          <w:p>
            <w:pPr>
              <w:pStyle w:val="Compact"/>
              <w:jc w:val="right"/>
            </w:pPr>
            <w:r>
              <w:t xml:space="preserve">-27.4</w:t>
            </w:r>
          </w:p>
        </w:tc>
        <w:tc>
          <w:tcPr/>
          <w:p>
            <w:pPr>
              <w:pStyle w:val="Compact"/>
              <w:jc w:val="right"/>
            </w:pPr>
            <w:r>
              <w:t xml:space="preserve">159.0</w:t>
            </w:r>
          </w:p>
        </w:tc>
        <w:tc>
          <w:tcPr/>
          <w:p>
            <w:pPr>
              <w:pStyle w:val="Compact"/>
              <w:jc w:val="right"/>
            </w:pPr>
            <w:r>
              <w:t xml:space="preserve">0.0</w:t>
            </w:r>
          </w:p>
        </w:tc>
        <w:tc>
          <w:tcPr/>
          <w:p>
            <w:pPr>
              <w:pStyle w:val="Compact"/>
              <w:jc w:val="right"/>
            </w:pPr>
            <w:r>
              <w:t xml:space="preserve">0.729</w:t>
            </w:r>
          </w:p>
        </w:tc>
      </w:tr>
      <w:tr>
        <w:tc>
          <w:tcPr/>
          <w:p>
            <w:pPr>
              <w:pStyle w:val="Compact"/>
              <w:jc w:val="right"/>
            </w:pPr>
            <w:r>
              <w:t xml:space="preserve">6</w:t>
            </w:r>
          </w:p>
        </w:tc>
        <w:tc>
          <w:tcPr/>
          <w:p>
            <w:pPr>
              <w:pStyle w:val="Compact"/>
              <w:jc w:val="left"/>
            </w:pPr>
            <w:r>
              <w:t xml:space="preserve">Q unconstrained, smolt covariate</w:t>
            </w:r>
          </w:p>
        </w:tc>
        <w:tc>
          <w:tcPr/>
          <w:p>
            <w:pPr>
              <w:pStyle w:val="Compact"/>
              <w:jc w:val="right"/>
            </w:pPr>
            <w:r>
              <w:t xml:space="preserve">45</w:t>
            </w:r>
          </w:p>
        </w:tc>
        <w:tc>
          <w:tcPr/>
          <w:p>
            <w:pPr>
              <w:pStyle w:val="Compact"/>
              <w:jc w:val="right"/>
            </w:pPr>
            <w:r>
              <w:t xml:space="preserve">-27.3</w:t>
            </w:r>
          </w:p>
        </w:tc>
        <w:tc>
          <w:tcPr/>
          <w:p>
            <w:pPr>
              <w:pStyle w:val="Compact"/>
              <w:jc w:val="right"/>
            </w:pPr>
            <w:r>
              <w:t xml:space="preserve">161.8</w:t>
            </w:r>
          </w:p>
        </w:tc>
        <w:tc>
          <w:tcPr/>
          <w:p>
            <w:pPr>
              <w:pStyle w:val="Compact"/>
              <w:jc w:val="right"/>
            </w:pPr>
            <w:r>
              <w:t xml:space="preserve">2.8</w:t>
            </w:r>
          </w:p>
        </w:tc>
        <w:tc>
          <w:tcPr/>
          <w:p>
            <w:pPr>
              <w:pStyle w:val="Compact"/>
              <w:jc w:val="right"/>
            </w:pPr>
            <w:r>
              <w:t xml:space="preserve">0.183</w:t>
            </w:r>
          </w:p>
        </w:tc>
      </w:tr>
      <w:tr>
        <w:tc>
          <w:tcPr/>
          <w:p>
            <w:pPr>
              <w:pStyle w:val="Compact"/>
              <w:jc w:val="right"/>
            </w:pPr>
            <w:r>
              <w:t xml:space="preserve">9</w:t>
            </w:r>
          </w:p>
        </w:tc>
        <w:tc>
          <w:tcPr/>
          <w:p>
            <w:pPr>
              <w:pStyle w:val="Compact"/>
              <w:jc w:val="left"/>
            </w:pPr>
            <w:r>
              <w:t xml:space="preserve">Q unconstrained, no covariates, U unequal</w:t>
            </w:r>
          </w:p>
        </w:tc>
        <w:tc>
          <w:tcPr/>
          <w:p>
            <w:pPr>
              <w:pStyle w:val="Compact"/>
              <w:jc w:val="right"/>
            </w:pPr>
            <w:r>
              <w:t xml:space="preserve">51</w:t>
            </w:r>
          </w:p>
        </w:tc>
        <w:tc>
          <w:tcPr/>
          <w:p>
            <w:pPr>
              <w:pStyle w:val="Compact"/>
              <w:jc w:val="right"/>
            </w:pPr>
            <w:r>
              <w:t xml:space="preserve">-19.6</w:t>
            </w:r>
          </w:p>
        </w:tc>
        <w:tc>
          <w:tcPr/>
          <w:p>
            <w:pPr>
              <w:pStyle w:val="Compact"/>
              <w:jc w:val="right"/>
            </w:pPr>
            <w:r>
              <w:t xml:space="preserve">163.6</w:t>
            </w:r>
          </w:p>
        </w:tc>
        <w:tc>
          <w:tcPr/>
          <w:p>
            <w:pPr>
              <w:pStyle w:val="Compact"/>
              <w:jc w:val="right"/>
            </w:pPr>
            <w:r>
              <w:t xml:space="preserve">4.6</w:t>
            </w:r>
          </w:p>
        </w:tc>
        <w:tc>
          <w:tcPr/>
          <w:p>
            <w:pPr>
              <w:pStyle w:val="Compact"/>
              <w:jc w:val="right"/>
            </w:pPr>
            <w:r>
              <w:t xml:space="preserve">0.072</w:t>
            </w:r>
          </w:p>
        </w:tc>
      </w:tr>
      <w:tr>
        <w:tc>
          <w:tcPr/>
          <w:p>
            <w:pPr>
              <w:pStyle w:val="Compact"/>
              <w:jc w:val="right"/>
            </w:pPr>
            <w:r>
              <w:t xml:space="preserve">12</w:t>
            </w:r>
          </w:p>
        </w:tc>
        <w:tc>
          <w:tcPr/>
          <w:p>
            <w:pPr>
              <w:pStyle w:val="Compact"/>
              <w:jc w:val="left"/>
            </w:pPr>
            <w:r>
              <w:t xml:space="preserve">Q unconstrained, smolt covariate, U unequal</w:t>
            </w:r>
          </w:p>
        </w:tc>
        <w:tc>
          <w:tcPr/>
          <w:p>
            <w:pPr>
              <w:pStyle w:val="Compact"/>
              <w:jc w:val="right"/>
            </w:pPr>
            <w:r>
              <w:t xml:space="preserve">52</w:t>
            </w:r>
          </w:p>
        </w:tc>
        <w:tc>
          <w:tcPr/>
          <w:p>
            <w:pPr>
              <w:pStyle w:val="Compact"/>
              <w:jc w:val="right"/>
            </w:pPr>
            <w:r>
              <w:t xml:space="preserve">-19.6</w:t>
            </w:r>
          </w:p>
        </w:tc>
        <w:tc>
          <w:tcPr/>
          <w:p>
            <w:pPr>
              <w:pStyle w:val="Compact"/>
              <w:jc w:val="right"/>
            </w:pPr>
            <w:r>
              <w:t xml:space="preserve">166.6</w:t>
            </w:r>
          </w:p>
        </w:tc>
        <w:tc>
          <w:tcPr/>
          <w:p>
            <w:pPr>
              <w:pStyle w:val="Compact"/>
              <w:jc w:val="right"/>
            </w:pPr>
            <w:r>
              <w:t xml:space="preserve">7.6</w:t>
            </w:r>
          </w:p>
        </w:tc>
        <w:tc>
          <w:tcPr/>
          <w:p>
            <w:pPr>
              <w:pStyle w:val="Compact"/>
              <w:jc w:val="right"/>
            </w:pPr>
            <w:r>
              <w:t xml:space="preserve">0.017</w:t>
            </w:r>
          </w:p>
        </w:tc>
      </w:tr>
      <w:tr>
        <w:tc>
          <w:tcPr/>
          <w:p>
            <w:pPr>
              <w:pStyle w:val="Compact"/>
              <w:jc w:val="right"/>
            </w:pPr>
            <w:r>
              <w:t xml:space="preserve">2</w:t>
            </w:r>
          </w:p>
        </w:tc>
        <w:tc>
          <w:tcPr/>
          <w:p>
            <w:pPr>
              <w:pStyle w:val="Compact"/>
              <w:jc w:val="left"/>
            </w:pPr>
            <w:r>
              <w:t xml:space="preserve">Q mostly independent, no covariates</w:t>
            </w:r>
          </w:p>
        </w:tc>
        <w:tc>
          <w:tcPr/>
          <w:p>
            <w:pPr>
              <w:pStyle w:val="Compact"/>
              <w:jc w:val="right"/>
            </w:pPr>
            <w:r>
              <w:t xml:space="preserve">24</w:t>
            </w:r>
          </w:p>
        </w:tc>
        <w:tc>
          <w:tcPr/>
          <w:p>
            <w:pPr>
              <w:pStyle w:val="Compact"/>
              <w:jc w:val="right"/>
            </w:pPr>
            <w:r>
              <w:t xml:space="preserve">-191.0</w:t>
            </w:r>
          </w:p>
        </w:tc>
        <w:tc>
          <w:tcPr/>
          <w:p>
            <w:pPr>
              <w:pStyle w:val="Compact"/>
              <w:jc w:val="right"/>
            </w:pPr>
            <w:r>
              <w:t xml:space="preserve">434.5</w:t>
            </w:r>
          </w:p>
        </w:tc>
        <w:tc>
          <w:tcPr/>
          <w:p>
            <w:pPr>
              <w:pStyle w:val="Compact"/>
              <w:jc w:val="right"/>
            </w:pPr>
            <w:r>
              <w:t xml:space="preserve">275.5</w:t>
            </w:r>
          </w:p>
        </w:tc>
        <w:tc>
          <w:tcPr/>
          <w:p>
            <w:pPr>
              <w:pStyle w:val="Compact"/>
              <w:jc w:val="right"/>
            </w:pPr>
            <w:r>
              <w:t xml:space="preserve">0.000</w:t>
            </w:r>
          </w:p>
        </w:tc>
      </w:tr>
      <w:tr>
        <w:tc>
          <w:tcPr/>
          <w:p>
            <w:pPr>
              <w:pStyle w:val="Compact"/>
              <w:jc w:val="right"/>
            </w:pPr>
            <w:r>
              <w:t xml:space="preserve">5</w:t>
            </w:r>
          </w:p>
        </w:tc>
        <w:tc>
          <w:tcPr/>
          <w:p>
            <w:pPr>
              <w:pStyle w:val="Compact"/>
              <w:jc w:val="left"/>
            </w:pPr>
            <w:r>
              <w:t xml:space="preserve">Q mostly independent, smolt covariate</w:t>
            </w:r>
          </w:p>
        </w:tc>
        <w:tc>
          <w:tcPr/>
          <w:p>
            <w:pPr>
              <w:pStyle w:val="Compact"/>
              <w:jc w:val="right"/>
            </w:pPr>
            <w:r>
              <w:t xml:space="preserve">25</w:t>
            </w:r>
          </w:p>
        </w:tc>
        <w:tc>
          <w:tcPr/>
          <w:p>
            <w:pPr>
              <w:pStyle w:val="Compact"/>
              <w:jc w:val="right"/>
            </w:pPr>
            <w:r>
              <w:t xml:space="preserve">-190.9</w:t>
            </w:r>
          </w:p>
        </w:tc>
        <w:tc>
          <w:tcPr/>
          <w:p>
            <w:pPr>
              <w:pStyle w:val="Compact"/>
              <w:jc w:val="right"/>
            </w:pPr>
            <w:r>
              <w:t xml:space="preserve">436.8</w:t>
            </w:r>
          </w:p>
        </w:tc>
        <w:tc>
          <w:tcPr/>
          <w:p>
            <w:pPr>
              <w:pStyle w:val="Compact"/>
              <w:jc w:val="right"/>
            </w:pPr>
            <w:r>
              <w:t xml:space="preserve">277.8</w:t>
            </w:r>
          </w:p>
        </w:tc>
        <w:tc>
          <w:tcPr/>
          <w:p>
            <w:pPr>
              <w:pStyle w:val="Compact"/>
              <w:jc w:val="right"/>
            </w:pPr>
            <w:r>
              <w:t xml:space="preserve">0.000</w:t>
            </w:r>
          </w:p>
        </w:tc>
      </w:tr>
      <w:tr>
        <w:tc>
          <w:tcPr/>
          <w:p>
            <w:pPr>
              <w:pStyle w:val="Compact"/>
              <w:jc w:val="right"/>
            </w:pPr>
            <w:r>
              <w:t xml:space="preserve">8</w:t>
            </w:r>
          </w:p>
        </w:tc>
        <w:tc>
          <w:tcPr/>
          <w:p>
            <w:pPr>
              <w:pStyle w:val="Compact"/>
              <w:jc w:val="left"/>
            </w:pPr>
            <w:r>
              <w:t xml:space="preserve">Q mostly independent, no covariates, U unequal</w:t>
            </w:r>
          </w:p>
        </w:tc>
        <w:tc>
          <w:tcPr/>
          <w:p>
            <w:pPr>
              <w:pStyle w:val="Compact"/>
              <w:jc w:val="right"/>
            </w:pPr>
            <w:r>
              <w:t xml:space="preserve">31</w:t>
            </w:r>
          </w:p>
        </w:tc>
        <w:tc>
          <w:tcPr/>
          <w:p>
            <w:pPr>
              <w:pStyle w:val="Compact"/>
              <w:jc w:val="right"/>
            </w:pPr>
            <w:r>
              <w:t xml:space="preserve">-185.8</w:t>
            </w:r>
          </w:p>
        </w:tc>
        <w:tc>
          <w:tcPr/>
          <w:p>
            <w:pPr>
              <w:pStyle w:val="Compact"/>
              <w:jc w:val="right"/>
            </w:pPr>
            <w:r>
              <w:t xml:space="preserve">441.3</w:t>
            </w:r>
          </w:p>
        </w:tc>
        <w:tc>
          <w:tcPr/>
          <w:p>
            <w:pPr>
              <w:pStyle w:val="Compact"/>
              <w:jc w:val="right"/>
            </w:pPr>
            <w:r>
              <w:t xml:space="preserve">282.3</w:t>
            </w:r>
          </w:p>
        </w:tc>
        <w:tc>
          <w:tcPr/>
          <w:p>
            <w:pPr>
              <w:pStyle w:val="Compact"/>
              <w:jc w:val="right"/>
            </w:pPr>
            <w:r>
              <w:t xml:space="preserve">0.000</w:t>
            </w:r>
          </w:p>
        </w:tc>
      </w:tr>
      <w:tr>
        <w:tc>
          <w:tcPr/>
          <w:p>
            <w:pPr>
              <w:pStyle w:val="Compact"/>
              <w:jc w:val="right"/>
            </w:pPr>
            <w:r>
              <w:t xml:space="preserve">11</w:t>
            </w:r>
          </w:p>
        </w:tc>
        <w:tc>
          <w:tcPr/>
          <w:p>
            <w:pPr>
              <w:pStyle w:val="Compact"/>
              <w:jc w:val="left"/>
            </w:pPr>
            <w:r>
              <w:t xml:space="preserve">Q mostly independent, smolt covariate, U unequal</w:t>
            </w:r>
          </w:p>
        </w:tc>
        <w:tc>
          <w:tcPr/>
          <w:p>
            <w:pPr>
              <w:pStyle w:val="Compact"/>
              <w:jc w:val="right"/>
            </w:pPr>
            <w:r>
              <w:t xml:space="preserve">32</w:t>
            </w:r>
          </w:p>
        </w:tc>
        <w:tc>
          <w:tcPr/>
          <w:p>
            <w:pPr>
              <w:pStyle w:val="Compact"/>
              <w:jc w:val="right"/>
            </w:pPr>
            <w:r>
              <w:t xml:space="preserve">-184.9</w:t>
            </w:r>
          </w:p>
        </w:tc>
        <w:tc>
          <w:tcPr/>
          <w:p>
            <w:pPr>
              <w:pStyle w:val="Compact"/>
              <w:jc w:val="right"/>
            </w:pPr>
            <w:r>
              <w:t xml:space="preserve">442.1</w:t>
            </w:r>
          </w:p>
        </w:tc>
        <w:tc>
          <w:tcPr/>
          <w:p>
            <w:pPr>
              <w:pStyle w:val="Compact"/>
              <w:jc w:val="right"/>
            </w:pPr>
            <w:r>
              <w:t xml:space="preserve">283.1</w:t>
            </w:r>
          </w:p>
        </w:tc>
        <w:tc>
          <w:tcPr/>
          <w:p>
            <w:pPr>
              <w:pStyle w:val="Compact"/>
              <w:jc w:val="right"/>
            </w:pPr>
            <w:r>
              <w:t xml:space="preserve">0.000</w:t>
            </w:r>
          </w:p>
        </w:tc>
      </w:tr>
      <w:tr>
        <w:tc>
          <w:tcPr/>
          <w:p>
            <w:pPr>
              <w:pStyle w:val="Compact"/>
              <w:jc w:val="right"/>
            </w:pPr>
            <w:r>
              <w:t xml:space="preserve">1</w:t>
            </w:r>
          </w:p>
        </w:tc>
        <w:tc>
          <w:tcPr/>
          <w:p>
            <w:pPr>
              <w:pStyle w:val="Compact"/>
              <w:jc w:val="left"/>
            </w:pPr>
            <w:r>
              <w:t xml:space="preserve">Q diag and unequal, no covariates</w:t>
            </w:r>
          </w:p>
        </w:tc>
        <w:tc>
          <w:tcPr/>
          <w:p>
            <w:pPr>
              <w:pStyle w:val="Compact"/>
              <w:jc w:val="right"/>
            </w:pPr>
            <w:r>
              <w:t xml:space="preserve">23</w:t>
            </w:r>
          </w:p>
        </w:tc>
        <w:tc>
          <w:tcPr/>
          <w:p>
            <w:pPr>
              <w:pStyle w:val="Compact"/>
              <w:jc w:val="right"/>
            </w:pPr>
            <w:r>
              <w:t xml:space="preserve">-196.0</w:t>
            </w:r>
          </w:p>
        </w:tc>
        <w:tc>
          <w:tcPr/>
          <w:p>
            <w:pPr>
              <w:pStyle w:val="Compact"/>
              <w:jc w:val="right"/>
            </w:pPr>
            <w:r>
              <w:t xml:space="preserve">442.2</w:t>
            </w:r>
          </w:p>
        </w:tc>
        <w:tc>
          <w:tcPr/>
          <w:p>
            <w:pPr>
              <w:pStyle w:val="Compact"/>
              <w:jc w:val="right"/>
            </w:pPr>
            <w:r>
              <w:t xml:space="preserve">283.2</w:t>
            </w:r>
          </w:p>
        </w:tc>
        <w:tc>
          <w:tcPr/>
          <w:p>
            <w:pPr>
              <w:pStyle w:val="Compact"/>
              <w:jc w:val="right"/>
            </w:pPr>
            <w:r>
              <w:t xml:space="preserve">0.000</w:t>
            </w:r>
          </w:p>
        </w:tc>
      </w:tr>
      <w:tr>
        <w:tc>
          <w:tcPr/>
          <w:p>
            <w:pPr>
              <w:pStyle w:val="Compact"/>
              <w:jc w:val="right"/>
            </w:pPr>
            <w:r>
              <w:t xml:space="preserve">4</w:t>
            </w:r>
          </w:p>
        </w:tc>
        <w:tc>
          <w:tcPr/>
          <w:p>
            <w:pPr>
              <w:pStyle w:val="Compact"/>
              <w:jc w:val="left"/>
            </w:pPr>
            <w:r>
              <w:t xml:space="preserve">Q diag and unequal, smolt covariate</w:t>
            </w:r>
          </w:p>
        </w:tc>
        <w:tc>
          <w:tcPr/>
          <w:p>
            <w:pPr>
              <w:pStyle w:val="Compact"/>
              <w:jc w:val="right"/>
            </w:pPr>
            <w:r>
              <w:t xml:space="preserve">24</w:t>
            </w:r>
          </w:p>
        </w:tc>
        <w:tc>
          <w:tcPr/>
          <w:p>
            <w:pPr>
              <w:pStyle w:val="Compact"/>
              <w:jc w:val="right"/>
            </w:pPr>
            <w:r>
              <w:t xml:space="preserve">-196.0</w:t>
            </w:r>
          </w:p>
        </w:tc>
        <w:tc>
          <w:tcPr/>
          <w:p>
            <w:pPr>
              <w:pStyle w:val="Compact"/>
              <w:jc w:val="right"/>
            </w:pPr>
            <w:r>
              <w:t xml:space="preserve">444.6</w:t>
            </w:r>
          </w:p>
        </w:tc>
        <w:tc>
          <w:tcPr/>
          <w:p>
            <w:pPr>
              <w:pStyle w:val="Compact"/>
              <w:jc w:val="right"/>
            </w:pPr>
            <w:r>
              <w:t xml:space="preserve">285.6</w:t>
            </w:r>
          </w:p>
        </w:tc>
        <w:tc>
          <w:tcPr/>
          <w:p>
            <w:pPr>
              <w:pStyle w:val="Compact"/>
              <w:jc w:val="right"/>
            </w:pPr>
            <w:r>
              <w:t xml:space="preserve">0.000</w:t>
            </w:r>
          </w:p>
        </w:tc>
      </w:tr>
      <w:tr>
        <w:tc>
          <w:tcPr/>
          <w:p>
            <w:pPr>
              <w:pStyle w:val="Compact"/>
              <w:jc w:val="right"/>
            </w:pPr>
            <w:r>
              <w:t xml:space="preserve">7</w:t>
            </w:r>
          </w:p>
        </w:tc>
        <w:tc>
          <w:tcPr/>
          <w:p>
            <w:pPr>
              <w:pStyle w:val="Compact"/>
              <w:jc w:val="left"/>
            </w:pPr>
            <w:r>
              <w:t xml:space="preserve">Q diag and unequal, no covariates, U unequal</w:t>
            </w:r>
          </w:p>
        </w:tc>
        <w:tc>
          <w:tcPr/>
          <w:p>
            <w:pPr>
              <w:pStyle w:val="Compact"/>
              <w:jc w:val="right"/>
            </w:pPr>
            <w:r>
              <w:t xml:space="preserve">30</w:t>
            </w:r>
          </w:p>
        </w:tc>
        <w:tc>
          <w:tcPr/>
          <w:p>
            <w:pPr>
              <w:pStyle w:val="Compact"/>
              <w:jc w:val="right"/>
            </w:pPr>
            <w:r>
              <w:t xml:space="preserve">-193.4</w:t>
            </w:r>
          </w:p>
        </w:tc>
        <w:tc>
          <w:tcPr/>
          <w:p>
            <w:pPr>
              <w:pStyle w:val="Compact"/>
              <w:jc w:val="right"/>
            </w:pPr>
            <w:r>
              <w:t xml:space="preserve">454.0</w:t>
            </w:r>
          </w:p>
        </w:tc>
        <w:tc>
          <w:tcPr/>
          <w:p>
            <w:pPr>
              <w:pStyle w:val="Compact"/>
              <w:jc w:val="right"/>
            </w:pPr>
            <w:r>
              <w:t xml:space="preserve">295.0</w:t>
            </w:r>
          </w:p>
        </w:tc>
        <w:tc>
          <w:tcPr/>
          <w:p>
            <w:pPr>
              <w:pStyle w:val="Compact"/>
              <w:jc w:val="right"/>
            </w:pPr>
            <w:r>
              <w:t xml:space="preserve">0.000</w:t>
            </w:r>
          </w:p>
        </w:tc>
      </w:tr>
      <w:tr>
        <w:tc>
          <w:tcPr/>
          <w:p>
            <w:pPr>
              <w:pStyle w:val="Compact"/>
              <w:jc w:val="right"/>
            </w:pPr>
            <w:r>
              <w:t xml:space="preserve">10</w:t>
            </w:r>
          </w:p>
        </w:tc>
        <w:tc>
          <w:tcPr/>
          <w:p>
            <w:pPr>
              <w:pStyle w:val="Compact"/>
              <w:jc w:val="left"/>
            </w:pPr>
            <w:r>
              <w:t xml:space="preserve">Q diag and unequal, smolt covariate, U unequal</w:t>
            </w:r>
          </w:p>
        </w:tc>
        <w:tc>
          <w:tcPr/>
          <w:p>
            <w:pPr>
              <w:pStyle w:val="Compact"/>
              <w:jc w:val="right"/>
            </w:pPr>
            <w:r>
              <w:t xml:space="preserve">31</w:t>
            </w:r>
          </w:p>
        </w:tc>
        <w:tc>
          <w:tcPr/>
          <w:p>
            <w:pPr>
              <w:pStyle w:val="Compact"/>
              <w:jc w:val="right"/>
            </w:pPr>
            <w:r>
              <w:t xml:space="preserve">-193.4</w:t>
            </w:r>
          </w:p>
        </w:tc>
        <w:tc>
          <w:tcPr/>
          <w:p>
            <w:pPr>
              <w:pStyle w:val="Compact"/>
              <w:jc w:val="right"/>
            </w:pPr>
            <w:r>
              <w:t xml:space="preserve">456.5</w:t>
            </w:r>
          </w:p>
        </w:tc>
        <w:tc>
          <w:tcPr/>
          <w:p>
            <w:pPr>
              <w:pStyle w:val="Compact"/>
              <w:jc w:val="right"/>
            </w:pPr>
            <w:r>
              <w:t xml:space="preserve">297.5</w:t>
            </w:r>
          </w:p>
        </w:tc>
        <w:tc>
          <w:tcPr/>
          <w:p>
            <w:pPr>
              <w:pStyle w:val="Compact"/>
              <w:jc w:val="right"/>
            </w:pPr>
            <w:r>
              <w:t xml:space="preserve">0.000</w:t>
            </w:r>
          </w:p>
        </w:tc>
      </w:tr>
    </w:tbl>
    <w:p>
      <w:pPr>
        <w:pStyle w:val="BodyText"/>
      </w:pPr>
      <w:r>
        <w:t xml:space="preserve">The results (Table</w:t>
      </w:r>
      <w:r>
        <w:t xml:space="preserve"> </w:t>
      </w:r>
      <w:r>
        <w:t xml:space="preserve">2.1</w:t>
      </w:r>
      <w:r>
        <w:t xml:space="preserve">) show model number 3 to be best supported by the data. This model allows for correlated process errors between hatchery and natural spawners and various dam counts. The second best model by AICc was model 6, which was identical to model 3 but also included a covariate of previous smolt releases to help predict hatchery spawners. The next two models (by AICc) were identical to the previous two but included a possible trend in each time-series. Although the trends for all states were estimated to be slightly negative in both models, the 95% confidence intervals overlapped zero in every case. These models also had very low weight (Table</w:t>
      </w:r>
      <w:r>
        <w:t xml:space="preserve"> </w:t>
      </w:r>
      <w:r>
        <w:t xml:space="preserve">2.1</w:t>
      </w:r>
      <w:r>
        <w:t xml:space="preserve">).</w:t>
      </w:r>
    </w:p>
    <w:p>
      <w:pPr>
        <w:pStyle w:val="TableCaption"/>
      </w:pPr>
      <w:r>
        <w:t xml:space="preserve">Table 2.2: Estimates of Q matrix from model 3, showing variance and co-variance estimates.</w:t>
      </w:r>
    </w:p>
    <w:tbl>
      <w:tblPr>
        <w:tblStyle w:val="Table"/>
        <w:tblW w:type="auto" w:w="0"/>
        <w:tblLook w:firstRow="1" w:lastRow="0" w:firstColumn="0" w:lastColumn="0" w:noHBand="0" w:noVBand="0" w:val="0020"/>
        <w:tblCaption w:val="Table 2.2: Estimates of Q matrix from model 3, showing variance and co-variance estimates."/>
      </w:tblPr>
      <w:tblGrid>
        <w:gridCol w:w="990"/>
        <w:gridCol w:w="990"/>
        <w:gridCol w:w="990"/>
        <w:gridCol w:w="990"/>
        <w:gridCol w:w="990"/>
        <w:gridCol w:w="990"/>
        <w:gridCol w:w="990"/>
        <w:gridCol w:w="990"/>
      </w:tblGrid>
      <w:tr>
        <w:trPr>
          <w:tblHeader w:val="true"/>
        </w:trPr>
        <w:tc>
          <w:tcPr/>
          <w:p>
            <w:pPr>
              <w:pStyle w:val="Compact"/>
            </w:pPr>
          </w:p>
        </w:tc>
        <w:tc>
          <w:tcPr/>
          <w:p>
            <w:pPr>
              <w:pStyle w:val="Compact"/>
              <w:jc w:val="right"/>
            </w:pPr>
            <w:r>
              <w:t xml:space="preserve">Wen. Hatch</w:t>
            </w:r>
          </w:p>
        </w:tc>
        <w:tc>
          <w:tcPr/>
          <w:p>
            <w:pPr>
              <w:pStyle w:val="Compact"/>
              <w:jc w:val="right"/>
            </w:pPr>
            <w:r>
              <w:t xml:space="preserve">Wen. Wild</w:t>
            </w:r>
          </w:p>
        </w:tc>
        <w:tc>
          <w:tcPr/>
          <w:p>
            <w:pPr>
              <w:pStyle w:val="Compact"/>
              <w:jc w:val="right"/>
            </w:pPr>
            <w:r>
              <w:t xml:space="preserve">BON</w:t>
            </w:r>
          </w:p>
        </w:tc>
        <w:tc>
          <w:tcPr/>
          <w:p>
            <w:pPr>
              <w:pStyle w:val="Compact"/>
              <w:jc w:val="right"/>
            </w:pPr>
            <w:r>
              <w:t xml:space="preserve">IHR</w:t>
            </w:r>
          </w:p>
        </w:tc>
        <w:tc>
          <w:tcPr/>
          <w:p>
            <w:pPr>
              <w:pStyle w:val="Compact"/>
              <w:jc w:val="right"/>
            </w:pPr>
            <w:r>
              <w:t xml:space="preserve">MCN</w:t>
            </w:r>
          </w:p>
        </w:tc>
        <w:tc>
          <w:tcPr/>
          <w:p>
            <w:pPr>
              <w:pStyle w:val="Compact"/>
              <w:jc w:val="right"/>
            </w:pPr>
            <w:r>
              <w:t xml:space="preserve">PRO</w:t>
            </w:r>
          </w:p>
        </w:tc>
        <w:tc>
          <w:tcPr/>
          <w:p>
            <w:pPr>
              <w:pStyle w:val="Compact"/>
              <w:jc w:val="right"/>
            </w:pPr>
            <w:r>
              <w:t xml:space="preserve">RIS</w:t>
            </w:r>
          </w:p>
        </w:tc>
      </w:tr>
      <w:tr>
        <w:tc>
          <w:tcPr/>
          <w:p>
            <w:pPr>
              <w:pStyle w:val="Compact"/>
              <w:jc w:val="left"/>
            </w:pPr>
            <w:r>
              <w:t xml:space="preserve">Wen. Hatch</w:t>
            </w:r>
          </w:p>
        </w:tc>
        <w:tc>
          <w:tcPr/>
          <w:p>
            <w:pPr>
              <w:pStyle w:val="Compact"/>
              <w:jc w:val="right"/>
            </w:pPr>
            <w:r>
              <w:t xml:space="preserve">0.235</w:t>
            </w:r>
          </w:p>
        </w:tc>
        <w:tc>
          <w:tcPr/>
          <w:p>
            <w:pPr>
              <w:pStyle w:val="Compact"/>
              <w:jc w:val="right"/>
            </w:pPr>
            <w:r>
              <w:t xml:space="preserve">0.186</w:t>
            </w:r>
          </w:p>
        </w:tc>
        <w:tc>
          <w:tcPr/>
          <w:p>
            <w:pPr>
              <w:pStyle w:val="Compact"/>
              <w:jc w:val="right"/>
            </w:pPr>
            <w:r>
              <w:t xml:space="preserve">0.141</w:t>
            </w:r>
          </w:p>
        </w:tc>
        <w:tc>
          <w:tcPr/>
          <w:p>
            <w:pPr>
              <w:pStyle w:val="Compact"/>
              <w:jc w:val="right"/>
            </w:pPr>
            <w:r>
              <w:t xml:space="preserve">0.161</w:t>
            </w:r>
          </w:p>
        </w:tc>
        <w:tc>
          <w:tcPr/>
          <w:p>
            <w:pPr>
              <w:pStyle w:val="Compact"/>
              <w:jc w:val="right"/>
            </w:pPr>
            <w:r>
              <w:t xml:space="preserve">0.164</w:t>
            </w:r>
          </w:p>
        </w:tc>
        <w:tc>
          <w:tcPr/>
          <w:p>
            <w:pPr>
              <w:pStyle w:val="Compact"/>
              <w:jc w:val="right"/>
            </w:pPr>
            <w:r>
              <w:t xml:space="preserve">0.156</w:t>
            </w:r>
          </w:p>
        </w:tc>
        <w:tc>
          <w:tcPr/>
          <w:p>
            <w:pPr>
              <w:pStyle w:val="Compact"/>
              <w:jc w:val="right"/>
            </w:pPr>
            <w:r>
              <w:t xml:space="preserve">0.183</w:t>
            </w:r>
          </w:p>
        </w:tc>
      </w:tr>
      <w:tr>
        <w:tc>
          <w:tcPr/>
          <w:p>
            <w:pPr>
              <w:pStyle w:val="Compact"/>
              <w:jc w:val="left"/>
            </w:pPr>
            <w:r>
              <w:t xml:space="preserve">Wen. Wild</w:t>
            </w:r>
          </w:p>
        </w:tc>
        <w:tc>
          <w:tcPr/>
          <w:p>
            <w:pPr>
              <w:pStyle w:val="Compact"/>
              <w:jc w:val="right"/>
            </w:pPr>
            <w:r>
              <w:t xml:space="preserve">0.186</w:t>
            </w:r>
          </w:p>
        </w:tc>
        <w:tc>
          <w:tcPr/>
          <w:p>
            <w:pPr>
              <w:pStyle w:val="Compact"/>
              <w:jc w:val="right"/>
            </w:pPr>
            <w:r>
              <w:t xml:space="preserve">0.211</w:t>
            </w:r>
          </w:p>
        </w:tc>
        <w:tc>
          <w:tcPr/>
          <w:p>
            <w:pPr>
              <w:pStyle w:val="Compact"/>
              <w:jc w:val="right"/>
            </w:pPr>
            <w:r>
              <w:t xml:space="preserve">0.097</w:t>
            </w:r>
          </w:p>
        </w:tc>
        <w:tc>
          <w:tcPr/>
          <w:p>
            <w:pPr>
              <w:pStyle w:val="Compact"/>
              <w:jc w:val="right"/>
            </w:pPr>
            <w:r>
              <w:t xml:space="preserve">0.105</w:t>
            </w:r>
          </w:p>
        </w:tc>
        <w:tc>
          <w:tcPr/>
          <w:p>
            <w:pPr>
              <w:pStyle w:val="Compact"/>
              <w:jc w:val="right"/>
            </w:pPr>
            <w:r>
              <w:t xml:space="preserve">0.111</w:t>
            </w:r>
          </w:p>
        </w:tc>
        <w:tc>
          <w:tcPr/>
          <w:p>
            <w:pPr>
              <w:pStyle w:val="Compact"/>
              <w:jc w:val="right"/>
            </w:pPr>
            <w:r>
              <w:t xml:space="preserve">0.203</w:t>
            </w:r>
          </w:p>
        </w:tc>
        <w:tc>
          <w:tcPr/>
          <w:p>
            <w:pPr>
              <w:pStyle w:val="Compact"/>
              <w:jc w:val="right"/>
            </w:pPr>
            <w:r>
              <w:t xml:space="preserve">0.172</w:t>
            </w:r>
          </w:p>
        </w:tc>
      </w:tr>
      <w:tr>
        <w:tc>
          <w:tcPr/>
          <w:p>
            <w:pPr>
              <w:pStyle w:val="Compact"/>
              <w:jc w:val="left"/>
            </w:pPr>
            <w:r>
              <w:t xml:space="preserve">BON</w:t>
            </w:r>
          </w:p>
        </w:tc>
        <w:tc>
          <w:tcPr/>
          <w:p>
            <w:pPr>
              <w:pStyle w:val="Compact"/>
              <w:jc w:val="right"/>
            </w:pPr>
            <w:r>
              <w:t xml:space="preserve">0.141</w:t>
            </w:r>
          </w:p>
        </w:tc>
        <w:tc>
          <w:tcPr/>
          <w:p>
            <w:pPr>
              <w:pStyle w:val="Compact"/>
              <w:jc w:val="right"/>
            </w:pPr>
            <w:r>
              <w:t xml:space="preserve">0.097</w:t>
            </w:r>
          </w:p>
        </w:tc>
        <w:tc>
          <w:tcPr/>
          <w:p>
            <w:pPr>
              <w:pStyle w:val="Compact"/>
              <w:jc w:val="right"/>
            </w:pPr>
            <w:r>
              <w:t xml:space="preserve">0.098</w:t>
            </w:r>
          </w:p>
        </w:tc>
        <w:tc>
          <w:tcPr/>
          <w:p>
            <w:pPr>
              <w:pStyle w:val="Compact"/>
              <w:jc w:val="right"/>
            </w:pPr>
            <w:r>
              <w:t xml:space="preserve">0.115</w:t>
            </w:r>
          </w:p>
        </w:tc>
        <w:tc>
          <w:tcPr/>
          <w:p>
            <w:pPr>
              <w:pStyle w:val="Compact"/>
              <w:jc w:val="right"/>
            </w:pPr>
            <w:r>
              <w:t xml:space="preserve">0.114</w:t>
            </w:r>
          </w:p>
        </w:tc>
        <w:tc>
          <w:tcPr/>
          <w:p>
            <w:pPr>
              <w:pStyle w:val="Compact"/>
              <w:jc w:val="right"/>
            </w:pPr>
            <w:r>
              <w:t xml:space="preserve">0.085</w:t>
            </w:r>
          </w:p>
        </w:tc>
        <w:tc>
          <w:tcPr/>
          <w:p>
            <w:pPr>
              <w:pStyle w:val="Compact"/>
              <w:jc w:val="right"/>
            </w:pPr>
            <w:r>
              <w:t xml:space="preserve">0.110</w:t>
            </w:r>
          </w:p>
        </w:tc>
      </w:tr>
      <w:tr>
        <w:tc>
          <w:tcPr/>
          <w:p>
            <w:pPr>
              <w:pStyle w:val="Compact"/>
              <w:jc w:val="left"/>
            </w:pPr>
            <w:r>
              <w:t xml:space="preserve">IHR</w:t>
            </w:r>
          </w:p>
        </w:tc>
        <w:tc>
          <w:tcPr/>
          <w:p>
            <w:pPr>
              <w:pStyle w:val="Compact"/>
              <w:jc w:val="right"/>
            </w:pPr>
            <w:r>
              <w:t xml:space="preserve">0.161</w:t>
            </w:r>
          </w:p>
        </w:tc>
        <w:tc>
          <w:tcPr/>
          <w:p>
            <w:pPr>
              <w:pStyle w:val="Compact"/>
              <w:jc w:val="right"/>
            </w:pPr>
            <w:r>
              <w:t xml:space="preserve">0.105</w:t>
            </w:r>
          </w:p>
        </w:tc>
        <w:tc>
          <w:tcPr/>
          <w:p>
            <w:pPr>
              <w:pStyle w:val="Compact"/>
              <w:jc w:val="right"/>
            </w:pPr>
            <w:r>
              <w:t xml:space="preserve">0.115</w:t>
            </w:r>
          </w:p>
        </w:tc>
        <w:tc>
          <w:tcPr/>
          <w:p>
            <w:pPr>
              <w:pStyle w:val="Compact"/>
              <w:jc w:val="right"/>
            </w:pPr>
            <w:r>
              <w:t xml:space="preserve">0.138</w:t>
            </w:r>
          </w:p>
        </w:tc>
        <w:tc>
          <w:tcPr/>
          <w:p>
            <w:pPr>
              <w:pStyle w:val="Compact"/>
              <w:jc w:val="right"/>
            </w:pPr>
            <w:r>
              <w:t xml:space="preserve">0.137</w:t>
            </w:r>
          </w:p>
        </w:tc>
        <w:tc>
          <w:tcPr/>
          <w:p>
            <w:pPr>
              <w:pStyle w:val="Compact"/>
              <w:jc w:val="right"/>
            </w:pPr>
            <w:r>
              <w:t xml:space="preserve">0.086</w:t>
            </w:r>
          </w:p>
        </w:tc>
        <w:tc>
          <w:tcPr/>
          <w:p>
            <w:pPr>
              <w:pStyle w:val="Compact"/>
              <w:jc w:val="right"/>
            </w:pPr>
            <w:r>
              <w:t xml:space="preserve">0.125</w:t>
            </w:r>
          </w:p>
        </w:tc>
      </w:tr>
      <w:tr>
        <w:tc>
          <w:tcPr/>
          <w:p>
            <w:pPr>
              <w:pStyle w:val="Compact"/>
              <w:jc w:val="left"/>
            </w:pPr>
            <w:r>
              <w:t xml:space="preserve">MCN</w:t>
            </w:r>
          </w:p>
        </w:tc>
        <w:tc>
          <w:tcPr/>
          <w:p>
            <w:pPr>
              <w:pStyle w:val="Compact"/>
              <w:jc w:val="right"/>
            </w:pPr>
            <w:r>
              <w:t xml:space="preserve">0.164</w:t>
            </w:r>
          </w:p>
        </w:tc>
        <w:tc>
          <w:tcPr/>
          <w:p>
            <w:pPr>
              <w:pStyle w:val="Compact"/>
              <w:jc w:val="right"/>
            </w:pPr>
            <w:r>
              <w:t xml:space="preserve">0.111</w:t>
            </w:r>
          </w:p>
        </w:tc>
        <w:tc>
          <w:tcPr/>
          <w:p>
            <w:pPr>
              <w:pStyle w:val="Compact"/>
              <w:jc w:val="right"/>
            </w:pPr>
            <w:r>
              <w:t xml:space="preserve">0.114</w:t>
            </w:r>
          </w:p>
        </w:tc>
        <w:tc>
          <w:tcPr/>
          <w:p>
            <w:pPr>
              <w:pStyle w:val="Compact"/>
              <w:jc w:val="right"/>
            </w:pPr>
            <w:r>
              <w:t xml:space="preserve">0.137</w:t>
            </w:r>
          </w:p>
        </w:tc>
        <w:tc>
          <w:tcPr/>
          <w:p>
            <w:pPr>
              <w:pStyle w:val="Compact"/>
              <w:jc w:val="right"/>
            </w:pPr>
            <w:r>
              <w:t xml:space="preserve">0.136</w:t>
            </w:r>
          </w:p>
        </w:tc>
        <w:tc>
          <w:tcPr/>
          <w:p>
            <w:pPr>
              <w:pStyle w:val="Compact"/>
              <w:jc w:val="right"/>
            </w:pPr>
            <w:r>
              <w:t xml:space="preserve">0.090</w:t>
            </w:r>
          </w:p>
        </w:tc>
        <w:tc>
          <w:tcPr/>
          <w:p>
            <w:pPr>
              <w:pStyle w:val="Compact"/>
              <w:jc w:val="right"/>
            </w:pPr>
            <w:r>
              <w:t xml:space="preserve">0.128</w:t>
            </w:r>
          </w:p>
        </w:tc>
      </w:tr>
      <w:tr>
        <w:tc>
          <w:tcPr/>
          <w:p>
            <w:pPr>
              <w:pStyle w:val="Compact"/>
              <w:jc w:val="left"/>
            </w:pPr>
            <w:r>
              <w:t xml:space="preserve">PRO</w:t>
            </w:r>
          </w:p>
        </w:tc>
        <w:tc>
          <w:tcPr/>
          <w:p>
            <w:pPr>
              <w:pStyle w:val="Compact"/>
              <w:jc w:val="right"/>
            </w:pPr>
            <w:r>
              <w:t xml:space="preserve">0.156</w:t>
            </w:r>
          </w:p>
        </w:tc>
        <w:tc>
          <w:tcPr/>
          <w:p>
            <w:pPr>
              <w:pStyle w:val="Compact"/>
              <w:jc w:val="right"/>
            </w:pPr>
            <w:r>
              <w:t xml:space="preserve">0.203</w:t>
            </w:r>
          </w:p>
        </w:tc>
        <w:tc>
          <w:tcPr/>
          <w:p>
            <w:pPr>
              <w:pStyle w:val="Compact"/>
              <w:jc w:val="right"/>
            </w:pPr>
            <w:r>
              <w:t xml:space="preserve">0.085</w:t>
            </w:r>
          </w:p>
        </w:tc>
        <w:tc>
          <w:tcPr/>
          <w:p>
            <w:pPr>
              <w:pStyle w:val="Compact"/>
              <w:jc w:val="right"/>
            </w:pPr>
            <w:r>
              <w:t xml:space="preserve">0.086</w:t>
            </w:r>
          </w:p>
        </w:tc>
        <w:tc>
          <w:tcPr/>
          <w:p>
            <w:pPr>
              <w:pStyle w:val="Compact"/>
              <w:jc w:val="right"/>
            </w:pPr>
            <w:r>
              <w:t xml:space="preserve">0.090</w:t>
            </w:r>
          </w:p>
        </w:tc>
        <w:tc>
          <w:tcPr/>
          <w:p>
            <w:pPr>
              <w:pStyle w:val="Compact"/>
              <w:jc w:val="right"/>
            </w:pPr>
            <w:r>
              <w:t xml:space="preserve">0.225</w:t>
            </w:r>
          </w:p>
        </w:tc>
        <w:tc>
          <w:tcPr/>
          <w:p>
            <w:pPr>
              <w:pStyle w:val="Compact"/>
              <w:jc w:val="right"/>
            </w:pPr>
            <w:r>
              <w:t xml:space="preserve">0.161</w:t>
            </w:r>
          </w:p>
        </w:tc>
      </w:tr>
      <w:tr>
        <w:tc>
          <w:tcPr/>
          <w:p>
            <w:pPr>
              <w:pStyle w:val="Compact"/>
              <w:jc w:val="left"/>
            </w:pPr>
            <w:r>
              <w:t xml:space="preserve">RIS</w:t>
            </w:r>
          </w:p>
        </w:tc>
        <w:tc>
          <w:tcPr/>
          <w:p>
            <w:pPr>
              <w:pStyle w:val="Compact"/>
              <w:jc w:val="right"/>
            </w:pPr>
            <w:r>
              <w:t xml:space="preserve">0.183</w:t>
            </w:r>
          </w:p>
        </w:tc>
        <w:tc>
          <w:tcPr/>
          <w:p>
            <w:pPr>
              <w:pStyle w:val="Compact"/>
              <w:jc w:val="right"/>
            </w:pPr>
            <w:r>
              <w:t xml:space="preserve">0.172</w:t>
            </w:r>
          </w:p>
        </w:tc>
        <w:tc>
          <w:tcPr/>
          <w:p>
            <w:pPr>
              <w:pStyle w:val="Compact"/>
              <w:jc w:val="right"/>
            </w:pPr>
            <w:r>
              <w:t xml:space="preserve">0.110</w:t>
            </w:r>
          </w:p>
        </w:tc>
        <w:tc>
          <w:tcPr/>
          <w:p>
            <w:pPr>
              <w:pStyle w:val="Compact"/>
              <w:jc w:val="right"/>
            </w:pPr>
            <w:r>
              <w:t xml:space="preserve">0.125</w:t>
            </w:r>
          </w:p>
        </w:tc>
        <w:tc>
          <w:tcPr/>
          <w:p>
            <w:pPr>
              <w:pStyle w:val="Compact"/>
              <w:jc w:val="right"/>
            </w:pPr>
            <w:r>
              <w:t xml:space="preserve">0.128</w:t>
            </w:r>
          </w:p>
        </w:tc>
        <w:tc>
          <w:tcPr/>
          <w:p>
            <w:pPr>
              <w:pStyle w:val="Compact"/>
              <w:jc w:val="right"/>
            </w:pPr>
            <w:r>
              <w:t xml:space="preserve">0.161</w:t>
            </w:r>
          </w:p>
        </w:tc>
        <w:tc>
          <w:tcPr/>
          <w:p>
            <w:pPr>
              <w:pStyle w:val="Compact"/>
              <w:jc w:val="right"/>
            </w:pPr>
            <w:r>
              <w:t xml:space="preserve">0.159</w:t>
            </w:r>
          </w:p>
        </w:tc>
      </w:tr>
    </w:tbl>
    <w:p/>
    <w:p>
      <w:pPr>
        <w:pStyle w:val="TableCaption"/>
      </w:pPr>
      <w:r>
        <w:t xml:space="preserve">Table 2.3: Estimates of selected parameters from the best model. Terms containing</w:t>
      </w:r>
      <w:r>
        <w:t xml:space="preserve"> </w:t>
      </w:r>
      <w:r>
        <w:t xml:space="preserve">“</w:t>
      </w:r>
      <w:r>
        <w:t xml:space="preserve">new</w:t>
      </w:r>
      <w:r>
        <w:t xml:space="preserve">”</w:t>
      </w:r>
      <w:r>
        <w:t xml:space="preserve"> </w:t>
      </w:r>
      <w:r>
        <w:t xml:space="preserve">were inputs to the model, derived from the new time-series estimates.</w:t>
      </w:r>
    </w:p>
    <w:tbl>
      <w:tblPr>
        <w:tblStyle w:val="Table"/>
        <w:tblW w:type="auto" w:w="0"/>
        <w:tblLook w:firstRow="1" w:lastRow="0" w:firstColumn="0" w:lastColumn="0" w:noHBand="0" w:noVBand="0" w:val="0020"/>
        <w:tblCaption w:val="Table 2.3: Estimates of selected parameters from the best model. Terms containing “new” were inputs to the model, derived from the new time-series estimates."/>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Conf Low</w:t>
            </w:r>
          </w:p>
        </w:tc>
        <w:tc>
          <w:tcPr/>
          <w:p>
            <w:pPr>
              <w:pStyle w:val="Compact"/>
              <w:jc w:val="right"/>
            </w:pPr>
            <w:r>
              <w:t xml:space="preserve">Conf Up</w:t>
            </w:r>
          </w:p>
        </w:tc>
      </w:tr>
      <w:tr>
        <w:tc>
          <w:tcPr/>
          <w:p>
            <w:pPr>
              <w:pStyle w:val="Compact"/>
              <w:jc w:val="left"/>
            </w:pPr>
            <w:r>
              <w:t xml:space="preserve">A.a_old_hos</w:t>
            </w:r>
          </w:p>
        </w:tc>
        <w:tc>
          <w:tcPr/>
          <w:p>
            <w:pPr>
              <w:pStyle w:val="Compact"/>
              <w:jc w:val="right"/>
            </w:pPr>
            <w:r>
              <w:t xml:space="preserve">0.087</w:t>
            </w:r>
          </w:p>
        </w:tc>
        <w:tc>
          <w:tcPr/>
          <w:p>
            <w:pPr>
              <w:pStyle w:val="Compact"/>
              <w:jc w:val="right"/>
            </w:pPr>
            <w:r>
              <w:t xml:space="preserve">0.195</w:t>
            </w:r>
          </w:p>
        </w:tc>
        <w:tc>
          <w:tcPr/>
          <w:p>
            <w:pPr>
              <w:pStyle w:val="Compact"/>
              <w:jc w:val="right"/>
            </w:pPr>
            <w:r>
              <w:t xml:space="preserve">-0.296</w:t>
            </w:r>
          </w:p>
        </w:tc>
        <w:tc>
          <w:tcPr/>
          <w:p>
            <w:pPr>
              <w:pStyle w:val="Compact"/>
              <w:jc w:val="right"/>
            </w:pPr>
            <w:r>
              <w:t xml:space="preserve">0.470</w:t>
            </w:r>
          </w:p>
        </w:tc>
      </w:tr>
      <w:tr>
        <w:tc>
          <w:tcPr/>
          <w:p>
            <w:pPr>
              <w:pStyle w:val="Compact"/>
              <w:jc w:val="left"/>
            </w:pPr>
            <w:r>
              <w:t xml:space="preserve">A.a_old_nos</w:t>
            </w:r>
          </w:p>
        </w:tc>
        <w:tc>
          <w:tcPr/>
          <w:p>
            <w:pPr>
              <w:pStyle w:val="Compact"/>
              <w:jc w:val="right"/>
            </w:pPr>
            <w:r>
              <w:t xml:space="preserve">0.244</w:t>
            </w:r>
          </w:p>
        </w:tc>
        <w:tc>
          <w:tcPr/>
          <w:p>
            <w:pPr>
              <w:pStyle w:val="Compact"/>
              <w:jc w:val="right"/>
            </w:pPr>
            <w:r>
              <w:t xml:space="preserve">0.108</w:t>
            </w:r>
          </w:p>
        </w:tc>
        <w:tc>
          <w:tcPr/>
          <w:p>
            <w:pPr>
              <w:pStyle w:val="Compact"/>
              <w:jc w:val="right"/>
            </w:pPr>
            <w:r>
              <w:t xml:space="preserve">0.032</w:t>
            </w:r>
          </w:p>
        </w:tc>
        <w:tc>
          <w:tcPr/>
          <w:p>
            <w:pPr>
              <w:pStyle w:val="Compact"/>
              <w:jc w:val="right"/>
            </w:pPr>
            <w:r>
              <w:t xml:space="preserve">0.456</w:t>
            </w:r>
          </w:p>
        </w:tc>
      </w:tr>
      <w:tr>
        <w:tc>
          <w:tcPr/>
          <w:p>
            <w:pPr>
              <w:pStyle w:val="Compact"/>
              <w:jc w:val="left"/>
            </w:pPr>
            <w:r>
              <w:t xml:space="preserve">R.r_old_hos</w:t>
            </w:r>
          </w:p>
        </w:tc>
        <w:tc>
          <w:tcPr/>
          <w:p>
            <w:pPr>
              <w:pStyle w:val="Compact"/>
              <w:jc w:val="right"/>
            </w:pPr>
            <w:r>
              <w:t xml:space="preserve">0.664</w:t>
            </w:r>
          </w:p>
        </w:tc>
        <w:tc>
          <w:tcPr/>
          <w:p>
            <w:pPr>
              <w:pStyle w:val="Compact"/>
              <w:jc w:val="right"/>
            </w:pPr>
            <w:r>
              <w:t xml:space="preserve">0.164</w:t>
            </w:r>
          </w:p>
        </w:tc>
        <w:tc>
          <w:tcPr/>
          <w:p>
            <w:pPr>
              <w:pStyle w:val="Compact"/>
              <w:jc w:val="right"/>
            </w:pPr>
            <w:r>
              <w:t xml:space="preserve">0.343</w:t>
            </w:r>
          </w:p>
        </w:tc>
        <w:tc>
          <w:tcPr/>
          <w:p>
            <w:pPr>
              <w:pStyle w:val="Compact"/>
              <w:jc w:val="right"/>
            </w:pPr>
            <w:r>
              <w:t xml:space="preserve">0.986</w:t>
            </w:r>
          </w:p>
        </w:tc>
      </w:tr>
      <w:tr>
        <w:tc>
          <w:tcPr/>
          <w:p>
            <w:pPr>
              <w:pStyle w:val="Compact"/>
              <w:jc w:val="left"/>
            </w:pPr>
            <w:r>
              <w:t xml:space="preserve">R.r_old_nos</w:t>
            </w:r>
          </w:p>
        </w:tc>
        <w:tc>
          <w:tcPr/>
          <w:p>
            <w:pPr>
              <w:pStyle w:val="Compact"/>
              <w:jc w:val="right"/>
            </w:pPr>
            <w:r>
              <w:t xml:space="preserve">0.089</w:t>
            </w:r>
          </w:p>
        </w:tc>
        <w:tc>
          <w:tcPr/>
          <w:p>
            <w:pPr>
              <w:pStyle w:val="Compact"/>
              <w:jc w:val="right"/>
            </w:pPr>
            <w:r>
              <w:t xml:space="preserve">0.026</w:t>
            </w:r>
          </w:p>
        </w:tc>
        <w:tc>
          <w:tcPr/>
          <w:p>
            <w:pPr>
              <w:pStyle w:val="Compact"/>
              <w:jc w:val="right"/>
            </w:pPr>
            <w:r>
              <w:t xml:space="preserve">0.038</w:t>
            </w:r>
          </w:p>
        </w:tc>
        <w:tc>
          <w:tcPr/>
          <w:p>
            <w:pPr>
              <w:pStyle w:val="Compact"/>
              <w:jc w:val="right"/>
            </w:pPr>
            <w:r>
              <w:t xml:space="preserve">0.139</w:t>
            </w:r>
          </w:p>
        </w:tc>
      </w:tr>
      <w:tr>
        <w:tc>
          <w:tcPr/>
          <w:p>
            <w:pPr>
              <w:pStyle w:val="Compact"/>
              <w:jc w:val="left"/>
            </w:pPr>
            <w:r>
              <w:t xml:space="preserve">R.r_new_hos</w:t>
            </w:r>
          </w:p>
        </w:tc>
        <w:tc>
          <w:tcPr/>
          <w:p>
            <w:pPr>
              <w:pStyle w:val="Compact"/>
              <w:jc w:val="right"/>
            </w:pPr>
            <w:r>
              <w:t xml:space="preserve">0.171</w:t>
            </w:r>
          </w:p>
        </w:tc>
        <w:tc>
          <w:tcPr/>
          <w:p>
            <w:pPr>
              <w:pStyle w:val="Compact"/>
              <w:jc w:val="right"/>
            </w:pPr>
            <w:r>
              <w:t xml:space="preserve">0.079</w:t>
            </w:r>
          </w:p>
        </w:tc>
        <w:tc>
          <w:tcPr/>
          <w:p>
            <w:pPr>
              <w:pStyle w:val="Compact"/>
              <w:jc w:val="right"/>
            </w:pPr>
            <w:r>
              <w:t xml:space="preserve">0.098</w:t>
            </w:r>
          </w:p>
        </w:tc>
        <w:tc>
          <w:tcPr/>
          <w:p>
            <w:pPr>
              <w:pStyle w:val="Compact"/>
              <w:jc w:val="right"/>
            </w:pPr>
            <w:r>
              <w:t xml:space="preserve">0.374</w:t>
            </w:r>
          </w:p>
        </w:tc>
      </w:tr>
      <w:tr>
        <w:tc>
          <w:tcPr/>
          <w:p>
            <w:pPr>
              <w:pStyle w:val="Compact"/>
              <w:jc w:val="left"/>
            </w:pPr>
            <w:r>
              <w:t xml:space="preserve">R.r_new_nos</w:t>
            </w:r>
          </w:p>
        </w:tc>
        <w:tc>
          <w:tcPr/>
          <w:p>
            <w:pPr>
              <w:pStyle w:val="Compact"/>
              <w:jc w:val="right"/>
            </w:pPr>
            <w:r>
              <w:t xml:space="preserve">0.139</w:t>
            </w:r>
          </w:p>
        </w:tc>
        <w:tc>
          <w:tcPr/>
          <w:p>
            <w:pPr>
              <w:pStyle w:val="Compact"/>
              <w:jc w:val="right"/>
            </w:pPr>
            <w:r>
              <w:t xml:space="preserve">0.067</w:t>
            </w:r>
          </w:p>
        </w:tc>
        <w:tc>
          <w:tcPr/>
          <w:p>
            <w:pPr>
              <w:pStyle w:val="Compact"/>
              <w:jc w:val="right"/>
            </w:pPr>
            <w:r>
              <w:t xml:space="preserve">0.079</w:t>
            </w:r>
          </w:p>
        </w:tc>
        <w:tc>
          <w:tcPr/>
          <w:p>
            <w:pPr>
              <w:pStyle w:val="Compact"/>
              <w:jc w:val="right"/>
            </w:pPr>
            <w:r>
              <w:t xml:space="preserve">0.303</w:t>
            </w:r>
          </w:p>
        </w:tc>
      </w:tr>
    </w:tbl>
    <w:p>
      <w:pPr>
        <w:pStyle w:val="BodyText"/>
      </w:pPr>
      <w:r>
        <w:t xml:space="preserve">Table</w:t>
      </w:r>
      <w:r>
        <w:t xml:space="preserve"> </w:t>
      </w:r>
      <w:r>
        <w:t xml:space="preserve">2.2</w:t>
      </w:r>
      <w:r>
        <w:t xml:space="preserve"> </w:t>
      </w:r>
      <w:r>
        <w:t xml:space="preserve">shows the estimates of the process error covariance matrix,</w:t>
      </w:r>
      <w:r>
        <w:t xml:space="preserve"> </w:t>
      </w:r>
      <m:oMath>
        <m:r>
          <m:rPr>
            <m:nor/>
            <m:sty m:val="b"/>
          </m:rPr>
          <m:t>Q</m:t>
        </m:r>
      </m:oMath>
      <w:r>
        <w:t xml:space="preserve">, from the best supported model. Table</w:t>
      </w:r>
      <w:r>
        <w:t xml:space="preserve"> </w:t>
      </w:r>
      <w:r>
        <w:t xml:space="preserve">2.3</w:t>
      </w:r>
      <w:r>
        <w:t xml:space="preserve"> </w:t>
      </w:r>
      <w:r>
        <w:t xml:space="preserve">shows other parameter estimates from the selected model.</w:t>
      </w:r>
      <w:r>
        <w:t xml:space="preserve"> </w:t>
      </w:r>
    </w:p>
    <w:p>
      <w:pPr>
        <w:pStyle w:val="BodyText"/>
      </w:pPr>
      <w:r>
        <w:t xml:space="preserve">Figure</w:t>
      </w:r>
      <w:r>
        <w:t xml:space="preserve"> </w:t>
      </w:r>
      <w:r>
        <w:t xml:space="preserve">2.5</w:t>
      </w:r>
      <w:r>
        <w:t xml:space="preserve"> </w:t>
      </w:r>
      <w:r>
        <w:t xml:space="preserve">compares the predictions of hatchery spawners from a model that does not use smolt releases as a covariate and one that does, although both have unconstrained</w:t>
      </w:r>
      <w:r>
        <w:t xml:space="preserve"> </w:t>
      </w:r>
      <m:oMath>
        <m:r>
          <m:rPr>
            <m:nor/>
            <m:sty m:val="b"/>
          </m:rPr>
          <m:t>Q</m:t>
        </m:r>
      </m:oMath>
      <w:r>
        <w:t xml:space="preserve"> </w:t>
      </w:r>
      <w:r>
        <w:t xml:space="preserve">matrices. (models 3 and 6). Predictions are slightly greater for the model with a smolt release covariate, but only in the earlier years.</w:t>
      </w:r>
    </w:p>
    <w:p>
      <w:pPr>
        <w:pStyle w:val="CaptionedFigure"/>
      </w:pPr>
      <w:r>
        <w:drawing>
          <wp:inline>
            <wp:extent cx="5504749" cy="3669832"/>
            <wp:effectExtent b="0" l="0" r="0" t="0"/>
            <wp:docPr descr="Figure 2.5: Comparison of predicted states of hatchery spawners for a model with no smolt release covariate (x-axis) and one that includes that covariate (y-axis). The period refers to whether the new time-series estimates exist." title="" id="1" name="Picture"/>
            <a:graphic>
              <a:graphicData uri="http://schemas.openxmlformats.org/drawingml/2006/picture">
                <pic:pic>
                  <pic:nvPicPr>
                    <pic:cNvPr descr="../figures/comp-preds-1.png" id="0" name="Picture"/>
                    <pic:cNvPicPr>
                      <a:picLocks noChangeArrowheads="1" noChangeAspect="1"/>
                    </pic:cNvPicPr>
                  </pic:nvPicPr>
                  <pic:blipFill>
                    <a:blip r:embed="rId32"/>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2.5: Comparison of predicted states of hatchery spawners for a model with no smolt release covariate (x-axis) and one that includes that covariate (y-axis). The period refers to whether the new time-series estimates exist.</w:t>
      </w:r>
    </w:p>
    <w:p>
      <w:pPr>
        <w:pStyle w:val="CaptionedFigure"/>
      </w:pPr>
      <w:r>
        <w:drawing>
          <wp:inline>
            <wp:extent cx="5504749" cy="3669832"/>
            <wp:effectExtent b="0" l="0" r="0" t="0"/>
            <wp:docPr descr="Figure 2.6: Estimates of spawners through the years, faceted by origin. Predicted spawners is the black line with 95% confidence interval in gray. Blue triangles depict estimates from the old time-series, while red points and 95% confidence intervals are from the new time-series." title="" id="1" name="Picture"/>
            <a:graphic>
              <a:graphicData uri="http://schemas.openxmlformats.org/drawingml/2006/picture">
                <pic:pic>
                  <pic:nvPicPr>
                    <pic:cNvPr descr="../figures/marss-p-1.png" id="0" name="Picture"/>
                    <pic:cNvPicPr>
                      <a:picLocks noChangeArrowheads="1" noChangeAspect="1"/>
                    </pic:cNvPicPr>
                  </pic:nvPicPr>
                  <pic:blipFill>
                    <a:blip r:embed="rId3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2.6: Estimates of spawners through the years, faceted by origin. Predicted spawners is the black line with 95% confidence interval in gray. Blue triangles depict estimates from the old time-series, while red points and 95% confidence intervals are from the new time-series.</w:t>
      </w:r>
    </w:p>
    <w:p>
      <w:pPr>
        <w:pStyle w:val="CaptionedFigure"/>
      </w:pPr>
      <w:r>
        <w:drawing>
          <wp:inline>
            <wp:extent cx="5504749" cy="3669832"/>
            <wp:effectExtent b="0" l="0" r="0" t="0"/>
            <wp:docPr descr="Figure 2.7: Updated estimates of spawners through the years, colored by origin, showing point estimates and 95% confidence intervals. Dashed vertical line differentiates older and newer time-series." title="" id="1" name="Picture"/>
            <a:graphic>
              <a:graphicData uri="http://schemas.openxmlformats.org/drawingml/2006/picture">
                <pic:pic>
                  <pic:nvPicPr>
                    <pic:cNvPr descr="../figures/marss-p2-1.png" id="0" name="Picture"/>
                    <pic:cNvPicPr>
                      <a:picLocks noChangeArrowheads="1" noChangeAspect="1"/>
                    </pic:cNvPicPr>
                  </pic:nvPicPr>
                  <pic:blipFill>
                    <a:blip r:embed="rId34"/>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2.7: Updated estimates of spawners through the years, colored by origin, showing point estimates and 95% confidence intervals. Dashed vertical line differentiates older and newer time-series.</w:t>
      </w:r>
    </w:p>
    <w:p>
      <w:pPr>
        <w:pStyle w:val="CaptionedFigure"/>
      </w:pPr>
      <w:r>
        <w:drawing>
          <wp:inline>
            <wp:extent cx="5504749" cy="3669832"/>
            <wp:effectExtent b="0" l="0" r="0" t="0"/>
            <wp:docPr descr="Figure 2.8: Estimates of pHOS based on the updated time-series, showing 95% confidence intervals. Dashed vertical line differentiates older and newer time-series." title="" id="1" name="Picture"/>
            <a:graphic>
              <a:graphicData uri="http://schemas.openxmlformats.org/drawingml/2006/picture">
                <pic:pic>
                  <pic:nvPicPr>
                    <pic:cNvPr descr="../figures/phos-est-1.png" id="0" name="Picture"/>
                    <pic:cNvPicPr>
                      <a:picLocks noChangeArrowheads="1" noChangeAspect="1"/>
                    </pic:cNvPicPr>
                  </pic:nvPicPr>
                  <pic:blipFill>
                    <a:blip r:embed="rId35"/>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2.8: Estimates of pHOS based on the updated time-series, showing 95% confidence intervals. Dashed vertical line differentiates older and newer time-series.</w:t>
      </w:r>
    </w:p>
    <w:bookmarkEnd w:id="36"/>
    <w:bookmarkEnd w:id="37"/>
    <w:bookmarkEnd w:id="38"/>
    <w:bookmarkStart w:id="39" w:name="conclusions"/>
    <w:p>
      <w:pPr>
        <w:pStyle w:val="Heading1"/>
      </w:pPr>
      <w:r>
        <w:rPr>
          <w:rStyle w:val="SectionNumber"/>
        </w:rPr>
        <w:t xml:space="preserve">3</w:t>
      </w:r>
      <w:r>
        <w:tab/>
      </w:r>
      <w:r>
        <w:t xml:space="preserve">Conclusions</w:t>
      </w:r>
    </w:p>
    <w:p>
      <w:pPr>
        <w:pStyle w:val="FirstParagraph"/>
      </w:pPr>
      <w:r>
        <w:t xml:space="preserve">The MARSS framework appear to fit the data better than the linear regression for several reasons, so we chose to use that. First, there does not appear to be a consistent additive or multiplicative bias between the two time-series. Second, a MARSS model is explicitly a time-series model, which is appropriate for this comparison. Finally, the MARSS framework allowed us to test a variety of model structures, including bringing in other time-series and covariates. AICc supported a model that included several time-series of various dam counts, with correlated process errors (true year-to-year variability), including a positive correlation between hatchery and natural origin spawners. This positive correlation could reflect the impacts of shared ocean conditions. There was slightly less support for the same model that also included a covariate of weighted average of previous smolt releases to for the hatchery returns (but not natural origin returns). Because the coefficient of that covariate was negative, with confidence intervals that overlapped 0, and because including smolt releases had very little effect on spawner estimates (Figure</w:t>
      </w:r>
      <w:r>
        <w:t xml:space="preserve"> </w:t>
      </w:r>
      <w:r>
        <w:t xml:space="preserve">2.5</w:t>
      </w:r>
      <w:r>
        <w:t xml:space="preserve">), we decided against using that model and chose the one with the lowest AICc score.</w:t>
      </w:r>
    </w:p>
    <w:p>
      <w:pPr>
        <w:pStyle w:val="BodyText"/>
      </w:pPr>
      <w:r>
        <w:t xml:space="preserve">Table</w:t>
      </w:r>
      <w:r>
        <w:t xml:space="preserve"> </w:t>
      </w:r>
      <w:r>
        <w:t xml:space="preserve">5.1</w:t>
      </w:r>
      <w:r>
        <w:t xml:space="preserve"> </w:t>
      </w:r>
      <w:r>
        <w:t xml:space="preserve">in Appendix</w:t>
      </w:r>
      <w:r>
        <w:t xml:space="preserve"> </w:t>
      </w:r>
      <w:r>
        <w:t xml:space="preserve">5</w:t>
      </w:r>
      <w:r>
        <w:t xml:space="preserve"> </w:t>
      </w:r>
      <w:r>
        <w:t xml:space="preserve">shows the updated time-series, including a brief description of the method used to generate the estimate each year.</w:t>
      </w:r>
    </w:p>
    <w:bookmarkEnd w:id="39"/>
    <w:bookmarkStart w:id="46" w:name="references"/>
    <w:p>
      <w:pPr>
        <w:pStyle w:val="Heading1"/>
      </w:pPr>
      <w:r>
        <w:rPr>
          <w:rStyle w:val="SectionNumber"/>
        </w:rPr>
        <w:t xml:space="preserve">4</w:t>
      </w:r>
      <w:r>
        <w:tab/>
      </w:r>
      <w:r>
        <w:t xml:space="preserve">References</w:t>
      </w:r>
    </w:p>
    <w:bookmarkStart w:id="45" w:name="refs"/>
    <w:bookmarkStart w:id="40" w:name="ref-R-MARSS"/>
    <w:p>
      <w:pPr>
        <w:pStyle w:val="Bibliography"/>
      </w:pPr>
      <w:r>
        <w:t xml:space="preserve">Holmes, E. E., E. J. Ward, M. D. Scheuerell, and K. Wills. 2021. MARSS: Multivariate autoregressive state-space modeling.</w:t>
      </w:r>
    </w:p>
    <w:bookmarkEnd w:id="40"/>
    <w:bookmarkStart w:id="41" w:name="ref-MARSS2012"/>
    <w:p>
      <w:pPr>
        <w:pStyle w:val="Bibliography"/>
      </w:pPr>
      <w:r>
        <w:t xml:space="preserve">Holmes, E. E., E. J. Ward, and K. Wills. 2012. MARSS: Multivariate autoregressive state-space models for analyzing time-series data. The R Journal 4(1):30.</w:t>
      </w:r>
    </w:p>
    <w:bookmarkEnd w:id="41"/>
    <w:bookmarkStart w:id="42" w:name="ref-Murdoch2018"/>
    <w:p>
      <w:pPr>
        <w:pStyle w:val="Bibliography"/>
      </w:pPr>
      <w:r>
        <w:t xml:space="preserve">Murdoch, A. R., C. J. Herring, C. H. Frady, K. See, and C. E. Jordan. 2018. Estimating observer error and steelhead redd abundance using a modified</w:t>
      </w:r>
      <w:r>
        <w:t xml:space="preserve"> </w:t>
      </w:r>
      <w:r>
        <w:t xml:space="preserve">Gaussian</w:t>
      </w:r>
      <w:r>
        <w:t xml:space="preserve"> </w:t>
      </w:r>
      <w:r>
        <w:t xml:space="preserve">area-under-the-curve framework. Canadian Journal of Fisheries and Aquatic Sciences 75(12):2149–2158.</w:t>
      </w:r>
    </w:p>
    <w:bookmarkEnd w:id="42"/>
    <w:bookmarkStart w:id="43" w:name="ref-Murdoch2009"/>
    <w:p>
      <w:pPr>
        <w:pStyle w:val="Bibliography"/>
      </w:pPr>
      <w:r>
        <w:t xml:space="preserve">Murdoch, A. R., T. N. Pearsons, and T. W. Maitland. 2009. The</w:t>
      </w:r>
      <w:r>
        <w:t xml:space="preserve"> </w:t>
      </w:r>
      <w:r>
        <w:t xml:space="preserve">Number</w:t>
      </w:r>
      <w:r>
        <w:t xml:space="preserve"> </w:t>
      </w:r>
      <w:r>
        <w:t xml:space="preserve">of</w:t>
      </w:r>
      <w:r>
        <w:t xml:space="preserve"> </w:t>
      </w:r>
      <w:r>
        <w:t xml:space="preserve">Redds Constructed</w:t>
      </w:r>
      <w:r>
        <w:t xml:space="preserve"> </w:t>
      </w:r>
      <w:r>
        <w:t xml:space="preserve">per</w:t>
      </w:r>
      <w:r>
        <w:t xml:space="preserve"> </w:t>
      </w:r>
      <w:r>
        <w:t xml:space="preserve">Female Spring Chinook Salmon</w:t>
      </w:r>
      <w:r>
        <w:t xml:space="preserve"> </w:t>
      </w:r>
      <w:r>
        <w:t xml:space="preserve">in the</w:t>
      </w:r>
      <w:r>
        <w:t xml:space="preserve"> </w:t>
      </w:r>
      <w:r>
        <w:t xml:space="preserve">Wenatchee River Basin</w:t>
      </w:r>
      <w:r>
        <w:t xml:space="preserve">. North American Journal of Fisheries Management 29(2):441–446.</w:t>
      </w:r>
    </w:p>
    <w:bookmarkEnd w:id="43"/>
    <w:bookmarkStart w:id="44" w:name="ref-Waterhouse2020"/>
    <w:p>
      <w:pPr>
        <w:pStyle w:val="Bibliography"/>
      </w:pPr>
      <w:r>
        <w:t xml:space="preserve">Waterhouse, L., J. White, K. See, A. Murdoch, and B. X. Semmens. 2020. A</w:t>
      </w:r>
      <w:r>
        <w:t xml:space="preserve"> </w:t>
      </w:r>
      <w:r>
        <w:t xml:space="preserve">Bayesian</w:t>
      </w:r>
      <w:r>
        <w:t xml:space="preserve"> </w:t>
      </w:r>
      <w:r>
        <w:t xml:space="preserve">nested patch occupancy model to estimate steelhead movement and abundance. Ecological Applications 30(8).</w:t>
      </w:r>
    </w:p>
    <w:bookmarkEnd w:id="44"/>
    <w:bookmarkEnd w:id="45"/>
    <w:p>
      <w:r>
        <w:br w:type="page"/>
      </w:r>
    </w:p>
    <w:bookmarkEnd w:id="46"/>
    <w:bookmarkStart w:id="47" w:name="appendices"/>
    <w:p>
      <w:pPr>
        <w:pStyle w:val="Heading1"/>
      </w:pPr>
      <w:r>
        <w:t xml:space="preserve">Appendices</w:t>
      </w:r>
    </w:p>
    <w:bookmarkEnd w:id="47"/>
    <w:bookmarkStart w:id="48" w:name="appendA"/>
    <w:p>
      <w:pPr>
        <w:pStyle w:val="Heading1"/>
      </w:pPr>
      <w:r>
        <w:rPr>
          <w:rStyle w:val="SectionNumber"/>
        </w:rPr>
        <w:t xml:space="preserve">5</w:t>
      </w:r>
      <w:r>
        <w:tab/>
      </w:r>
      <w:r>
        <w:t xml:space="preserve">Updated Time Series</w:t>
      </w:r>
    </w:p>
    <w:p>
      <w:pPr>
        <w:pStyle w:val="TableCaption"/>
      </w:pPr>
      <w:r>
        <w:t xml:space="preserve">Table 5.1: Updated time-series of steelhead spawners in the Wenatchee, by origin.</w:t>
      </w:r>
    </w:p>
    <w:tbl>
      <w:tblPr>
        <w:tblStyle w:val="Table"/>
        <w:tblW w:type="auto" w:w="0"/>
        <w:tblLook w:firstRow="1" w:lastRow="0" w:firstColumn="0" w:lastColumn="0" w:noHBand="0" w:noVBand="0" w:val="0020"/>
        <w:tblCaption w:val="Table 5.1: Updated time-series of steelhead spawners in the Wenatchee, by origin."/>
      </w:tblPr>
      <w:tblGrid>
        <w:gridCol w:w="1131"/>
        <w:gridCol w:w="1131"/>
        <w:gridCol w:w="1131"/>
        <w:gridCol w:w="1131"/>
        <w:gridCol w:w="1131"/>
        <w:gridCol w:w="1131"/>
        <w:gridCol w:w="1131"/>
      </w:tblGrid>
      <w:tr>
        <w:trPr>
          <w:tblHeader w:val="true"/>
        </w:trPr>
        <w:tc>
          <w:tcPr/>
          <w:p>
            <w:pPr>
              <w:pStyle w:val="Compact"/>
              <w:jc w:val="left"/>
            </w:pPr>
            <w:r>
              <w:t xml:space="preserve">Year</w:t>
            </w:r>
          </w:p>
        </w:tc>
        <w:tc>
          <w:tcPr/>
          <w:p>
            <w:pPr>
              <w:pStyle w:val="Compact"/>
              <w:jc w:val="left"/>
            </w:pPr>
            <w:r>
              <w:t xml:space="preserve">Origin</w:t>
            </w:r>
          </w:p>
        </w:tc>
        <w:tc>
          <w:tcPr/>
          <w:p>
            <w:pPr>
              <w:pStyle w:val="Compact"/>
              <w:jc w:val="left"/>
            </w:pPr>
            <w:r>
              <w:t xml:space="preserve">Method</w:t>
            </w:r>
          </w:p>
        </w:tc>
        <w:tc>
          <w:tcPr/>
          <w:p>
            <w:pPr>
              <w:pStyle w:val="Compact"/>
              <w:jc w:val="right"/>
            </w:pPr>
            <w:r>
              <w:t xml:space="preserve">Estimate</w:t>
            </w:r>
          </w:p>
        </w:tc>
        <w:tc>
          <w:tcPr/>
          <w:p>
            <w:pPr>
              <w:pStyle w:val="Compact"/>
              <w:jc w:val="right"/>
            </w:pPr>
            <w:r>
              <w:t xml:space="preserve">SE</w:t>
            </w:r>
          </w:p>
        </w:tc>
        <w:tc>
          <w:tcPr/>
          <w:p>
            <w:pPr>
              <w:pStyle w:val="Compact"/>
              <w:jc w:val="right"/>
            </w:pPr>
            <w:r>
              <w:t xml:space="preserve">LCI</w:t>
            </w:r>
          </w:p>
        </w:tc>
        <w:tc>
          <w:tcPr/>
          <w:p>
            <w:pPr>
              <w:pStyle w:val="Compact"/>
              <w:jc w:val="right"/>
            </w:pPr>
            <w:r>
              <w:t xml:space="preserve">UCI</w:t>
            </w:r>
          </w:p>
        </w:tc>
      </w:tr>
      <w:tr>
        <w:tc>
          <w:tcPr/>
          <w:p>
            <w:pPr>
              <w:pStyle w:val="Compact"/>
              <w:jc w:val="left"/>
            </w:pPr>
            <w:r>
              <w:t xml:space="preserve">1987</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3,000</w:t>
            </w:r>
          </w:p>
        </w:tc>
        <w:tc>
          <w:tcPr/>
          <w:p>
            <w:pPr>
              <w:pStyle w:val="Compact"/>
              <w:jc w:val="right"/>
            </w:pPr>
            <w:r>
              <w:t xml:space="preserve">355.2</w:t>
            </w:r>
          </w:p>
        </w:tc>
        <w:tc>
          <w:tcPr/>
          <w:p>
            <w:pPr>
              <w:pStyle w:val="Compact"/>
              <w:jc w:val="right"/>
            </w:pPr>
            <w:r>
              <w:t xml:space="preserve">2,385</w:t>
            </w:r>
          </w:p>
        </w:tc>
        <w:tc>
          <w:tcPr/>
          <w:p>
            <w:pPr>
              <w:pStyle w:val="Compact"/>
              <w:jc w:val="right"/>
            </w:pPr>
            <w:r>
              <w:t xml:space="preserve">3,775</w:t>
            </w:r>
          </w:p>
        </w:tc>
      </w:tr>
      <w:tr>
        <w:tc>
          <w:tcPr/>
          <w:p>
            <w:pPr>
              <w:pStyle w:val="Compact"/>
              <w:jc w:val="left"/>
            </w:pPr>
            <w:r>
              <w:t xml:space="preserve">1987</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1,033</w:t>
            </w:r>
          </w:p>
        </w:tc>
        <w:tc>
          <w:tcPr/>
          <w:p>
            <w:pPr>
              <w:pStyle w:val="Compact"/>
              <w:jc w:val="right"/>
            </w:pPr>
            <w:r>
              <w:t xml:space="preserve">114.0</w:t>
            </w:r>
          </w:p>
        </w:tc>
        <w:tc>
          <w:tcPr/>
          <w:p>
            <w:pPr>
              <w:pStyle w:val="Compact"/>
              <w:jc w:val="right"/>
            </w:pPr>
            <w:r>
              <w:t xml:space="preserve">834</w:t>
            </w:r>
          </w:p>
        </w:tc>
        <w:tc>
          <w:tcPr/>
          <w:p>
            <w:pPr>
              <w:pStyle w:val="Compact"/>
              <w:jc w:val="right"/>
            </w:pPr>
            <w:r>
              <w:t xml:space="preserve">1,280</w:t>
            </w:r>
          </w:p>
        </w:tc>
      </w:tr>
      <w:tr>
        <w:tc>
          <w:tcPr/>
          <w:p>
            <w:pPr>
              <w:pStyle w:val="Compact"/>
              <w:jc w:val="left"/>
            </w:pPr>
            <w:r>
              <w:t xml:space="preserve">1988</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2,144</w:t>
            </w:r>
          </w:p>
        </w:tc>
        <w:tc>
          <w:tcPr/>
          <w:p>
            <w:pPr>
              <w:pStyle w:val="Compact"/>
              <w:jc w:val="right"/>
            </w:pPr>
            <w:r>
              <w:t xml:space="preserve">294.1</w:t>
            </w:r>
          </w:p>
        </w:tc>
        <w:tc>
          <w:tcPr/>
          <w:p>
            <w:pPr>
              <w:pStyle w:val="Compact"/>
              <w:jc w:val="right"/>
            </w:pPr>
            <w:r>
              <w:t xml:space="preserve">1,644</w:t>
            </w:r>
          </w:p>
        </w:tc>
        <w:tc>
          <w:tcPr/>
          <w:p>
            <w:pPr>
              <w:pStyle w:val="Compact"/>
              <w:jc w:val="right"/>
            </w:pPr>
            <w:r>
              <w:t xml:space="preserve">2,795</w:t>
            </w:r>
          </w:p>
        </w:tc>
      </w:tr>
      <w:tr>
        <w:tc>
          <w:tcPr/>
          <w:p>
            <w:pPr>
              <w:pStyle w:val="Compact"/>
              <w:jc w:val="left"/>
            </w:pPr>
            <w:r>
              <w:t xml:space="preserve">1988</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907</w:t>
            </w:r>
          </w:p>
        </w:tc>
        <w:tc>
          <w:tcPr/>
          <w:p>
            <w:pPr>
              <w:pStyle w:val="Compact"/>
              <w:jc w:val="right"/>
            </w:pPr>
            <w:r>
              <w:t xml:space="preserve">105.8</w:t>
            </w:r>
          </w:p>
        </w:tc>
        <w:tc>
          <w:tcPr/>
          <w:p>
            <w:pPr>
              <w:pStyle w:val="Compact"/>
              <w:jc w:val="right"/>
            </w:pPr>
            <w:r>
              <w:t xml:space="preserve">723</w:t>
            </w:r>
          </w:p>
        </w:tc>
        <w:tc>
          <w:tcPr/>
          <w:p>
            <w:pPr>
              <w:pStyle w:val="Compact"/>
              <w:jc w:val="right"/>
            </w:pPr>
            <w:r>
              <w:t xml:space="preserve">1,137</w:t>
            </w:r>
          </w:p>
        </w:tc>
      </w:tr>
      <w:tr>
        <w:tc>
          <w:tcPr/>
          <w:p>
            <w:pPr>
              <w:pStyle w:val="Compact"/>
              <w:jc w:val="left"/>
            </w:pPr>
            <w:r>
              <w:t xml:space="preserve">1989</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1,578</w:t>
            </w:r>
          </w:p>
        </w:tc>
        <w:tc>
          <w:tcPr/>
          <w:p>
            <w:pPr>
              <w:pStyle w:val="Compact"/>
              <w:jc w:val="right"/>
            </w:pPr>
            <w:r>
              <w:t xml:space="preserve">227.0</w:t>
            </w:r>
          </w:p>
        </w:tc>
        <w:tc>
          <w:tcPr/>
          <w:p>
            <w:pPr>
              <w:pStyle w:val="Compact"/>
              <w:jc w:val="right"/>
            </w:pPr>
            <w:r>
              <w:t xml:space="preserve">1,196</w:t>
            </w:r>
          </w:p>
        </w:tc>
        <w:tc>
          <w:tcPr/>
          <w:p>
            <w:pPr>
              <w:pStyle w:val="Compact"/>
              <w:jc w:val="right"/>
            </w:pPr>
            <w:r>
              <w:t xml:space="preserve">2,084</w:t>
            </w:r>
          </w:p>
        </w:tc>
      </w:tr>
      <w:tr>
        <w:tc>
          <w:tcPr/>
          <w:p>
            <w:pPr>
              <w:pStyle w:val="Compact"/>
              <w:jc w:val="left"/>
            </w:pPr>
            <w:r>
              <w:t xml:space="preserve">1989</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498</w:t>
            </w:r>
          </w:p>
        </w:tc>
        <w:tc>
          <w:tcPr/>
          <w:p>
            <w:pPr>
              <w:pStyle w:val="Compact"/>
              <w:jc w:val="right"/>
            </w:pPr>
            <w:r>
              <w:t xml:space="preserve">59.0</w:t>
            </w:r>
          </w:p>
        </w:tc>
        <w:tc>
          <w:tcPr/>
          <w:p>
            <w:pPr>
              <w:pStyle w:val="Compact"/>
              <w:jc w:val="right"/>
            </w:pPr>
            <w:r>
              <w:t xml:space="preserve">396</w:t>
            </w:r>
          </w:p>
        </w:tc>
        <w:tc>
          <w:tcPr/>
          <w:p>
            <w:pPr>
              <w:pStyle w:val="Compact"/>
              <w:jc w:val="right"/>
            </w:pPr>
            <w:r>
              <w:t xml:space="preserve">627</w:t>
            </w:r>
          </w:p>
        </w:tc>
      </w:tr>
      <w:tr>
        <w:tc>
          <w:tcPr/>
          <w:p>
            <w:pPr>
              <w:pStyle w:val="Compact"/>
              <w:jc w:val="left"/>
            </w:pPr>
            <w:r>
              <w:t xml:space="preserve">1990</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1,534</w:t>
            </w:r>
          </w:p>
        </w:tc>
        <w:tc>
          <w:tcPr/>
          <w:p>
            <w:pPr>
              <w:pStyle w:val="Compact"/>
              <w:jc w:val="right"/>
            </w:pPr>
            <w:r>
              <w:t xml:space="preserve">224.5</w:t>
            </w:r>
          </w:p>
        </w:tc>
        <w:tc>
          <w:tcPr/>
          <w:p>
            <w:pPr>
              <w:pStyle w:val="Compact"/>
              <w:jc w:val="right"/>
            </w:pPr>
            <w:r>
              <w:t xml:space="preserve">1,156</w:t>
            </w:r>
          </w:p>
        </w:tc>
        <w:tc>
          <w:tcPr/>
          <w:p>
            <w:pPr>
              <w:pStyle w:val="Compact"/>
              <w:jc w:val="right"/>
            </w:pPr>
            <w:r>
              <w:t xml:space="preserve">2,035</w:t>
            </w:r>
          </w:p>
        </w:tc>
      </w:tr>
      <w:tr>
        <w:tc>
          <w:tcPr/>
          <w:p>
            <w:pPr>
              <w:pStyle w:val="Compact"/>
              <w:jc w:val="left"/>
            </w:pPr>
            <w:r>
              <w:t xml:space="preserve">1990</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417</w:t>
            </w:r>
          </w:p>
        </w:tc>
        <w:tc>
          <w:tcPr/>
          <w:p>
            <w:pPr>
              <w:pStyle w:val="Compact"/>
              <w:jc w:val="right"/>
            </w:pPr>
            <w:r>
              <w:t xml:space="preserve">49.6</w:t>
            </w:r>
          </w:p>
        </w:tc>
        <w:tc>
          <w:tcPr/>
          <w:p>
            <w:pPr>
              <w:pStyle w:val="Compact"/>
              <w:jc w:val="right"/>
            </w:pPr>
            <w:r>
              <w:t xml:space="preserve">331</w:t>
            </w:r>
          </w:p>
        </w:tc>
        <w:tc>
          <w:tcPr/>
          <w:p>
            <w:pPr>
              <w:pStyle w:val="Compact"/>
              <w:jc w:val="right"/>
            </w:pPr>
            <w:r>
              <w:t xml:space="preserve">526</w:t>
            </w:r>
          </w:p>
        </w:tc>
      </w:tr>
      <w:tr>
        <w:tc>
          <w:tcPr/>
          <w:p>
            <w:pPr>
              <w:pStyle w:val="Compact"/>
              <w:jc w:val="left"/>
            </w:pPr>
            <w:r>
              <w:t xml:space="preserve">1991</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764</w:t>
            </w:r>
          </w:p>
        </w:tc>
        <w:tc>
          <w:tcPr/>
          <w:p>
            <w:pPr>
              <w:pStyle w:val="Compact"/>
              <w:jc w:val="right"/>
            </w:pPr>
            <w:r>
              <w:t xml:space="preserve">112.6</w:t>
            </w:r>
          </w:p>
        </w:tc>
        <w:tc>
          <w:tcPr/>
          <w:p>
            <w:pPr>
              <w:pStyle w:val="Compact"/>
              <w:jc w:val="right"/>
            </w:pPr>
            <w:r>
              <w:t xml:space="preserve">575</w:t>
            </w:r>
          </w:p>
        </w:tc>
        <w:tc>
          <w:tcPr/>
          <w:p>
            <w:pPr>
              <w:pStyle w:val="Compact"/>
              <w:jc w:val="right"/>
            </w:pPr>
            <w:r>
              <w:t xml:space="preserve">1,015</w:t>
            </w:r>
          </w:p>
        </w:tc>
      </w:tr>
      <w:tr>
        <w:tc>
          <w:tcPr/>
          <w:p>
            <w:pPr>
              <w:pStyle w:val="Compact"/>
              <w:jc w:val="left"/>
            </w:pPr>
            <w:r>
              <w:t xml:space="preserve">1991</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336</w:t>
            </w:r>
          </w:p>
        </w:tc>
        <w:tc>
          <w:tcPr/>
          <w:p>
            <w:pPr>
              <w:pStyle w:val="Compact"/>
              <w:jc w:val="right"/>
            </w:pPr>
            <w:r>
              <w:t xml:space="preserve">40.1</w:t>
            </w:r>
          </w:p>
        </w:tc>
        <w:tc>
          <w:tcPr/>
          <w:p>
            <w:pPr>
              <w:pStyle w:val="Compact"/>
              <w:jc w:val="right"/>
            </w:pPr>
            <w:r>
              <w:t xml:space="preserve">267</w:t>
            </w:r>
          </w:p>
        </w:tc>
        <w:tc>
          <w:tcPr/>
          <w:p>
            <w:pPr>
              <w:pStyle w:val="Compact"/>
              <w:jc w:val="right"/>
            </w:pPr>
            <w:r>
              <w:t xml:space="preserve">424</w:t>
            </w:r>
          </w:p>
        </w:tc>
      </w:tr>
      <w:tr>
        <w:tc>
          <w:tcPr/>
          <w:p>
            <w:pPr>
              <w:pStyle w:val="Compact"/>
              <w:jc w:val="left"/>
            </w:pPr>
            <w:r>
              <w:t xml:space="preserve">1992</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1,424</w:t>
            </w:r>
          </w:p>
        </w:tc>
        <w:tc>
          <w:tcPr/>
          <w:p>
            <w:pPr>
              <w:pStyle w:val="Compact"/>
              <w:jc w:val="right"/>
            </w:pPr>
            <w:r>
              <w:t xml:space="preserve">210.7</w:t>
            </w:r>
          </w:p>
        </w:tc>
        <w:tc>
          <w:tcPr/>
          <w:p>
            <w:pPr>
              <w:pStyle w:val="Compact"/>
              <w:jc w:val="right"/>
            </w:pPr>
            <w:r>
              <w:t xml:space="preserve">1,070</w:t>
            </w:r>
          </w:p>
        </w:tc>
        <w:tc>
          <w:tcPr/>
          <w:p>
            <w:pPr>
              <w:pStyle w:val="Compact"/>
              <w:jc w:val="right"/>
            </w:pPr>
            <w:r>
              <w:t xml:space="preserve">1,894</w:t>
            </w:r>
          </w:p>
        </w:tc>
      </w:tr>
      <w:tr>
        <w:tc>
          <w:tcPr/>
          <w:p>
            <w:pPr>
              <w:pStyle w:val="Compact"/>
              <w:jc w:val="left"/>
            </w:pPr>
            <w:r>
              <w:t xml:space="preserve">1992</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661</w:t>
            </w:r>
          </w:p>
        </w:tc>
        <w:tc>
          <w:tcPr/>
          <w:p>
            <w:pPr>
              <w:pStyle w:val="Compact"/>
              <w:jc w:val="right"/>
            </w:pPr>
            <w:r>
              <w:t xml:space="preserve">78.9</w:t>
            </w:r>
          </w:p>
        </w:tc>
        <w:tc>
          <w:tcPr/>
          <w:p>
            <w:pPr>
              <w:pStyle w:val="Compact"/>
              <w:jc w:val="right"/>
            </w:pPr>
            <w:r>
              <w:t xml:space="preserve">525</w:t>
            </w:r>
          </w:p>
        </w:tc>
        <w:tc>
          <w:tcPr/>
          <w:p>
            <w:pPr>
              <w:pStyle w:val="Compact"/>
              <w:jc w:val="right"/>
            </w:pPr>
            <w:r>
              <w:t xml:space="preserve">834</w:t>
            </w:r>
          </w:p>
        </w:tc>
      </w:tr>
      <w:tr>
        <w:tc>
          <w:tcPr/>
          <w:p>
            <w:pPr>
              <w:pStyle w:val="Compact"/>
              <w:jc w:val="left"/>
            </w:pPr>
            <w:r>
              <w:t xml:space="preserve">1993</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1,432</w:t>
            </w:r>
          </w:p>
        </w:tc>
        <w:tc>
          <w:tcPr/>
          <w:p>
            <w:pPr>
              <w:pStyle w:val="Compact"/>
              <w:jc w:val="right"/>
            </w:pPr>
            <w:r>
              <w:t xml:space="preserve">212.3</w:t>
            </w:r>
          </w:p>
        </w:tc>
        <w:tc>
          <w:tcPr/>
          <w:p>
            <w:pPr>
              <w:pStyle w:val="Compact"/>
              <w:jc w:val="right"/>
            </w:pPr>
            <w:r>
              <w:t xml:space="preserve">1,076</w:t>
            </w:r>
          </w:p>
        </w:tc>
        <w:tc>
          <w:tcPr/>
          <w:p>
            <w:pPr>
              <w:pStyle w:val="Compact"/>
              <w:jc w:val="right"/>
            </w:pPr>
            <w:r>
              <w:t xml:space="preserve">1,906</w:t>
            </w:r>
          </w:p>
        </w:tc>
      </w:tr>
      <w:tr>
        <w:tc>
          <w:tcPr/>
          <w:p>
            <w:pPr>
              <w:pStyle w:val="Compact"/>
              <w:jc w:val="left"/>
            </w:pPr>
            <w:r>
              <w:t xml:space="preserve">1993</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472</w:t>
            </w:r>
          </w:p>
        </w:tc>
        <w:tc>
          <w:tcPr/>
          <w:p>
            <w:pPr>
              <w:pStyle w:val="Compact"/>
              <w:jc w:val="right"/>
            </w:pPr>
            <w:r>
              <w:t xml:space="preserve">56.4</w:t>
            </w:r>
          </w:p>
        </w:tc>
        <w:tc>
          <w:tcPr/>
          <w:p>
            <w:pPr>
              <w:pStyle w:val="Compact"/>
              <w:jc w:val="right"/>
            </w:pPr>
            <w:r>
              <w:t xml:space="preserve">375</w:t>
            </w:r>
          </w:p>
        </w:tc>
        <w:tc>
          <w:tcPr/>
          <w:p>
            <w:pPr>
              <w:pStyle w:val="Compact"/>
              <w:jc w:val="right"/>
            </w:pPr>
            <w:r>
              <w:t xml:space="preserve">595</w:t>
            </w:r>
          </w:p>
        </w:tc>
      </w:tr>
      <w:tr>
        <w:tc>
          <w:tcPr/>
          <w:p>
            <w:pPr>
              <w:pStyle w:val="Compact"/>
              <w:jc w:val="left"/>
            </w:pPr>
            <w:r>
              <w:t xml:space="preserve">1994</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515</w:t>
            </w:r>
          </w:p>
        </w:tc>
        <w:tc>
          <w:tcPr/>
          <w:p>
            <w:pPr>
              <w:pStyle w:val="Compact"/>
              <w:jc w:val="right"/>
            </w:pPr>
            <w:r>
              <w:t xml:space="preserve">76.5</w:t>
            </w:r>
          </w:p>
        </w:tc>
        <w:tc>
          <w:tcPr/>
          <w:p>
            <w:pPr>
              <w:pStyle w:val="Compact"/>
              <w:jc w:val="right"/>
            </w:pPr>
            <w:r>
              <w:t xml:space="preserve">387</w:t>
            </w:r>
          </w:p>
        </w:tc>
        <w:tc>
          <w:tcPr/>
          <w:p>
            <w:pPr>
              <w:pStyle w:val="Compact"/>
              <w:jc w:val="right"/>
            </w:pPr>
            <w:r>
              <w:t xml:space="preserve">686</w:t>
            </w:r>
          </w:p>
        </w:tc>
      </w:tr>
      <w:tr>
        <w:tc>
          <w:tcPr/>
          <w:p>
            <w:pPr>
              <w:pStyle w:val="Compact"/>
              <w:jc w:val="left"/>
            </w:pPr>
            <w:r>
              <w:t xml:space="preserve">1994</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194</w:t>
            </w:r>
          </w:p>
        </w:tc>
        <w:tc>
          <w:tcPr/>
          <w:p>
            <w:pPr>
              <w:pStyle w:val="Compact"/>
              <w:jc w:val="right"/>
            </w:pPr>
            <w:r>
              <w:t xml:space="preserve">23.2</w:t>
            </w:r>
          </w:p>
        </w:tc>
        <w:tc>
          <w:tcPr/>
          <w:p>
            <w:pPr>
              <w:pStyle w:val="Compact"/>
              <w:jc w:val="right"/>
            </w:pPr>
            <w:r>
              <w:t xml:space="preserve">154</w:t>
            </w:r>
          </w:p>
        </w:tc>
        <w:tc>
          <w:tcPr/>
          <w:p>
            <w:pPr>
              <w:pStyle w:val="Compact"/>
              <w:jc w:val="right"/>
            </w:pPr>
            <w:r>
              <w:t xml:space="preserve">245</w:t>
            </w:r>
          </w:p>
        </w:tc>
      </w:tr>
      <w:tr>
        <w:tc>
          <w:tcPr/>
          <w:p>
            <w:pPr>
              <w:pStyle w:val="Compact"/>
              <w:jc w:val="left"/>
            </w:pPr>
            <w:r>
              <w:t xml:space="preserve">1995</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497</w:t>
            </w:r>
          </w:p>
        </w:tc>
        <w:tc>
          <w:tcPr/>
          <w:p>
            <w:pPr>
              <w:pStyle w:val="Compact"/>
              <w:jc w:val="right"/>
            </w:pPr>
            <w:r>
              <w:t xml:space="preserve">74.0</w:t>
            </w:r>
          </w:p>
        </w:tc>
        <w:tc>
          <w:tcPr/>
          <w:p>
            <w:pPr>
              <w:pStyle w:val="Compact"/>
              <w:jc w:val="right"/>
            </w:pPr>
            <w:r>
              <w:t xml:space="preserve">373</w:t>
            </w:r>
          </w:p>
        </w:tc>
        <w:tc>
          <w:tcPr/>
          <w:p>
            <w:pPr>
              <w:pStyle w:val="Compact"/>
              <w:jc w:val="right"/>
            </w:pPr>
            <w:r>
              <w:t xml:space="preserve">663</w:t>
            </w:r>
          </w:p>
        </w:tc>
      </w:tr>
      <w:tr>
        <w:tc>
          <w:tcPr/>
          <w:p>
            <w:pPr>
              <w:pStyle w:val="Compact"/>
              <w:jc w:val="left"/>
            </w:pPr>
            <w:r>
              <w:t xml:space="preserve">1995</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251</w:t>
            </w:r>
          </w:p>
        </w:tc>
        <w:tc>
          <w:tcPr/>
          <w:p>
            <w:pPr>
              <w:pStyle w:val="Compact"/>
              <w:jc w:val="right"/>
            </w:pPr>
            <w:r>
              <w:t xml:space="preserve">30.0</w:t>
            </w:r>
          </w:p>
        </w:tc>
        <w:tc>
          <w:tcPr/>
          <w:p>
            <w:pPr>
              <w:pStyle w:val="Compact"/>
              <w:jc w:val="right"/>
            </w:pPr>
            <w:r>
              <w:t xml:space="preserve">199</w:t>
            </w:r>
          </w:p>
        </w:tc>
        <w:tc>
          <w:tcPr/>
          <w:p>
            <w:pPr>
              <w:pStyle w:val="Compact"/>
              <w:jc w:val="right"/>
            </w:pPr>
            <w:r>
              <w:t xml:space="preserve">317</w:t>
            </w:r>
          </w:p>
        </w:tc>
      </w:tr>
      <w:tr>
        <w:tc>
          <w:tcPr/>
          <w:p>
            <w:pPr>
              <w:pStyle w:val="Compact"/>
              <w:jc w:val="left"/>
            </w:pPr>
            <w:r>
              <w:t xml:space="preserve">1996</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494</w:t>
            </w:r>
          </w:p>
        </w:tc>
        <w:tc>
          <w:tcPr/>
          <w:p>
            <w:pPr>
              <w:pStyle w:val="Compact"/>
              <w:jc w:val="right"/>
            </w:pPr>
            <w:r>
              <w:t xml:space="preserve">73.5</w:t>
            </w:r>
          </w:p>
        </w:tc>
        <w:tc>
          <w:tcPr/>
          <w:p>
            <w:pPr>
              <w:pStyle w:val="Compact"/>
              <w:jc w:val="right"/>
            </w:pPr>
            <w:r>
              <w:t xml:space="preserve">371</w:t>
            </w:r>
          </w:p>
        </w:tc>
        <w:tc>
          <w:tcPr/>
          <w:p>
            <w:pPr>
              <w:pStyle w:val="Compact"/>
              <w:jc w:val="right"/>
            </w:pPr>
            <w:r>
              <w:t xml:space="preserve">658</w:t>
            </w:r>
          </w:p>
        </w:tc>
      </w:tr>
      <w:tr>
        <w:tc>
          <w:tcPr/>
          <w:p>
            <w:pPr>
              <w:pStyle w:val="Compact"/>
              <w:jc w:val="left"/>
            </w:pPr>
            <w:r>
              <w:t xml:space="preserve">1996</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169</w:t>
            </w:r>
          </w:p>
        </w:tc>
        <w:tc>
          <w:tcPr/>
          <w:p>
            <w:pPr>
              <w:pStyle w:val="Compact"/>
              <w:jc w:val="right"/>
            </w:pPr>
            <w:r>
              <w:t xml:space="preserve">20.2</w:t>
            </w:r>
          </w:p>
        </w:tc>
        <w:tc>
          <w:tcPr/>
          <w:p>
            <w:pPr>
              <w:pStyle w:val="Compact"/>
              <w:jc w:val="right"/>
            </w:pPr>
            <w:r>
              <w:t xml:space="preserve">134</w:t>
            </w:r>
          </w:p>
        </w:tc>
        <w:tc>
          <w:tcPr/>
          <w:p>
            <w:pPr>
              <w:pStyle w:val="Compact"/>
              <w:jc w:val="right"/>
            </w:pPr>
            <w:r>
              <w:t xml:space="preserve">214</w:t>
            </w:r>
          </w:p>
        </w:tc>
      </w:tr>
      <w:tr>
        <w:tc>
          <w:tcPr/>
          <w:p>
            <w:pPr>
              <w:pStyle w:val="Compact"/>
              <w:jc w:val="left"/>
            </w:pPr>
            <w:r>
              <w:t xml:space="preserve">1997</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561</w:t>
            </w:r>
          </w:p>
        </w:tc>
        <w:tc>
          <w:tcPr/>
          <w:p>
            <w:pPr>
              <w:pStyle w:val="Compact"/>
              <w:jc w:val="right"/>
            </w:pPr>
            <w:r>
              <w:t xml:space="preserve">83.6</w:t>
            </w:r>
          </w:p>
        </w:tc>
        <w:tc>
          <w:tcPr/>
          <w:p>
            <w:pPr>
              <w:pStyle w:val="Compact"/>
              <w:jc w:val="right"/>
            </w:pPr>
            <w:r>
              <w:t xml:space="preserve">421</w:t>
            </w:r>
          </w:p>
        </w:tc>
        <w:tc>
          <w:tcPr/>
          <w:p>
            <w:pPr>
              <w:pStyle w:val="Compact"/>
              <w:jc w:val="right"/>
            </w:pPr>
            <w:r>
              <w:t xml:space="preserve">748</w:t>
            </w:r>
          </w:p>
        </w:tc>
      </w:tr>
      <w:tr>
        <w:tc>
          <w:tcPr/>
          <w:p>
            <w:pPr>
              <w:pStyle w:val="Compact"/>
              <w:jc w:val="left"/>
            </w:pPr>
            <w:r>
              <w:t xml:space="preserve">1997</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262</w:t>
            </w:r>
          </w:p>
        </w:tc>
        <w:tc>
          <w:tcPr/>
          <w:p>
            <w:pPr>
              <w:pStyle w:val="Compact"/>
              <w:jc w:val="right"/>
            </w:pPr>
            <w:r>
              <w:t xml:space="preserve">31.4</w:t>
            </w:r>
          </w:p>
        </w:tc>
        <w:tc>
          <w:tcPr/>
          <w:p>
            <w:pPr>
              <w:pStyle w:val="Compact"/>
              <w:jc w:val="right"/>
            </w:pPr>
            <w:r>
              <w:t xml:space="preserve">208</w:t>
            </w:r>
          </w:p>
        </w:tc>
        <w:tc>
          <w:tcPr/>
          <w:p>
            <w:pPr>
              <w:pStyle w:val="Compact"/>
              <w:jc w:val="right"/>
            </w:pPr>
            <w:r>
              <w:t xml:space="preserve">331</w:t>
            </w:r>
          </w:p>
        </w:tc>
      </w:tr>
      <w:tr>
        <w:tc>
          <w:tcPr/>
          <w:p>
            <w:pPr>
              <w:pStyle w:val="Compact"/>
              <w:jc w:val="left"/>
            </w:pPr>
            <w:r>
              <w:t xml:space="preserve">1998</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593</w:t>
            </w:r>
          </w:p>
        </w:tc>
        <w:tc>
          <w:tcPr/>
          <w:p>
            <w:pPr>
              <w:pStyle w:val="Compact"/>
              <w:jc w:val="right"/>
            </w:pPr>
            <w:r>
              <w:t xml:space="preserve">88.5</w:t>
            </w:r>
          </w:p>
        </w:tc>
        <w:tc>
          <w:tcPr/>
          <w:p>
            <w:pPr>
              <w:pStyle w:val="Compact"/>
              <w:jc w:val="right"/>
            </w:pPr>
            <w:r>
              <w:t xml:space="preserve">445</w:t>
            </w:r>
          </w:p>
        </w:tc>
        <w:tc>
          <w:tcPr/>
          <w:p>
            <w:pPr>
              <w:pStyle w:val="Compact"/>
              <w:jc w:val="right"/>
            </w:pPr>
            <w:r>
              <w:t xml:space="preserve">791</w:t>
            </w:r>
          </w:p>
        </w:tc>
      </w:tr>
      <w:tr>
        <w:tc>
          <w:tcPr/>
          <w:p>
            <w:pPr>
              <w:pStyle w:val="Compact"/>
              <w:jc w:val="left"/>
            </w:pPr>
            <w:r>
              <w:t xml:space="preserve">1998</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252</w:t>
            </w:r>
          </w:p>
        </w:tc>
        <w:tc>
          <w:tcPr/>
          <w:p>
            <w:pPr>
              <w:pStyle w:val="Compact"/>
              <w:jc w:val="right"/>
            </w:pPr>
            <w:r>
              <w:t xml:space="preserve">30.2</w:t>
            </w:r>
          </w:p>
        </w:tc>
        <w:tc>
          <w:tcPr/>
          <w:p>
            <w:pPr>
              <w:pStyle w:val="Compact"/>
              <w:jc w:val="right"/>
            </w:pPr>
            <w:r>
              <w:t xml:space="preserve">200</w:t>
            </w:r>
          </w:p>
        </w:tc>
        <w:tc>
          <w:tcPr/>
          <w:p>
            <w:pPr>
              <w:pStyle w:val="Compact"/>
              <w:jc w:val="right"/>
            </w:pPr>
            <w:r>
              <w:t xml:space="preserve">318</w:t>
            </w:r>
          </w:p>
        </w:tc>
      </w:tr>
      <w:tr>
        <w:tc>
          <w:tcPr/>
          <w:p>
            <w:pPr>
              <w:pStyle w:val="Compact"/>
              <w:jc w:val="left"/>
            </w:pPr>
            <w:r>
              <w:t xml:space="preserve">1999</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402</w:t>
            </w:r>
          </w:p>
        </w:tc>
        <w:tc>
          <w:tcPr/>
          <w:p>
            <w:pPr>
              <w:pStyle w:val="Compact"/>
              <w:jc w:val="right"/>
            </w:pPr>
            <w:r>
              <w:t xml:space="preserve">60.0</w:t>
            </w:r>
          </w:p>
        </w:tc>
        <w:tc>
          <w:tcPr/>
          <w:p>
            <w:pPr>
              <w:pStyle w:val="Compact"/>
              <w:jc w:val="right"/>
            </w:pPr>
            <w:r>
              <w:t xml:space="preserve">302</w:t>
            </w:r>
          </w:p>
        </w:tc>
        <w:tc>
          <w:tcPr/>
          <w:p>
            <w:pPr>
              <w:pStyle w:val="Compact"/>
              <w:jc w:val="right"/>
            </w:pPr>
            <w:r>
              <w:t xml:space="preserve">537</w:t>
            </w:r>
          </w:p>
        </w:tc>
      </w:tr>
      <w:tr>
        <w:tc>
          <w:tcPr/>
          <w:p>
            <w:pPr>
              <w:pStyle w:val="Compact"/>
              <w:jc w:val="left"/>
            </w:pPr>
            <w:r>
              <w:t xml:space="preserve">1999</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199</w:t>
            </w:r>
          </w:p>
        </w:tc>
        <w:tc>
          <w:tcPr/>
          <w:p>
            <w:pPr>
              <w:pStyle w:val="Compact"/>
              <w:jc w:val="right"/>
            </w:pPr>
            <w:r>
              <w:t xml:space="preserve">23.8</w:t>
            </w:r>
          </w:p>
        </w:tc>
        <w:tc>
          <w:tcPr/>
          <w:p>
            <w:pPr>
              <w:pStyle w:val="Compact"/>
              <w:jc w:val="right"/>
            </w:pPr>
            <w:r>
              <w:t xml:space="preserve">158</w:t>
            </w:r>
          </w:p>
        </w:tc>
        <w:tc>
          <w:tcPr/>
          <w:p>
            <w:pPr>
              <w:pStyle w:val="Compact"/>
              <w:jc w:val="right"/>
            </w:pPr>
            <w:r>
              <w:t xml:space="preserve">251</w:t>
            </w:r>
          </w:p>
        </w:tc>
      </w:tr>
      <w:tr>
        <w:tc>
          <w:tcPr/>
          <w:p>
            <w:pPr>
              <w:pStyle w:val="Compact"/>
              <w:jc w:val="left"/>
            </w:pPr>
            <w:r>
              <w:t xml:space="preserve">2000</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448</w:t>
            </w:r>
          </w:p>
        </w:tc>
        <w:tc>
          <w:tcPr/>
          <w:p>
            <w:pPr>
              <w:pStyle w:val="Compact"/>
              <w:jc w:val="right"/>
            </w:pPr>
            <w:r>
              <w:t xml:space="preserve">66.7</w:t>
            </w:r>
          </w:p>
        </w:tc>
        <w:tc>
          <w:tcPr/>
          <w:p>
            <w:pPr>
              <w:pStyle w:val="Compact"/>
              <w:jc w:val="right"/>
            </w:pPr>
            <w:r>
              <w:t xml:space="preserve">336</w:t>
            </w:r>
          </w:p>
        </w:tc>
        <w:tc>
          <w:tcPr/>
          <w:p>
            <w:pPr>
              <w:pStyle w:val="Compact"/>
              <w:jc w:val="right"/>
            </w:pPr>
            <w:r>
              <w:t xml:space="preserve">597</w:t>
            </w:r>
          </w:p>
        </w:tc>
      </w:tr>
      <w:tr>
        <w:tc>
          <w:tcPr/>
          <w:p>
            <w:pPr>
              <w:pStyle w:val="Compact"/>
              <w:jc w:val="left"/>
            </w:pPr>
            <w:r>
              <w:t xml:space="preserve">2000</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253</w:t>
            </w:r>
          </w:p>
        </w:tc>
        <w:tc>
          <w:tcPr/>
          <w:p>
            <w:pPr>
              <w:pStyle w:val="Compact"/>
              <w:jc w:val="right"/>
            </w:pPr>
            <w:r>
              <w:t xml:space="preserve">30.3</w:t>
            </w:r>
          </w:p>
        </w:tc>
        <w:tc>
          <w:tcPr/>
          <w:p>
            <w:pPr>
              <w:pStyle w:val="Compact"/>
              <w:jc w:val="right"/>
            </w:pPr>
            <w:r>
              <w:t xml:space="preserve">201</w:t>
            </w:r>
          </w:p>
        </w:tc>
        <w:tc>
          <w:tcPr/>
          <w:p>
            <w:pPr>
              <w:pStyle w:val="Compact"/>
              <w:jc w:val="right"/>
            </w:pPr>
            <w:r>
              <w:t xml:space="preserve">319</w:t>
            </w:r>
          </w:p>
        </w:tc>
      </w:tr>
      <w:tr>
        <w:tc>
          <w:tcPr/>
          <w:p>
            <w:pPr>
              <w:pStyle w:val="Compact"/>
              <w:jc w:val="left"/>
            </w:pPr>
            <w:r>
              <w:t xml:space="preserve">2001</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840</w:t>
            </w:r>
          </w:p>
        </w:tc>
        <w:tc>
          <w:tcPr/>
          <w:p>
            <w:pPr>
              <w:pStyle w:val="Compact"/>
              <w:jc w:val="right"/>
            </w:pPr>
            <w:r>
              <w:t xml:space="preserve">125.0</w:t>
            </w:r>
          </w:p>
        </w:tc>
        <w:tc>
          <w:tcPr/>
          <w:p>
            <w:pPr>
              <w:pStyle w:val="Compact"/>
              <w:jc w:val="right"/>
            </w:pPr>
            <w:r>
              <w:t xml:space="preserve">630</w:t>
            </w:r>
          </w:p>
        </w:tc>
        <w:tc>
          <w:tcPr/>
          <w:p>
            <w:pPr>
              <w:pStyle w:val="Compact"/>
              <w:jc w:val="right"/>
            </w:pPr>
            <w:r>
              <w:t xml:space="preserve">1,119</w:t>
            </w:r>
          </w:p>
        </w:tc>
      </w:tr>
      <w:tr>
        <w:tc>
          <w:tcPr/>
          <w:p>
            <w:pPr>
              <w:pStyle w:val="Compact"/>
              <w:jc w:val="left"/>
            </w:pPr>
            <w:r>
              <w:t xml:space="preserve">2001</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508</w:t>
            </w:r>
          </w:p>
        </w:tc>
        <w:tc>
          <w:tcPr/>
          <w:p>
            <w:pPr>
              <w:pStyle w:val="Compact"/>
              <w:jc w:val="right"/>
            </w:pPr>
            <w:r>
              <w:t xml:space="preserve">60.8</w:t>
            </w:r>
          </w:p>
        </w:tc>
        <w:tc>
          <w:tcPr/>
          <w:p>
            <w:pPr>
              <w:pStyle w:val="Compact"/>
              <w:jc w:val="right"/>
            </w:pPr>
            <w:r>
              <w:t xml:space="preserve">403</w:t>
            </w:r>
          </w:p>
        </w:tc>
        <w:tc>
          <w:tcPr/>
          <w:p>
            <w:pPr>
              <w:pStyle w:val="Compact"/>
              <w:jc w:val="right"/>
            </w:pPr>
            <w:r>
              <w:t xml:space="preserve">641</w:t>
            </w:r>
          </w:p>
        </w:tc>
      </w:tr>
      <w:tr>
        <w:tc>
          <w:tcPr/>
          <w:p>
            <w:pPr>
              <w:pStyle w:val="Compact"/>
              <w:jc w:val="left"/>
            </w:pPr>
            <w:r>
              <w:t xml:space="preserve">2002</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2,982</w:t>
            </w:r>
          </w:p>
        </w:tc>
        <w:tc>
          <w:tcPr/>
          <w:p>
            <w:pPr>
              <w:pStyle w:val="Compact"/>
              <w:jc w:val="right"/>
            </w:pPr>
            <w:r>
              <w:t xml:space="preserve">440.8</w:t>
            </w:r>
          </w:p>
        </w:tc>
        <w:tc>
          <w:tcPr/>
          <w:p>
            <w:pPr>
              <w:pStyle w:val="Compact"/>
              <w:jc w:val="right"/>
            </w:pPr>
            <w:r>
              <w:t xml:space="preserve">2,242</w:t>
            </w:r>
          </w:p>
        </w:tc>
        <w:tc>
          <w:tcPr/>
          <w:p>
            <w:pPr>
              <w:pStyle w:val="Compact"/>
              <w:jc w:val="right"/>
            </w:pPr>
            <w:r>
              <w:t xml:space="preserve">3,966</w:t>
            </w:r>
          </w:p>
        </w:tc>
      </w:tr>
      <w:tr>
        <w:tc>
          <w:tcPr/>
          <w:p>
            <w:pPr>
              <w:pStyle w:val="Compact"/>
              <w:jc w:val="left"/>
            </w:pPr>
            <w:r>
              <w:t xml:space="preserve">2002</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1,160</w:t>
            </w:r>
          </w:p>
        </w:tc>
        <w:tc>
          <w:tcPr/>
          <w:p>
            <w:pPr>
              <w:pStyle w:val="Compact"/>
              <w:jc w:val="right"/>
            </w:pPr>
            <w:r>
              <w:t xml:space="preserve">138.5</w:t>
            </w:r>
          </w:p>
        </w:tc>
        <w:tc>
          <w:tcPr/>
          <w:p>
            <w:pPr>
              <w:pStyle w:val="Compact"/>
              <w:jc w:val="right"/>
            </w:pPr>
            <w:r>
              <w:t xml:space="preserve">920</w:t>
            </w:r>
          </w:p>
        </w:tc>
        <w:tc>
          <w:tcPr/>
          <w:p>
            <w:pPr>
              <w:pStyle w:val="Compact"/>
              <w:jc w:val="right"/>
            </w:pPr>
            <w:r>
              <w:t xml:space="preserve">1,462</w:t>
            </w:r>
          </w:p>
        </w:tc>
      </w:tr>
      <w:tr>
        <w:tc>
          <w:tcPr/>
          <w:p>
            <w:pPr>
              <w:pStyle w:val="Compact"/>
              <w:jc w:val="left"/>
            </w:pPr>
            <w:r>
              <w:t xml:space="preserve">2003</w:t>
            </w:r>
          </w:p>
        </w:tc>
        <w:tc>
          <w:tcPr/>
          <w:p>
            <w:pPr>
              <w:pStyle w:val="Compact"/>
              <w:jc w:val="left"/>
            </w:pPr>
            <w:r>
              <w:t xml:space="preserve">Hatchery</w:t>
            </w:r>
          </w:p>
        </w:tc>
        <w:tc>
          <w:tcPr/>
          <w:p>
            <w:pPr>
              <w:pStyle w:val="Compact"/>
              <w:jc w:val="left"/>
            </w:pPr>
            <w:r>
              <w:t xml:space="preserve">MARSS</w:t>
            </w:r>
          </w:p>
        </w:tc>
        <w:tc>
          <w:tcPr/>
          <w:p>
            <w:pPr>
              <w:pStyle w:val="Compact"/>
              <w:jc w:val="right"/>
            </w:pPr>
            <w:r>
              <w:t xml:space="preserve">1,705</w:t>
            </w:r>
          </w:p>
        </w:tc>
        <w:tc>
          <w:tcPr/>
          <w:p>
            <w:pPr>
              <w:pStyle w:val="Compact"/>
              <w:jc w:val="right"/>
            </w:pPr>
            <w:r>
              <w:t xml:space="preserve">247.1</w:t>
            </w:r>
          </w:p>
        </w:tc>
        <w:tc>
          <w:tcPr/>
          <w:p>
            <w:pPr>
              <w:pStyle w:val="Compact"/>
              <w:jc w:val="right"/>
            </w:pPr>
            <w:r>
              <w:t xml:space="preserve">1,289</w:t>
            </w:r>
          </w:p>
        </w:tc>
        <w:tc>
          <w:tcPr/>
          <w:p>
            <w:pPr>
              <w:pStyle w:val="Compact"/>
              <w:jc w:val="right"/>
            </w:pPr>
            <w:r>
              <w:t xml:space="preserve">2,255</w:t>
            </w:r>
          </w:p>
        </w:tc>
      </w:tr>
      <w:tr>
        <w:tc>
          <w:tcPr/>
          <w:p>
            <w:pPr>
              <w:pStyle w:val="Compact"/>
              <w:jc w:val="left"/>
            </w:pPr>
            <w:r>
              <w:t xml:space="preserve">2003</w:t>
            </w:r>
          </w:p>
        </w:tc>
        <w:tc>
          <w:tcPr/>
          <w:p>
            <w:pPr>
              <w:pStyle w:val="Compact"/>
              <w:jc w:val="left"/>
            </w:pPr>
            <w:r>
              <w:t xml:space="preserve">Natural</w:t>
            </w:r>
          </w:p>
        </w:tc>
        <w:tc>
          <w:tcPr/>
          <w:p>
            <w:pPr>
              <w:pStyle w:val="Compact"/>
              <w:jc w:val="left"/>
            </w:pPr>
            <w:r>
              <w:t xml:space="preserve">MARSS</w:t>
            </w:r>
          </w:p>
        </w:tc>
        <w:tc>
          <w:tcPr/>
          <w:p>
            <w:pPr>
              <w:pStyle w:val="Compact"/>
              <w:jc w:val="right"/>
            </w:pPr>
            <w:r>
              <w:t xml:space="preserve">630</w:t>
            </w:r>
          </w:p>
        </w:tc>
        <w:tc>
          <w:tcPr/>
          <w:p>
            <w:pPr>
              <w:pStyle w:val="Compact"/>
              <w:jc w:val="right"/>
            </w:pPr>
            <w:r>
              <w:t xml:space="preserve">74.6</w:t>
            </w:r>
          </w:p>
        </w:tc>
        <w:tc>
          <w:tcPr/>
          <w:p>
            <w:pPr>
              <w:pStyle w:val="Compact"/>
              <w:jc w:val="right"/>
            </w:pPr>
            <w:r>
              <w:t xml:space="preserve">500</w:t>
            </w:r>
          </w:p>
        </w:tc>
        <w:tc>
          <w:tcPr/>
          <w:p>
            <w:pPr>
              <w:pStyle w:val="Compact"/>
              <w:jc w:val="right"/>
            </w:pPr>
            <w:r>
              <w:t xml:space="preserve">792</w:t>
            </w:r>
          </w:p>
        </w:tc>
      </w:tr>
      <w:tr>
        <w:tc>
          <w:tcPr/>
          <w:p>
            <w:pPr>
              <w:pStyle w:val="Compact"/>
              <w:jc w:val="left"/>
            </w:pPr>
            <w:r>
              <w:t xml:space="preserve">2004</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1,921</w:t>
            </w:r>
          </w:p>
        </w:tc>
        <w:tc>
          <w:tcPr/>
          <w:p>
            <w:pPr>
              <w:pStyle w:val="Compact"/>
              <w:jc w:val="right"/>
            </w:pPr>
            <w:r>
              <w:t xml:space="preserve">443.5</w:t>
            </w:r>
          </w:p>
        </w:tc>
        <w:tc>
          <w:tcPr/>
          <w:p>
            <w:pPr>
              <w:pStyle w:val="Compact"/>
              <w:jc w:val="right"/>
            </w:pPr>
            <w:r>
              <w:t xml:space="preserve">1,052</w:t>
            </w:r>
          </w:p>
        </w:tc>
        <w:tc>
          <w:tcPr/>
          <w:p>
            <w:pPr>
              <w:pStyle w:val="Compact"/>
              <w:jc w:val="right"/>
            </w:pPr>
            <w:r>
              <w:t xml:space="preserve">2,790</w:t>
            </w:r>
          </w:p>
        </w:tc>
      </w:tr>
      <w:tr>
        <w:tc>
          <w:tcPr/>
          <w:p>
            <w:pPr>
              <w:pStyle w:val="Compact"/>
              <w:jc w:val="left"/>
            </w:pPr>
            <w:r>
              <w:t xml:space="preserve">2004</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1,268</w:t>
            </w:r>
          </w:p>
        </w:tc>
        <w:tc>
          <w:tcPr/>
          <w:p>
            <w:pPr>
              <w:pStyle w:val="Compact"/>
              <w:jc w:val="right"/>
            </w:pPr>
            <w:r>
              <w:t xml:space="preserve">282.3</w:t>
            </w:r>
          </w:p>
        </w:tc>
        <w:tc>
          <w:tcPr/>
          <w:p>
            <w:pPr>
              <w:pStyle w:val="Compact"/>
              <w:jc w:val="right"/>
            </w:pPr>
            <w:r>
              <w:t xml:space="preserve">715</w:t>
            </w:r>
          </w:p>
        </w:tc>
        <w:tc>
          <w:tcPr/>
          <w:p>
            <w:pPr>
              <w:pStyle w:val="Compact"/>
              <w:jc w:val="right"/>
            </w:pPr>
            <w:r>
              <w:t xml:space="preserve">1,821</w:t>
            </w:r>
          </w:p>
        </w:tc>
      </w:tr>
      <w:tr>
        <w:tc>
          <w:tcPr/>
          <w:p>
            <w:pPr>
              <w:pStyle w:val="Compact"/>
              <w:jc w:val="left"/>
            </w:pPr>
            <w:r>
              <w:t xml:space="preserve">2005</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1,535</w:t>
            </w:r>
          </w:p>
        </w:tc>
        <w:tc>
          <w:tcPr/>
          <w:p>
            <w:pPr>
              <w:pStyle w:val="Compact"/>
              <w:jc w:val="right"/>
            </w:pPr>
            <w:r>
              <w:t xml:space="preserve">236.1</w:t>
            </w:r>
          </w:p>
        </w:tc>
        <w:tc>
          <w:tcPr/>
          <w:p>
            <w:pPr>
              <w:pStyle w:val="Compact"/>
              <w:jc w:val="right"/>
            </w:pPr>
            <w:r>
              <w:t xml:space="preserve">1,072</w:t>
            </w:r>
          </w:p>
        </w:tc>
        <w:tc>
          <w:tcPr/>
          <w:p>
            <w:pPr>
              <w:pStyle w:val="Compact"/>
              <w:jc w:val="right"/>
            </w:pPr>
            <w:r>
              <w:t xml:space="preserve">1,998</w:t>
            </w:r>
          </w:p>
        </w:tc>
      </w:tr>
      <w:tr>
        <w:tc>
          <w:tcPr/>
          <w:p>
            <w:pPr>
              <w:pStyle w:val="Compact"/>
              <w:jc w:val="left"/>
            </w:pPr>
            <w:r>
              <w:t xml:space="preserve">2005</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1,311</w:t>
            </w:r>
          </w:p>
        </w:tc>
        <w:tc>
          <w:tcPr/>
          <w:p>
            <w:pPr>
              <w:pStyle w:val="Compact"/>
              <w:jc w:val="right"/>
            </w:pPr>
            <w:r>
              <w:t xml:space="preserve">179.4</w:t>
            </w:r>
          </w:p>
        </w:tc>
        <w:tc>
          <w:tcPr/>
          <w:p>
            <w:pPr>
              <w:pStyle w:val="Compact"/>
              <w:jc w:val="right"/>
            </w:pPr>
            <w:r>
              <w:t xml:space="preserve">959</w:t>
            </w:r>
          </w:p>
        </w:tc>
        <w:tc>
          <w:tcPr/>
          <w:p>
            <w:pPr>
              <w:pStyle w:val="Compact"/>
              <w:jc w:val="right"/>
            </w:pPr>
            <w:r>
              <w:t xml:space="preserve">1,663</w:t>
            </w:r>
          </w:p>
        </w:tc>
      </w:tr>
      <w:tr>
        <w:tc>
          <w:tcPr/>
          <w:p>
            <w:pPr>
              <w:pStyle w:val="Compact"/>
              <w:jc w:val="left"/>
            </w:pPr>
            <w:r>
              <w:t xml:space="preserve">2006</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678</w:t>
            </w:r>
          </w:p>
        </w:tc>
        <w:tc>
          <w:tcPr/>
          <w:p>
            <w:pPr>
              <w:pStyle w:val="Compact"/>
              <w:jc w:val="right"/>
            </w:pPr>
            <w:r>
              <w:t xml:space="preserve">131.6</w:t>
            </w:r>
          </w:p>
        </w:tc>
        <w:tc>
          <w:tcPr/>
          <w:p>
            <w:pPr>
              <w:pStyle w:val="Compact"/>
              <w:jc w:val="right"/>
            </w:pPr>
            <w:r>
              <w:t xml:space="preserve">420</w:t>
            </w:r>
          </w:p>
        </w:tc>
        <w:tc>
          <w:tcPr/>
          <w:p>
            <w:pPr>
              <w:pStyle w:val="Compact"/>
              <w:jc w:val="right"/>
            </w:pPr>
            <w:r>
              <w:t xml:space="preserve">936</w:t>
            </w:r>
          </w:p>
        </w:tc>
      </w:tr>
      <w:tr>
        <w:tc>
          <w:tcPr/>
          <w:p>
            <w:pPr>
              <w:pStyle w:val="Compact"/>
              <w:jc w:val="left"/>
            </w:pPr>
            <w:r>
              <w:t xml:space="preserve">2006</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716</w:t>
            </w:r>
          </w:p>
        </w:tc>
        <w:tc>
          <w:tcPr/>
          <w:p>
            <w:pPr>
              <w:pStyle w:val="Compact"/>
              <w:jc w:val="right"/>
            </w:pPr>
            <w:r>
              <w:t xml:space="preserve">128.5</w:t>
            </w:r>
          </w:p>
        </w:tc>
        <w:tc>
          <w:tcPr/>
          <w:p>
            <w:pPr>
              <w:pStyle w:val="Compact"/>
              <w:jc w:val="right"/>
            </w:pPr>
            <w:r>
              <w:t xml:space="preserve">464</w:t>
            </w:r>
          </w:p>
        </w:tc>
        <w:tc>
          <w:tcPr/>
          <w:p>
            <w:pPr>
              <w:pStyle w:val="Compact"/>
              <w:jc w:val="right"/>
            </w:pPr>
            <w:r>
              <w:t xml:space="preserve">968</w:t>
            </w:r>
          </w:p>
        </w:tc>
      </w:tr>
      <w:tr>
        <w:tc>
          <w:tcPr/>
          <w:p>
            <w:pPr>
              <w:pStyle w:val="Compact"/>
              <w:jc w:val="left"/>
            </w:pPr>
            <w:r>
              <w:t xml:space="preserve">2007</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809</w:t>
            </w:r>
          </w:p>
        </w:tc>
        <w:tc>
          <w:tcPr/>
          <w:p>
            <w:pPr>
              <w:pStyle w:val="Compact"/>
              <w:jc w:val="right"/>
            </w:pPr>
            <w:r>
              <w:t xml:space="preserve">191.0</w:t>
            </w:r>
          </w:p>
        </w:tc>
        <w:tc>
          <w:tcPr/>
          <w:p>
            <w:pPr>
              <w:pStyle w:val="Compact"/>
              <w:jc w:val="right"/>
            </w:pPr>
            <w:r>
              <w:t xml:space="preserve">435</w:t>
            </w:r>
          </w:p>
        </w:tc>
        <w:tc>
          <w:tcPr/>
          <w:p>
            <w:pPr>
              <w:pStyle w:val="Compact"/>
              <w:jc w:val="right"/>
            </w:pPr>
            <w:r>
              <w:t xml:space="preserve">1,183</w:t>
            </w:r>
          </w:p>
        </w:tc>
      </w:tr>
      <w:tr>
        <w:tc>
          <w:tcPr/>
          <w:p>
            <w:pPr>
              <w:pStyle w:val="Compact"/>
              <w:jc w:val="left"/>
            </w:pPr>
            <w:r>
              <w:t xml:space="preserve">2007</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181</w:t>
            </w:r>
          </w:p>
        </w:tc>
        <w:tc>
          <w:tcPr/>
          <w:p>
            <w:pPr>
              <w:pStyle w:val="Compact"/>
              <w:jc w:val="right"/>
            </w:pPr>
            <w:r>
              <w:t xml:space="preserve">47.4</w:t>
            </w:r>
          </w:p>
        </w:tc>
        <w:tc>
          <w:tcPr/>
          <w:p>
            <w:pPr>
              <w:pStyle w:val="Compact"/>
              <w:jc w:val="right"/>
            </w:pPr>
            <w:r>
              <w:t xml:space="preserve">88</w:t>
            </w:r>
          </w:p>
        </w:tc>
        <w:tc>
          <w:tcPr/>
          <w:p>
            <w:pPr>
              <w:pStyle w:val="Compact"/>
              <w:jc w:val="right"/>
            </w:pPr>
            <w:r>
              <w:t xml:space="preserve">274</w:t>
            </w:r>
          </w:p>
        </w:tc>
      </w:tr>
      <w:tr>
        <w:tc>
          <w:tcPr/>
          <w:p>
            <w:pPr>
              <w:pStyle w:val="Compact"/>
              <w:jc w:val="left"/>
            </w:pPr>
            <w:r>
              <w:t xml:space="preserve">2008</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824</w:t>
            </w:r>
          </w:p>
        </w:tc>
        <w:tc>
          <w:tcPr/>
          <w:p>
            <w:pPr>
              <w:pStyle w:val="Compact"/>
              <w:jc w:val="right"/>
            </w:pPr>
            <w:r>
              <w:t xml:space="preserve">126.5</w:t>
            </w:r>
          </w:p>
        </w:tc>
        <w:tc>
          <w:tcPr/>
          <w:p>
            <w:pPr>
              <w:pStyle w:val="Compact"/>
              <w:jc w:val="right"/>
            </w:pPr>
            <w:r>
              <w:t xml:space="preserve">576</w:t>
            </w:r>
          </w:p>
        </w:tc>
        <w:tc>
          <w:tcPr/>
          <w:p>
            <w:pPr>
              <w:pStyle w:val="Compact"/>
              <w:jc w:val="right"/>
            </w:pPr>
            <w:r>
              <w:t xml:space="preserve">1,072</w:t>
            </w:r>
          </w:p>
        </w:tc>
      </w:tr>
      <w:tr>
        <w:tc>
          <w:tcPr/>
          <w:p>
            <w:pPr>
              <w:pStyle w:val="Compact"/>
              <w:jc w:val="left"/>
            </w:pPr>
            <w:r>
              <w:t xml:space="preserve">2008</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364</w:t>
            </w:r>
          </w:p>
        </w:tc>
        <w:tc>
          <w:tcPr/>
          <w:p>
            <w:pPr>
              <w:pStyle w:val="Compact"/>
              <w:jc w:val="right"/>
            </w:pPr>
            <w:r>
              <w:t xml:space="preserve">50.7</w:t>
            </w:r>
          </w:p>
        </w:tc>
        <w:tc>
          <w:tcPr/>
          <w:p>
            <w:pPr>
              <w:pStyle w:val="Compact"/>
              <w:jc w:val="right"/>
            </w:pPr>
            <w:r>
              <w:t xml:space="preserve">265</w:t>
            </w:r>
          </w:p>
        </w:tc>
        <w:tc>
          <w:tcPr/>
          <w:p>
            <w:pPr>
              <w:pStyle w:val="Compact"/>
              <w:jc w:val="right"/>
            </w:pPr>
            <w:r>
              <w:t xml:space="preserve">463</w:t>
            </w:r>
          </w:p>
        </w:tc>
      </w:tr>
      <w:tr>
        <w:tc>
          <w:tcPr/>
          <w:p>
            <w:pPr>
              <w:pStyle w:val="Compact"/>
              <w:jc w:val="left"/>
            </w:pPr>
            <w:r>
              <w:t xml:space="preserve">2009</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1,600</w:t>
            </w:r>
          </w:p>
        </w:tc>
        <w:tc>
          <w:tcPr/>
          <w:p>
            <w:pPr>
              <w:pStyle w:val="Compact"/>
              <w:jc w:val="right"/>
            </w:pPr>
            <w:r>
              <w:t xml:space="preserve">232.9</w:t>
            </w:r>
          </w:p>
        </w:tc>
        <w:tc>
          <w:tcPr/>
          <w:p>
            <w:pPr>
              <w:pStyle w:val="Compact"/>
              <w:jc w:val="right"/>
            </w:pPr>
            <w:r>
              <w:t xml:space="preserve">1,144</w:t>
            </w:r>
          </w:p>
        </w:tc>
        <w:tc>
          <w:tcPr/>
          <w:p>
            <w:pPr>
              <w:pStyle w:val="Compact"/>
              <w:jc w:val="right"/>
            </w:pPr>
            <w:r>
              <w:t xml:space="preserve">2,056</w:t>
            </w:r>
          </w:p>
        </w:tc>
      </w:tr>
      <w:tr>
        <w:tc>
          <w:tcPr/>
          <w:p>
            <w:pPr>
              <w:pStyle w:val="Compact"/>
              <w:jc w:val="left"/>
            </w:pPr>
            <w:r>
              <w:t xml:space="preserve">2009</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448</w:t>
            </w:r>
          </w:p>
        </w:tc>
        <w:tc>
          <w:tcPr/>
          <w:p>
            <w:pPr>
              <w:pStyle w:val="Compact"/>
              <w:jc w:val="right"/>
            </w:pPr>
            <w:r>
              <w:t xml:space="preserve">62.5</w:t>
            </w:r>
          </w:p>
        </w:tc>
        <w:tc>
          <w:tcPr/>
          <w:p>
            <w:pPr>
              <w:pStyle w:val="Compact"/>
              <w:jc w:val="right"/>
            </w:pPr>
            <w:r>
              <w:t xml:space="preserve">326</w:t>
            </w:r>
          </w:p>
        </w:tc>
        <w:tc>
          <w:tcPr/>
          <w:p>
            <w:pPr>
              <w:pStyle w:val="Compact"/>
              <w:jc w:val="right"/>
            </w:pPr>
            <w:r>
              <w:t xml:space="preserve">570</w:t>
            </w:r>
          </w:p>
        </w:tc>
      </w:tr>
      <w:tr>
        <w:tc>
          <w:tcPr/>
          <w:p>
            <w:pPr>
              <w:pStyle w:val="Compact"/>
              <w:jc w:val="left"/>
            </w:pPr>
            <w:r>
              <w:t xml:space="preserve">2010</w:t>
            </w:r>
          </w:p>
        </w:tc>
        <w:tc>
          <w:tcPr/>
          <w:p>
            <w:pPr>
              <w:pStyle w:val="Compact"/>
              <w:jc w:val="left"/>
            </w:pPr>
            <w:r>
              <w:t xml:space="preserve">Hatchery</w:t>
            </w:r>
          </w:p>
        </w:tc>
        <w:tc>
          <w:tcPr/>
          <w:p>
            <w:pPr>
              <w:pStyle w:val="Compact"/>
              <w:jc w:val="left"/>
            </w:pPr>
            <w:r>
              <w:t xml:space="preserve">1 Obs. Model &amp; Expansion</w:t>
            </w:r>
          </w:p>
        </w:tc>
        <w:tc>
          <w:tcPr/>
          <w:p>
            <w:pPr>
              <w:pStyle w:val="Compact"/>
              <w:jc w:val="right"/>
            </w:pPr>
            <w:r>
              <w:t xml:space="preserve">2,101</w:t>
            </w:r>
          </w:p>
        </w:tc>
        <w:tc>
          <w:tcPr/>
          <w:p>
            <w:pPr>
              <w:pStyle w:val="Compact"/>
              <w:jc w:val="right"/>
            </w:pPr>
            <w:r>
              <w:t xml:space="preserve">710.3</w:t>
            </w:r>
          </w:p>
        </w:tc>
        <w:tc>
          <w:tcPr/>
          <w:p>
            <w:pPr>
              <w:pStyle w:val="Compact"/>
              <w:jc w:val="right"/>
            </w:pPr>
            <w:r>
              <w:t xml:space="preserve">709</w:t>
            </w:r>
          </w:p>
        </w:tc>
        <w:tc>
          <w:tcPr/>
          <w:p>
            <w:pPr>
              <w:pStyle w:val="Compact"/>
              <w:jc w:val="right"/>
            </w:pPr>
            <w:r>
              <w:t xml:space="preserve">3,493</w:t>
            </w:r>
          </w:p>
        </w:tc>
      </w:tr>
      <w:tr>
        <w:tc>
          <w:tcPr/>
          <w:p>
            <w:pPr>
              <w:pStyle w:val="Compact"/>
              <w:jc w:val="left"/>
            </w:pPr>
            <w:r>
              <w:t xml:space="preserve">2010</w:t>
            </w:r>
          </w:p>
        </w:tc>
        <w:tc>
          <w:tcPr/>
          <w:p>
            <w:pPr>
              <w:pStyle w:val="Compact"/>
              <w:jc w:val="left"/>
            </w:pPr>
            <w:r>
              <w:t xml:space="preserve">Natural</w:t>
            </w:r>
          </w:p>
        </w:tc>
        <w:tc>
          <w:tcPr/>
          <w:p>
            <w:pPr>
              <w:pStyle w:val="Compact"/>
              <w:jc w:val="left"/>
            </w:pPr>
            <w:r>
              <w:t xml:space="preserve">1 Obs. Model &amp; Expansion</w:t>
            </w:r>
          </w:p>
        </w:tc>
        <w:tc>
          <w:tcPr/>
          <w:p>
            <w:pPr>
              <w:pStyle w:val="Compact"/>
              <w:jc w:val="right"/>
            </w:pPr>
            <w:r>
              <w:t xml:space="preserve">1,446</w:t>
            </w:r>
          </w:p>
        </w:tc>
        <w:tc>
          <w:tcPr/>
          <w:p>
            <w:pPr>
              <w:pStyle w:val="Compact"/>
              <w:jc w:val="right"/>
            </w:pPr>
            <w:r>
              <w:t xml:space="preserve">478.1</w:t>
            </w:r>
          </w:p>
        </w:tc>
        <w:tc>
          <w:tcPr/>
          <w:p>
            <w:pPr>
              <w:pStyle w:val="Compact"/>
              <w:jc w:val="right"/>
            </w:pPr>
            <w:r>
              <w:t xml:space="preserve">509</w:t>
            </w:r>
          </w:p>
        </w:tc>
        <w:tc>
          <w:tcPr/>
          <w:p>
            <w:pPr>
              <w:pStyle w:val="Compact"/>
              <w:jc w:val="right"/>
            </w:pPr>
            <w:r>
              <w:t xml:space="preserve">2,383</w:t>
            </w:r>
          </w:p>
        </w:tc>
      </w:tr>
      <w:tr>
        <w:tc>
          <w:tcPr/>
          <w:p>
            <w:pPr>
              <w:pStyle w:val="Compact"/>
              <w:jc w:val="left"/>
            </w:pPr>
            <w:r>
              <w:t xml:space="preserve">2011</w:t>
            </w:r>
          </w:p>
        </w:tc>
        <w:tc>
          <w:tcPr/>
          <w:p>
            <w:pPr>
              <w:pStyle w:val="Compact"/>
              <w:jc w:val="left"/>
            </w:pPr>
            <w:r>
              <w:t xml:space="preserve">Hatchery</w:t>
            </w:r>
          </w:p>
        </w:tc>
        <w:tc>
          <w:tcPr/>
          <w:p>
            <w:pPr>
              <w:pStyle w:val="Compact"/>
              <w:jc w:val="left"/>
            </w:pPr>
            <w:r>
              <w:t xml:space="preserve">1 Obs. Model &amp; DABOM</w:t>
            </w:r>
          </w:p>
        </w:tc>
        <w:tc>
          <w:tcPr/>
          <w:p>
            <w:pPr>
              <w:pStyle w:val="Compact"/>
              <w:jc w:val="right"/>
            </w:pPr>
            <w:r>
              <w:t xml:space="preserve">1,131</w:t>
            </w:r>
          </w:p>
        </w:tc>
        <w:tc>
          <w:tcPr/>
          <w:p>
            <w:pPr>
              <w:pStyle w:val="Compact"/>
              <w:jc w:val="right"/>
            </w:pPr>
            <w:r>
              <w:t xml:space="preserve">102.4</w:t>
            </w:r>
          </w:p>
        </w:tc>
        <w:tc>
          <w:tcPr/>
          <w:p>
            <w:pPr>
              <w:pStyle w:val="Compact"/>
              <w:jc w:val="right"/>
            </w:pPr>
            <w:r>
              <w:t xml:space="preserve">930</w:t>
            </w:r>
          </w:p>
        </w:tc>
        <w:tc>
          <w:tcPr/>
          <w:p>
            <w:pPr>
              <w:pStyle w:val="Compact"/>
              <w:jc w:val="right"/>
            </w:pPr>
            <w:r>
              <w:t xml:space="preserve">1,332</w:t>
            </w:r>
          </w:p>
        </w:tc>
      </w:tr>
      <w:tr>
        <w:tc>
          <w:tcPr/>
          <w:p>
            <w:pPr>
              <w:pStyle w:val="Compact"/>
              <w:jc w:val="left"/>
            </w:pPr>
            <w:r>
              <w:t xml:space="preserve">2011</w:t>
            </w:r>
          </w:p>
        </w:tc>
        <w:tc>
          <w:tcPr/>
          <w:p>
            <w:pPr>
              <w:pStyle w:val="Compact"/>
              <w:jc w:val="left"/>
            </w:pPr>
            <w:r>
              <w:t xml:space="preserve">Natural</w:t>
            </w:r>
          </w:p>
        </w:tc>
        <w:tc>
          <w:tcPr/>
          <w:p>
            <w:pPr>
              <w:pStyle w:val="Compact"/>
              <w:jc w:val="left"/>
            </w:pPr>
            <w:r>
              <w:t xml:space="preserve">1 Obs. Model &amp; DABOM</w:t>
            </w:r>
          </w:p>
        </w:tc>
        <w:tc>
          <w:tcPr/>
          <w:p>
            <w:pPr>
              <w:pStyle w:val="Compact"/>
              <w:jc w:val="right"/>
            </w:pPr>
            <w:r>
              <w:t xml:space="preserve">942</w:t>
            </w:r>
          </w:p>
        </w:tc>
        <w:tc>
          <w:tcPr/>
          <w:p>
            <w:pPr>
              <w:pStyle w:val="Compact"/>
              <w:jc w:val="right"/>
            </w:pPr>
            <w:r>
              <w:t xml:space="preserve">98.4</w:t>
            </w:r>
          </w:p>
        </w:tc>
        <w:tc>
          <w:tcPr/>
          <w:p>
            <w:pPr>
              <w:pStyle w:val="Compact"/>
              <w:jc w:val="right"/>
            </w:pPr>
            <w:r>
              <w:t xml:space="preserve">749</w:t>
            </w:r>
          </w:p>
        </w:tc>
        <w:tc>
          <w:tcPr/>
          <w:p>
            <w:pPr>
              <w:pStyle w:val="Compact"/>
              <w:jc w:val="right"/>
            </w:pPr>
            <w:r>
              <w:t xml:space="preserve">1,135</w:t>
            </w:r>
          </w:p>
        </w:tc>
      </w:tr>
      <w:tr>
        <w:tc>
          <w:tcPr/>
          <w:p>
            <w:pPr>
              <w:pStyle w:val="Compact"/>
              <w:jc w:val="left"/>
            </w:pPr>
            <w:r>
              <w:t xml:space="preserve">2012</w:t>
            </w:r>
          </w:p>
        </w:tc>
        <w:tc>
          <w:tcPr/>
          <w:p>
            <w:pPr>
              <w:pStyle w:val="Compact"/>
              <w:jc w:val="left"/>
            </w:pPr>
            <w:r>
              <w:t xml:space="preserve">Hatchery</w:t>
            </w:r>
          </w:p>
        </w:tc>
        <w:tc>
          <w:tcPr/>
          <w:p>
            <w:pPr>
              <w:pStyle w:val="Compact"/>
              <w:jc w:val="left"/>
            </w:pPr>
            <w:r>
              <w:t xml:space="preserve">1 Obs. Model &amp; DABOM</w:t>
            </w:r>
          </w:p>
        </w:tc>
        <w:tc>
          <w:tcPr/>
          <w:p>
            <w:pPr>
              <w:pStyle w:val="Compact"/>
              <w:jc w:val="right"/>
            </w:pPr>
            <w:r>
              <w:t xml:space="preserve">885</w:t>
            </w:r>
          </w:p>
        </w:tc>
        <w:tc>
          <w:tcPr/>
          <w:p>
            <w:pPr>
              <w:pStyle w:val="Compact"/>
              <w:jc w:val="right"/>
            </w:pPr>
            <w:r>
              <w:t xml:space="preserve">102.7</w:t>
            </w:r>
          </w:p>
        </w:tc>
        <w:tc>
          <w:tcPr/>
          <w:p>
            <w:pPr>
              <w:pStyle w:val="Compact"/>
              <w:jc w:val="right"/>
            </w:pPr>
            <w:r>
              <w:t xml:space="preserve">684</w:t>
            </w:r>
          </w:p>
        </w:tc>
        <w:tc>
          <w:tcPr/>
          <w:p>
            <w:pPr>
              <w:pStyle w:val="Compact"/>
              <w:jc w:val="right"/>
            </w:pPr>
            <w:r>
              <w:t xml:space="preserve">1,086</w:t>
            </w:r>
          </w:p>
        </w:tc>
      </w:tr>
      <w:tr>
        <w:tc>
          <w:tcPr/>
          <w:p>
            <w:pPr>
              <w:pStyle w:val="Compact"/>
              <w:jc w:val="left"/>
            </w:pPr>
            <w:r>
              <w:t xml:space="preserve">2012</w:t>
            </w:r>
          </w:p>
        </w:tc>
        <w:tc>
          <w:tcPr/>
          <w:p>
            <w:pPr>
              <w:pStyle w:val="Compact"/>
              <w:jc w:val="left"/>
            </w:pPr>
            <w:r>
              <w:t xml:space="preserve">Natural</w:t>
            </w:r>
          </w:p>
        </w:tc>
        <w:tc>
          <w:tcPr/>
          <w:p>
            <w:pPr>
              <w:pStyle w:val="Compact"/>
              <w:jc w:val="left"/>
            </w:pPr>
            <w:r>
              <w:t xml:space="preserve">1 Obs. Model &amp; DABOM</w:t>
            </w:r>
          </w:p>
        </w:tc>
        <w:tc>
          <w:tcPr/>
          <w:p>
            <w:pPr>
              <w:pStyle w:val="Compact"/>
              <w:jc w:val="right"/>
            </w:pPr>
            <w:r>
              <w:t xml:space="preserve">972</w:t>
            </w:r>
          </w:p>
        </w:tc>
        <w:tc>
          <w:tcPr/>
          <w:p>
            <w:pPr>
              <w:pStyle w:val="Compact"/>
              <w:jc w:val="right"/>
            </w:pPr>
            <w:r>
              <w:t xml:space="preserve">87.5</w:t>
            </w:r>
          </w:p>
        </w:tc>
        <w:tc>
          <w:tcPr/>
          <w:p>
            <w:pPr>
              <w:pStyle w:val="Compact"/>
              <w:jc w:val="right"/>
            </w:pPr>
            <w:r>
              <w:t xml:space="preserve">800</w:t>
            </w:r>
          </w:p>
        </w:tc>
        <w:tc>
          <w:tcPr/>
          <w:p>
            <w:pPr>
              <w:pStyle w:val="Compact"/>
              <w:jc w:val="right"/>
            </w:pPr>
            <w:r>
              <w:t xml:space="preserve">1,144</w:t>
            </w:r>
          </w:p>
        </w:tc>
      </w:tr>
      <w:tr>
        <w:tc>
          <w:tcPr/>
          <w:p>
            <w:pPr>
              <w:pStyle w:val="Compact"/>
              <w:jc w:val="left"/>
            </w:pPr>
            <w:r>
              <w:t xml:space="preserve">2013</w:t>
            </w:r>
          </w:p>
        </w:tc>
        <w:tc>
          <w:tcPr/>
          <w:p>
            <w:pPr>
              <w:pStyle w:val="Compact"/>
              <w:jc w:val="left"/>
            </w:pPr>
            <w:r>
              <w:t xml:space="preserve">Hatchery</w:t>
            </w:r>
          </w:p>
        </w:tc>
        <w:tc>
          <w:tcPr/>
          <w:p>
            <w:pPr>
              <w:pStyle w:val="Compact"/>
              <w:jc w:val="left"/>
            </w:pPr>
            <w:r>
              <w:t xml:space="preserve">1 Obs. Model &amp; DABOM</w:t>
            </w:r>
          </w:p>
        </w:tc>
        <w:tc>
          <w:tcPr/>
          <w:p>
            <w:pPr>
              <w:pStyle w:val="Compact"/>
              <w:jc w:val="right"/>
            </w:pPr>
            <w:r>
              <w:t xml:space="preserve">1,427</w:t>
            </w:r>
          </w:p>
        </w:tc>
        <w:tc>
          <w:tcPr/>
          <w:p>
            <w:pPr>
              <w:pStyle w:val="Compact"/>
              <w:jc w:val="right"/>
            </w:pPr>
            <w:r>
              <w:t xml:space="preserve">244.5</w:t>
            </w:r>
          </w:p>
        </w:tc>
        <w:tc>
          <w:tcPr/>
          <w:p>
            <w:pPr>
              <w:pStyle w:val="Compact"/>
              <w:jc w:val="right"/>
            </w:pPr>
            <w:r>
              <w:t xml:space="preserve">948</w:t>
            </w:r>
          </w:p>
        </w:tc>
        <w:tc>
          <w:tcPr/>
          <w:p>
            <w:pPr>
              <w:pStyle w:val="Compact"/>
              <w:jc w:val="right"/>
            </w:pPr>
            <w:r>
              <w:t xml:space="preserve">1,906</w:t>
            </w:r>
          </w:p>
        </w:tc>
      </w:tr>
      <w:tr>
        <w:tc>
          <w:tcPr/>
          <w:p>
            <w:pPr>
              <w:pStyle w:val="Compact"/>
              <w:jc w:val="left"/>
            </w:pPr>
            <w:r>
              <w:t xml:space="preserve">2013</w:t>
            </w:r>
          </w:p>
        </w:tc>
        <w:tc>
          <w:tcPr/>
          <w:p>
            <w:pPr>
              <w:pStyle w:val="Compact"/>
              <w:jc w:val="left"/>
            </w:pPr>
            <w:r>
              <w:t xml:space="preserve">Natural</w:t>
            </w:r>
          </w:p>
        </w:tc>
        <w:tc>
          <w:tcPr/>
          <w:p>
            <w:pPr>
              <w:pStyle w:val="Compact"/>
              <w:jc w:val="left"/>
            </w:pPr>
            <w:r>
              <w:t xml:space="preserve">1 Obs. Model &amp; DABOM</w:t>
            </w:r>
          </w:p>
        </w:tc>
        <w:tc>
          <w:tcPr/>
          <w:p>
            <w:pPr>
              <w:pStyle w:val="Compact"/>
              <w:jc w:val="right"/>
            </w:pPr>
            <w:r>
              <w:t xml:space="preserve">858</w:t>
            </w:r>
          </w:p>
        </w:tc>
        <w:tc>
          <w:tcPr/>
          <w:p>
            <w:pPr>
              <w:pStyle w:val="Compact"/>
              <w:jc w:val="right"/>
            </w:pPr>
            <w:r>
              <w:t xml:space="preserve">100.6</w:t>
            </w:r>
          </w:p>
        </w:tc>
        <w:tc>
          <w:tcPr/>
          <w:p>
            <w:pPr>
              <w:pStyle w:val="Compact"/>
              <w:jc w:val="right"/>
            </w:pPr>
            <w:r>
              <w:t xml:space="preserve">661</w:t>
            </w:r>
          </w:p>
        </w:tc>
        <w:tc>
          <w:tcPr/>
          <w:p>
            <w:pPr>
              <w:pStyle w:val="Compact"/>
              <w:jc w:val="right"/>
            </w:pPr>
            <w:r>
              <w:t xml:space="preserve">1,055</w:t>
            </w:r>
          </w:p>
        </w:tc>
      </w:tr>
      <w:tr>
        <w:tc>
          <w:tcPr/>
          <w:p>
            <w:pPr>
              <w:pStyle w:val="Compact"/>
              <w:jc w:val="left"/>
            </w:pPr>
            <w:r>
              <w:t xml:space="preserve">2014</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474</w:t>
            </w:r>
          </w:p>
        </w:tc>
        <w:tc>
          <w:tcPr/>
          <w:p>
            <w:pPr>
              <w:pStyle w:val="Compact"/>
              <w:jc w:val="right"/>
            </w:pPr>
            <w:r>
              <w:t xml:space="preserve">54.0</w:t>
            </w:r>
          </w:p>
        </w:tc>
        <w:tc>
          <w:tcPr/>
          <w:p>
            <w:pPr>
              <w:pStyle w:val="Compact"/>
              <w:jc w:val="right"/>
            </w:pPr>
            <w:r>
              <w:t xml:space="preserve">368</w:t>
            </w:r>
          </w:p>
        </w:tc>
        <w:tc>
          <w:tcPr/>
          <w:p>
            <w:pPr>
              <w:pStyle w:val="Compact"/>
              <w:jc w:val="right"/>
            </w:pPr>
            <w:r>
              <w:t xml:space="preserve">580</w:t>
            </w:r>
          </w:p>
        </w:tc>
      </w:tr>
      <w:tr>
        <w:tc>
          <w:tcPr/>
          <w:p>
            <w:pPr>
              <w:pStyle w:val="Compact"/>
              <w:jc w:val="left"/>
            </w:pPr>
            <w:r>
              <w:t xml:space="preserve">2014</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822</w:t>
            </w:r>
          </w:p>
        </w:tc>
        <w:tc>
          <w:tcPr/>
          <w:p>
            <w:pPr>
              <w:pStyle w:val="Compact"/>
              <w:jc w:val="right"/>
            </w:pPr>
            <w:r>
              <w:t xml:space="preserve">71.4</w:t>
            </w:r>
          </w:p>
        </w:tc>
        <w:tc>
          <w:tcPr/>
          <w:p>
            <w:pPr>
              <w:pStyle w:val="Compact"/>
              <w:jc w:val="right"/>
            </w:pPr>
            <w:r>
              <w:t xml:space="preserve">682</w:t>
            </w:r>
          </w:p>
        </w:tc>
        <w:tc>
          <w:tcPr/>
          <w:p>
            <w:pPr>
              <w:pStyle w:val="Compact"/>
              <w:jc w:val="right"/>
            </w:pPr>
            <w:r>
              <w:t xml:space="preserve">962</w:t>
            </w:r>
          </w:p>
        </w:tc>
      </w:tr>
      <w:tr>
        <w:tc>
          <w:tcPr/>
          <w:p>
            <w:pPr>
              <w:pStyle w:val="Compact"/>
              <w:jc w:val="left"/>
            </w:pPr>
            <w:r>
              <w:t xml:space="preserve">2015</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539</w:t>
            </w:r>
          </w:p>
        </w:tc>
        <w:tc>
          <w:tcPr/>
          <w:p>
            <w:pPr>
              <w:pStyle w:val="Compact"/>
              <w:jc w:val="right"/>
            </w:pPr>
            <w:r>
              <w:t xml:space="preserve">56.8</w:t>
            </w:r>
          </w:p>
        </w:tc>
        <w:tc>
          <w:tcPr/>
          <w:p>
            <w:pPr>
              <w:pStyle w:val="Compact"/>
              <w:jc w:val="right"/>
            </w:pPr>
            <w:r>
              <w:t xml:space="preserve">428</w:t>
            </w:r>
          </w:p>
        </w:tc>
        <w:tc>
          <w:tcPr/>
          <w:p>
            <w:pPr>
              <w:pStyle w:val="Compact"/>
              <w:jc w:val="right"/>
            </w:pPr>
            <w:r>
              <w:t xml:space="preserve">650</w:t>
            </w:r>
          </w:p>
        </w:tc>
      </w:tr>
      <w:tr>
        <w:tc>
          <w:tcPr/>
          <w:p>
            <w:pPr>
              <w:pStyle w:val="Compact"/>
              <w:jc w:val="left"/>
            </w:pPr>
            <w:r>
              <w:t xml:space="preserve">2015</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798</w:t>
            </w:r>
          </w:p>
        </w:tc>
        <w:tc>
          <w:tcPr/>
          <w:p>
            <w:pPr>
              <w:pStyle w:val="Compact"/>
              <w:jc w:val="right"/>
            </w:pPr>
            <w:r>
              <w:t xml:space="preserve">63.5</w:t>
            </w:r>
          </w:p>
        </w:tc>
        <w:tc>
          <w:tcPr/>
          <w:p>
            <w:pPr>
              <w:pStyle w:val="Compact"/>
              <w:jc w:val="right"/>
            </w:pPr>
            <w:r>
              <w:t xml:space="preserve">674</w:t>
            </w:r>
          </w:p>
        </w:tc>
        <w:tc>
          <w:tcPr/>
          <w:p>
            <w:pPr>
              <w:pStyle w:val="Compact"/>
              <w:jc w:val="right"/>
            </w:pPr>
            <w:r>
              <w:t xml:space="preserve">922</w:t>
            </w:r>
          </w:p>
        </w:tc>
      </w:tr>
      <w:tr>
        <w:tc>
          <w:tcPr/>
          <w:p>
            <w:pPr>
              <w:pStyle w:val="Compact"/>
              <w:jc w:val="left"/>
            </w:pPr>
            <w:r>
              <w:t xml:space="preserve">2016</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373</w:t>
            </w:r>
          </w:p>
        </w:tc>
        <w:tc>
          <w:tcPr/>
          <w:p>
            <w:pPr>
              <w:pStyle w:val="Compact"/>
              <w:jc w:val="right"/>
            </w:pPr>
            <w:r>
              <w:t xml:space="preserve">58.1</w:t>
            </w:r>
          </w:p>
        </w:tc>
        <w:tc>
          <w:tcPr/>
          <w:p>
            <w:pPr>
              <w:pStyle w:val="Compact"/>
              <w:jc w:val="right"/>
            </w:pPr>
            <w:r>
              <w:t xml:space="preserve">259</w:t>
            </w:r>
          </w:p>
        </w:tc>
        <w:tc>
          <w:tcPr/>
          <w:p>
            <w:pPr>
              <w:pStyle w:val="Compact"/>
              <w:jc w:val="right"/>
            </w:pPr>
            <w:r>
              <w:t xml:space="preserve">487</w:t>
            </w:r>
          </w:p>
        </w:tc>
      </w:tr>
      <w:tr>
        <w:tc>
          <w:tcPr/>
          <w:p>
            <w:pPr>
              <w:pStyle w:val="Compact"/>
              <w:jc w:val="left"/>
            </w:pPr>
            <w:r>
              <w:t xml:space="preserve">2016</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686</w:t>
            </w:r>
          </w:p>
        </w:tc>
        <w:tc>
          <w:tcPr/>
          <w:p>
            <w:pPr>
              <w:pStyle w:val="Compact"/>
              <w:jc w:val="right"/>
            </w:pPr>
            <w:r>
              <w:t xml:space="preserve">77.4</w:t>
            </w:r>
          </w:p>
        </w:tc>
        <w:tc>
          <w:tcPr/>
          <w:p>
            <w:pPr>
              <w:pStyle w:val="Compact"/>
              <w:jc w:val="right"/>
            </w:pPr>
            <w:r>
              <w:t xml:space="preserve">534</w:t>
            </w:r>
          </w:p>
        </w:tc>
        <w:tc>
          <w:tcPr/>
          <w:p>
            <w:pPr>
              <w:pStyle w:val="Compact"/>
              <w:jc w:val="right"/>
            </w:pPr>
            <w:r>
              <w:t xml:space="preserve">838</w:t>
            </w:r>
          </w:p>
        </w:tc>
      </w:tr>
      <w:tr>
        <w:tc>
          <w:tcPr/>
          <w:p>
            <w:pPr>
              <w:pStyle w:val="Compact"/>
              <w:jc w:val="left"/>
            </w:pPr>
            <w:r>
              <w:t xml:space="preserve">2017</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223</w:t>
            </w:r>
          </w:p>
        </w:tc>
        <w:tc>
          <w:tcPr/>
          <w:p>
            <w:pPr>
              <w:pStyle w:val="Compact"/>
              <w:jc w:val="right"/>
            </w:pPr>
            <w:r>
              <w:t xml:space="preserve">38.9</w:t>
            </w:r>
          </w:p>
        </w:tc>
        <w:tc>
          <w:tcPr/>
          <w:p>
            <w:pPr>
              <w:pStyle w:val="Compact"/>
              <w:jc w:val="right"/>
            </w:pPr>
            <w:r>
              <w:t xml:space="preserve">147</w:t>
            </w:r>
          </w:p>
        </w:tc>
        <w:tc>
          <w:tcPr/>
          <w:p>
            <w:pPr>
              <w:pStyle w:val="Compact"/>
              <w:jc w:val="right"/>
            </w:pPr>
            <w:r>
              <w:t xml:space="preserve">299</w:t>
            </w:r>
          </w:p>
        </w:tc>
      </w:tr>
      <w:tr>
        <w:tc>
          <w:tcPr/>
          <w:p>
            <w:pPr>
              <w:pStyle w:val="Compact"/>
              <w:jc w:val="left"/>
            </w:pPr>
            <w:r>
              <w:t xml:space="preserve">2017</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256</w:t>
            </w:r>
          </w:p>
        </w:tc>
        <w:tc>
          <w:tcPr/>
          <w:p>
            <w:pPr>
              <w:pStyle w:val="Compact"/>
              <w:jc w:val="right"/>
            </w:pPr>
            <w:r>
              <w:t xml:space="preserve">39.7</w:t>
            </w:r>
          </w:p>
        </w:tc>
        <w:tc>
          <w:tcPr/>
          <w:p>
            <w:pPr>
              <w:pStyle w:val="Compact"/>
              <w:jc w:val="right"/>
            </w:pPr>
            <w:r>
              <w:t xml:space="preserve">178</w:t>
            </w:r>
          </w:p>
        </w:tc>
        <w:tc>
          <w:tcPr/>
          <w:p>
            <w:pPr>
              <w:pStyle w:val="Compact"/>
              <w:jc w:val="right"/>
            </w:pPr>
            <w:r>
              <w:t xml:space="preserve">334</w:t>
            </w:r>
          </w:p>
        </w:tc>
      </w:tr>
      <w:tr>
        <w:tc>
          <w:tcPr/>
          <w:p>
            <w:pPr>
              <w:pStyle w:val="Compact"/>
              <w:jc w:val="left"/>
            </w:pPr>
            <w:r>
              <w:t xml:space="preserve">2018</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148</w:t>
            </w:r>
          </w:p>
        </w:tc>
        <w:tc>
          <w:tcPr/>
          <w:p>
            <w:pPr>
              <w:pStyle w:val="Compact"/>
              <w:jc w:val="right"/>
            </w:pPr>
            <w:r>
              <w:t xml:space="preserve">25.3</w:t>
            </w:r>
          </w:p>
        </w:tc>
        <w:tc>
          <w:tcPr/>
          <w:p>
            <w:pPr>
              <w:pStyle w:val="Compact"/>
              <w:jc w:val="right"/>
            </w:pPr>
            <w:r>
              <w:t xml:space="preserve">98</w:t>
            </w:r>
          </w:p>
        </w:tc>
        <w:tc>
          <w:tcPr/>
          <w:p>
            <w:pPr>
              <w:pStyle w:val="Compact"/>
              <w:jc w:val="right"/>
            </w:pPr>
            <w:r>
              <w:t xml:space="preserve">198</w:t>
            </w:r>
          </w:p>
        </w:tc>
      </w:tr>
      <w:tr>
        <w:tc>
          <w:tcPr/>
          <w:p>
            <w:pPr>
              <w:pStyle w:val="Compact"/>
              <w:jc w:val="left"/>
            </w:pPr>
            <w:r>
              <w:t xml:space="preserve">2018</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313</w:t>
            </w:r>
          </w:p>
        </w:tc>
        <w:tc>
          <w:tcPr/>
          <w:p>
            <w:pPr>
              <w:pStyle w:val="Compact"/>
              <w:jc w:val="right"/>
            </w:pPr>
            <w:r>
              <w:t xml:space="preserve">37.3</w:t>
            </w:r>
          </w:p>
        </w:tc>
        <w:tc>
          <w:tcPr/>
          <w:p>
            <w:pPr>
              <w:pStyle w:val="Compact"/>
              <w:jc w:val="right"/>
            </w:pPr>
            <w:r>
              <w:t xml:space="preserve">240</w:t>
            </w:r>
          </w:p>
        </w:tc>
        <w:tc>
          <w:tcPr/>
          <w:p>
            <w:pPr>
              <w:pStyle w:val="Compact"/>
              <w:jc w:val="right"/>
            </w:pPr>
            <w:r>
              <w:t xml:space="preserve">386</w:t>
            </w:r>
          </w:p>
        </w:tc>
      </w:tr>
      <w:tr>
        <w:tc>
          <w:tcPr/>
          <w:p>
            <w:pPr>
              <w:pStyle w:val="Compact"/>
              <w:jc w:val="left"/>
            </w:pPr>
            <w:r>
              <w:t xml:space="preserve">2019</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179</w:t>
            </w:r>
          </w:p>
        </w:tc>
        <w:tc>
          <w:tcPr/>
          <w:p>
            <w:pPr>
              <w:pStyle w:val="Compact"/>
              <w:jc w:val="right"/>
            </w:pPr>
            <w:r>
              <w:t xml:space="preserve">32.7</w:t>
            </w:r>
          </w:p>
        </w:tc>
        <w:tc>
          <w:tcPr/>
          <w:p>
            <w:pPr>
              <w:pStyle w:val="Compact"/>
              <w:jc w:val="right"/>
            </w:pPr>
            <w:r>
              <w:t xml:space="preserve">115</w:t>
            </w:r>
          </w:p>
        </w:tc>
        <w:tc>
          <w:tcPr/>
          <w:p>
            <w:pPr>
              <w:pStyle w:val="Compact"/>
              <w:jc w:val="right"/>
            </w:pPr>
            <w:r>
              <w:t xml:space="preserve">243</w:t>
            </w:r>
          </w:p>
        </w:tc>
      </w:tr>
      <w:tr>
        <w:tc>
          <w:tcPr/>
          <w:p>
            <w:pPr>
              <w:pStyle w:val="Compact"/>
              <w:jc w:val="left"/>
            </w:pPr>
            <w:r>
              <w:t xml:space="preserve">2019</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212</w:t>
            </w:r>
          </w:p>
        </w:tc>
        <w:tc>
          <w:tcPr/>
          <w:p>
            <w:pPr>
              <w:pStyle w:val="Compact"/>
              <w:jc w:val="right"/>
            </w:pPr>
            <w:r>
              <w:t xml:space="preserve">35.1</w:t>
            </w:r>
          </w:p>
        </w:tc>
        <w:tc>
          <w:tcPr/>
          <w:p>
            <w:pPr>
              <w:pStyle w:val="Compact"/>
              <w:jc w:val="right"/>
            </w:pPr>
            <w:r>
              <w:t xml:space="preserve">143</w:t>
            </w:r>
          </w:p>
        </w:tc>
        <w:tc>
          <w:tcPr/>
          <w:p>
            <w:pPr>
              <w:pStyle w:val="Compact"/>
              <w:jc w:val="right"/>
            </w:pPr>
            <w:r>
              <w:t xml:space="preserve">281</w:t>
            </w:r>
          </w:p>
        </w:tc>
      </w:tr>
      <w:tr>
        <w:tc>
          <w:tcPr/>
          <w:p>
            <w:pPr>
              <w:pStyle w:val="Compact"/>
              <w:jc w:val="left"/>
            </w:pPr>
            <w:r>
              <w:t xml:space="preserve">2020</w:t>
            </w:r>
          </w:p>
        </w:tc>
        <w:tc>
          <w:tcPr/>
          <w:p>
            <w:pPr>
              <w:pStyle w:val="Compact"/>
              <w:jc w:val="left"/>
            </w:pPr>
            <w:r>
              <w:t xml:space="preserve">Hatchery</w:t>
            </w:r>
          </w:p>
        </w:tc>
        <w:tc>
          <w:tcPr/>
          <w:p>
            <w:pPr>
              <w:pStyle w:val="Compact"/>
              <w:jc w:val="left"/>
            </w:pPr>
            <w:r>
              <w:t xml:space="preserve">RT Survival</w:t>
            </w:r>
          </w:p>
        </w:tc>
        <w:tc>
          <w:tcPr/>
          <w:p>
            <w:pPr>
              <w:pStyle w:val="Compact"/>
              <w:jc w:val="right"/>
            </w:pPr>
            <w:r>
              <w:t xml:space="preserve">124</w:t>
            </w:r>
          </w:p>
        </w:tc>
        <w:tc>
          <w:tcPr/>
          <w:p>
            <w:pPr>
              <w:pStyle w:val="Compact"/>
              <w:jc w:val="right"/>
            </w:pPr>
            <w:r>
              <w:t xml:space="preserve">52.4</w:t>
            </w:r>
          </w:p>
        </w:tc>
        <w:tc>
          <w:tcPr/>
          <w:p>
            <w:pPr>
              <w:pStyle w:val="Compact"/>
              <w:jc w:val="right"/>
            </w:pPr>
            <w:r>
              <w:t xml:space="preserve">21</w:t>
            </w:r>
          </w:p>
        </w:tc>
        <w:tc>
          <w:tcPr/>
          <w:p>
            <w:pPr>
              <w:pStyle w:val="Compact"/>
              <w:jc w:val="right"/>
            </w:pPr>
            <w:r>
              <w:t xml:space="preserve">227</w:t>
            </w:r>
          </w:p>
        </w:tc>
      </w:tr>
      <w:tr>
        <w:tc>
          <w:tcPr/>
          <w:p>
            <w:pPr>
              <w:pStyle w:val="Compact"/>
              <w:jc w:val="left"/>
            </w:pPr>
            <w:r>
              <w:t xml:space="preserve">2020</w:t>
            </w:r>
          </w:p>
        </w:tc>
        <w:tc>
          <w:tcPr/>
          <w:p>
            <w:pPr>
              <w:pStyle w:val="Compact"/>
              <w:jc w:val="left"/>
            </w:pPr>
            <w:r>
              <w:t xml:space="preserve">Natural</w:t>
            </w:r>
          </w:p>
        </w:tc>
        <w:tc>
          <w:tcPr/>
          <w:p>
            <w:pPr>
              <w:pStyle w:val="Compact"/>
              <w:jc w:val="left"/>
            </w:pPr>
            <w:r>
              <w:t xml:space="preserve">RT Survival</w:t>
            </w:r>
          </w:p>
        </w:tc>
        <w:tc>
          <w:tcPr/>
          <w:p>
            <w:pPr>
              <w:pStyle w:val="Compact"/>
              <w:jc w:val="right"/>
            </w:pPr>
            <w:r>
              <w:t xml:space="preserve">509</w:t>
            </w:r>
          </w:p>
        </w:tc>
        <w:tc>
          <w:tcPr/>
          <w:p>
            <w:pPr>
              <w:pStyle w:val="Compact"/>
              <w:jc w:val="right"/>
            </w:pPr>
            <w:r>
              <w:t xml:space="preserve">99.4</w:t>
            </w:r>
          </w:p>
        </w:tc>
        <w:tc>
          <w:tcPr/>
          <w:p>
            <w:pPr>
              <w:pStyle w:val="Compact"/>
              <w:jc w:val="right"/>
            </w:pPr>
            <w:r>
              <w:t xml:space="preserve">314</w:t>
            </w:r>
          </w:p>
        </w:tc>
        <w:tc>
          <w:tcPr/>
          <w:p>
            <w:pPr>
              <w:pStyle w:val="Compact"/>
              <w:jc w:val="right"/>
            </w:pPr>
            <w:r>
              <w:t xml:space="preserve">704</w:t>
            </w:r>
          </w:p>
        </w:tc>
      </w:tr>
      <w:tr>
        <w:tc>
          <w:tcPr/>
          <w:p>
            <w:pPr>
              <w:pStyle w:val="Compact"/>
              <w:jc w:val="left"/>
            </w:pPr>
            <w:r>
              <w:t xml:space="preserve">2021</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328</w:t>
            </w:r>
          </w:p>
        </w:tc>
        <w:tc>
          <w:tcPr/>
          <w:p>
            <w:pPr>
              <w:pStyle w:val="Compact"/>
              <w:jc w:val="right"/>
            </w:pPr>
            <w:r>
              <w:t xml:space="preserve">89.1</w:t>
            </w:r>
          </w:p>
        </w:tc>
        <w:tc>
          <w:tcPr/>
          <w:p>
            <w:pPr>
              <w:pStyle w:val="Compact"/>
              <w:jc w:val="right"/>
            </w:pPr>
            <w:r>
              <w:t xml:space="preserve">153</w:t>
            </w:r>
          </w:p>
        </w:tc>
        <w:tc>
          <w:tcPr/>
          <w:p>
            <w:pPr>
              <w:pStyle w:val="Compact"/>
              <w:jc w:val="right"/>
            </w:pPr>
            <w:r>
              <w:t xml:space="preserve">503</w:t>
            </w:r>
          </w:p>
        </w:tc>
      </w:tr>
      <w:tr>
        <w:tc>
          <w:tcPr/>
          <w:p>
            <w:pPr>
              <w:pStyle w:val="Compact"/>
              <w:jc w:val="left"/>
            </w:pPr>
            <w:r>
              <w:t xml:space="preserve">2021</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717</w:t>
            </w:r>
          </w:p>
        </w:tc>
        <w:tc>
          <w:tcPr/>
          <w:p>
            <w:pPr>
              <w:pStyle w:val="Compact"/>
              <w:jc w:val="right"/>
            </w:pPr>
            <w:r>
              <w:t xml:space="preserve">101.7</w:t>
            </w:r>
          </w:p>
        </w:tc>
        <w:tc>
          <w:tcPr/>
          <w:p>
            <w:pPr>
              <w:pStyle w:val="Compact"/>
              <w:jc w:val="right"/>
            </w:pPr>
            <w:r>
              <w:t xml:space="preserve">518</w:t>
            </w:r>
          </w:p>
        </w:tc>
        <w:tc>
          <w:tcPr/>
          <w:p>
            <w:pPr>
              <w:pStyle w:val="Compact"/>
              <w:jc w:val="right"/>
            </w:pPr>
            <w:r>
              <w:t xml:space="preserve">916</w:t>
            </w:r>
          </w:p>
        </w:tc>
      </w:tr>
      <w:tr>
        <w:tc>
          <w:tcPr/>
          <w:p>
            <w:pPr>
              <w:pStyle w:val="Compact"/>
              <w:jc w:val="left"/>
            </w:pPr>
            <w:r>
              <w:t xml:space="preserve">2022</w:t>
            </w:r>
          </w:p>
        </w:tc>
        <w:tc>
          <w:tcPr/>
          <w:p>
            <w:pPr>
              <w:pStyle w:val="Compact"/>
              <w:jc w:val="left"/>
            </w:pPr>
            <w:r>
              <w:t xml:space="preserve">Hatchery</w:t>
            </w:r>
          </w:p>
        </w:tc>
        <w:tc>
          <w:tcPr/>
          <w:p>
            <w:pPr>
              <w:pStyle w:val="Compact"/>
              <w:jc w:val="left"/>
            </w:pPr>
            <w:r>
              <w:t xml:space="preserve">2 Obs. Model &amp; DABOM</w:t>
            </w:r>
          </w:p>
        </w:tc>
        <w:tc>
          <w:tcPr/>
          <w:p>
            <w:pPr>
              <w:pStyle w:val="Compact"/>
              <w:jc w:val="right"/>
            </w:pPr>
            <w:r>
              <w:t xml:space="preserve">85</w:t>
            </w:r>
          </w:p>
        </w:tc>
        <w:tc>
          <w:tcPr/>
          <w:p>
            <w:pPr>
              <w:pStyle w:val="Compact"/>
              <w:jc w:val="right"/>
            </w:pPr>
            <w:r>
              <w:t xml:space="preserve">25.3</w:t>
            </w:r>
          </w:p>
        </w:tc>
        <w:tc>
          <w:tcPr/>
          <w:p>
            <w:pPr>
              <w:pStyle w:val="Compact"/>
              <w:jc w:val="right"/>
            </w:pPr>
            <w:r>
              <w:t xml:space="preserve">36</w:t>
            </w:r>
          </w:p>
        </w:tc>
        <w:tc>
          <w:tcPr/>
          <w:p>
            <w:pPr>
              <w:pStyle w:val="Compact"/>
              <w:jc w:val="right"/>
            </w:pPr>
            <w:r>
              <w:t xml:space="preserve">134</w:t>
            </w:r>
          </w:p>
        </w:tc>
      </w:tr>
      <w:tr>
        <w:tc>
          <w:tcPr/>
          <w:p>
            <w:pPr>
              <w:pStyle w:val="Compact"/>
              <w:jc w:val="left"/>
            </w:pPr>
            <w:r>
              <w:t xml:space="preserve">2022</w:t>
            </w:r>
          </w:p>
        </w:tc>
        <w:tc>
          <w:tcPr/>
          <w:p>
            <w:pPr>
              <w:pStyle w:val="Compact"/>
              <w:jc w:val="left"/>
            </w:pPr>
            <w:r>
              <w:t xml:space="preserve">Natural</w:t>
            </w:r>
          </w:p>
        </w:tc>
        <w:tc>
          <w:tcPr/>
          <w:p>
            <w:pPr>
              <w:pStyle w:val="Compact"/>
              <w:jc w:val="left"/>
            </w:pPr>
            <w:r>
              <w:t xml:space="preserve">2 Obs. Model &amp; DABOM</w:t>
            </w:r>
          </w:p>
        </w:tc>
        <w:tc>
          <w:tcPr/>
          <w:p>
            <w:pPr>
              <w:pStyle w:val="Compact"/>
              <w:jc w:val="right"/>
            </w:pPr>
            <w:r>
              <w:t xml:space="preserve">323</w:t>
            </w:r>
          </w:p>
        </w:tc>
        <w:tc>
          <w:tcPr/>
          <w:p>
            <w:pPr>
              <w:pStyle w:val="Compact"/>
              <w:jc w:val="right"/>
            </w:pPr>
            <w:r>
              <w:t xml:space="preserve">54.6</w:t>
            </w:r>
          </w:p>
        </w:tc>
        <w:tc>
          <w:tcPr/>
          <w:p>
            <w:pPr>
              <w:pStyle w:val="Compact"/>
              <w:jc w:val="right"/>
            </w:pPr>
            <w:r>
              <w:t xml:space="preserve">216</w:t>
            </w:r>
          </w:p>
        </w:tc>
        <w:tc>
          <w:tcPr/>
          <w:p>
            <w:pPr>
              <w:pStyle w:val="Compact"/>
              <w:jc w:val="right"/>
            </w:pPr>
            <w:r>
              <w:t xml:space="preserve">430</w:t>
            </w:r>
          </w:p>
        </w:tc>
      </w:tr>
    </w:tbl>
    <w:bookmarkEnd w:id="48"/>
    <w:sectPr w:rsidR="00D32BC6">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A3CC" w14:textId="5C82A972" w:rsidR="00386E75" w:rsidRDefault="00386E75" w:rsidP="00386E75">
    <w:pPr>
      <w:pStyle w:val="Header"/>
      <w:jc w:val="right"/>
    </w:pPr>
    <w:r>
      <w:rPr>
        <w:noProof/>
      </w:rPr>
      <w:drawing>
        <wp:inline distT="0" distB="0" distL="0" distR="0" wp14:anchorId="1BAB5B00" wp14:editId="08E0D004">
          <wp:extent cx="676275" cy="430619"/>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03759" cy="44812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0000A990"/>
    <w:multiLevelType w:val="multilevel"/>
    <w:tmpl w:val="4B6255B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4">
    <w:nsid w:val="0000A991"/>
    <w:multiLevelType w:val="multilevel"/>
    <w:tmpl w:val="E9DAE4B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328100930" w:numId="1">
    <w:abstractNumId w:val="3"/>
  </w:num>
  <w:num w16cid:durableId="548801734" w:numId="2">
    <w:abstractNumId w:val="4"/>
  </w:num>
  <w:num w16cid:durableId="879823407" w:numId="3">
    <w:abstractNumId w:val="2"/>
  </w:num>
  <w:num w16cid:durableId="1545605698" w:numId="4">
    <w:abstractNumId w:val="1"/>
  </w:num>
  <w:num w16cid:durableId="734624646" w:numId="5">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D318B4"/>
    <w:pPr>
      <w:keepNext/>
      <w:keepLines/>
      <w:pageBreakBefore/>
      <w:spacing w:after="0" w:before="200" w:line="20" w:lineRule="exact"/>
      <w:outlineLvl w:val="4"/>
    </w:pPr>
    <w:rPr>
      <w:rFonts w:asciiTheme="majorHAnsi" w:cstheme="majorBidi" w:eastAsiaTheme="majorEastAsia" w:hAnsiTheme="majorHAns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FB2E29"/>
    <w:pPr>
      <w:tabs>
        <w:tab w:pos="4680" w:val="center"/>
        <w:tab w:pos="9360" w:val="right"/>
      </w:tabs>
      <w:spacing w:after="0"/>
    </w:pPr>
  </w:style>
  <w:style w:customStyle="1" w:styleId="HeaderChar" w:type="character">
    <w:name w:val="Header Char"/>
    <w:basedOn w:val="DefaultParagraphFont"/>
    <w:link w:val="Header"/>
    <w:rsid w:val="00FB2E29"/>
  </w:style>
  <w:style w:styleId="Footer" w:type="paragraph">
    <w:name w:val="footer"/>
    <w:basedOn w:val="Normal"/>
    <w:link w:val="FooterChar"/>
    <w:unhideWhenUsed/>
    <w:rsid w:val="00FB2E29"/>
    <w:pPr>
      <w:tabs>
        <w:tab w:pos="4680" w:val="center"/>
        <w:tab w:pos="9360" w:val="right"/>
      </w:tabs>
      <w:spacing w:after="0"/>
    </w:pPr>
  </w:style>
  <w:style w:customStyle="1" w:styleId="FooterChar" w:type="character">
    <w:name w:val="Footer Char"/>
    <w:basedOn w:val="DefaultParagraphFont"/>
    <w:link w:val="Footer"/>
    <w:rsid w:val="00FB2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9" Target="https://cran.r-project.org/web/packages/MARSS/vignettes/UserGuide.pdf" TargetMode="External" /><Relationship Type="http://schemas.openxmlformats.org/officeDocument/2006/relationships/hyperlink" Id="rId20" Target="mailto:Kevin.See@dfw.wa.gov" TargetMode="External" /></Relationships>
</file>

<file path=word/_rels/footnotes.xml.rels><?xml version="1.0" encoding="UTF-8"?><Relationships xmlns="http://schemas.openxmlformats.org/package/2006/relationships"><Relationship Type="http://schemas.openxmlformats.org/officeDocument/2006/relationships/hyperlink" Id="rId29" Target="https://cran.r-project.org/web/packages/MARSS/vignettes/UserGuide.pdf" TargetMode="External" /><Relationship Type="http://schemas.openxmlformats.org/officeDocument/2006/relationships/hyperlink" Id="rId20" Target="mailto:Kevin.See@dfw.wa.gov"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 of Wenatchee Steelhead Spawners</dc:title>
  <dc:creator>Kevin See1,✉</dc:creator>
  <cp:keywords/>
  <dcterms:created xsi:type="dcterms:W3CDTF">2023-04-14T20:18:26Z</dcterms:created>
  <dcterms:modified xsi:type="dcterms:W3CDTF">2023-04-14T20:18:26Z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../templates/american-fisheries-society.csl</vt:lpwstr>
  </property>
  <property fmtid="{D5CDD505-2E9C-101B-9397-08002B2CF9AE}" pid="4" name="date">
    <vt:lpwstr>April 14, 2023</vt:lpwstr>
  </property>
  <property fmtid="{D5CDD505-2E9C-101B-9397-08002B2CF9AE}" pid="5" name="output">
    <vt:lpwstr/>
  </property>
  <property fmtid="{D5CDD505-2E9C-101B-9397-08002B2CF9AE}" pid="6" name="subtitle">
    <vt:lpwstr>Spawn Years 1987-2022</vt:lpwstr>
  </property>
</Properties>
</file>