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A1EA5" w14:textId="77777777" w:rsidR="00B97FBD" w:rsidRDefault="00000000">
      <w:pPr>
        <w:spacing w:after="80"/>
        <w:jc w:val="center"/>
        <w:rPr>
          <w:rFonts w:hint="eastAsia"/>
        </w:rPr>
      </w:pPr>
      <w:r>
        <w:rPr>
          <w:rFonts w:ascii="Aptos" w:eastAsia="微软雅黑" w:hAnsi="Aptos"/>
          <w:b/>
          <w:color w:val="1F4E78"/>
          <w:sz w:val="40"/>
          <w:szCs w:val="40"/>
        </w:rPr>
        <w:t>CTA</w:t>
      </w:r>
      <w:r>
        <w:rPr>
          <w:rFonts w:ascii="Aptos" w:eastAsia="微软雅黑" w:hAnsi="Aptos"/>
          <w:b/>
          <w:color w:val="1F4E78"/>
          <w:sz w:val="40"/>
          <w:szCs w:val="40"/>
        </w:rPr>
        <w:t>策略表现总结</w:t>
      </w:r>
    </w:p>
    <w:p w14:paraId="49A7A365" w14:textId="77777777" w:rsidR="00B97FBD" w:rsidRDefault="00000000">
      <w:pPr>
        <w:pStyle w:val="3"/>
        <w:spacing w:before="170" w:after="110"/>
        <w:rPr>
          <w:rFonts w:hint="eastAsia"/>
        </w:rPr>
      </w:pPr>
      <w:r>
        <w:rPr>
          <w:rFonts w:ascii="Aptos" w:eastAsia="微软雅黑" w:hAnsi="Aptos"/>
          <w:b/>
          <w:color w:val="1F4E78"/>
          <w:sz w:val="23"/>
          <w:szCs w:val="23"/>
        </w:rPr>
        <w:t>1 2026</w:t>
      </w:r>
      <w:r>
        <w:rPr>
          <w:rFonts w:ascii="Aptos" w:eastAsia="微软雅黑" w:hAnsi="Aptos"/>
          <w:b/>
          <w:color w:val="1F4E78"/>
          <w:sz w:val="23"/>
          <w:szCs w:val="23"/>
        </w:rPr>
        <w:t>年策略表现（截至</w:t>
      </w:r>
      <w:r>
        <w:rPr>
          <w:rFonts w:ascii="Aptos" w:eastAsia="微软雅黑" w:hAnsi="Aptos"/>
          <w:b/>
          <w:color w:val="1F4E78"/>
          <w:sz w:val="23"/>
          <w:szCs w:val="23"/>
        </w:rPr>
        <w:t>2026-08-12</w:t>
      </w:r>
      <w:r>
        <w:rPr>
          <w:rFonts w:ascii="Aptos" w:eastAsia="微软雅黑" w:hAnsi="Aptos"/>
          <w:b/>
          <w:color w:val="1F4E78"/>
          <w:sz w:val="23"/>
          <w:szCs w:val="23"/>
        </w:rPr>
        <w:t>）</w:t>
      </w:r>
    </w:p>
    <w:p w14:paraId="3F342B4A" w14:textId="77777777" w:rsidR="00B97FBD" w:rsidRDefault="00000000">
      <w:pPr>
        <w:pStyle w:val="3"/>
        <w:spacing w:before="170" w:after="110"/>
        <w:rPr>
          <w:rFonts w:hint="eastAsia"/>
        </w:rPr>
      </w:pPr>
      <w:r>
        <w:rPr>
          <w:rFonts w:ascii="Aptos" w:eastAsia="微软雅黑" w:hAnsi="Aptos"/>
          <w:b/>
          <w:color w:val="1F4E78"/>
          <w:sz w:val="23"/>
          <w:szCs w:val="23"/>
        </w:rPr>
        <w:t xml:space="preserve">1.1 </w:t>
      </w:r>
      <w:r>
        <w:rPr>
          <w:rFonts w:ascii="Aptos" w:eastAsia="微软雅黑" w:hAnsi="Aptos"/>
          <w:b/>
          <w:color w:val="1F4E78"/>
          <w:sz w:val="23"/>
          <w:szCs w:val="23"/>
        </w:rPr>
        <w:t>各策略月度标准化盈亏表</w:t>
      </w:r>
    </w:p>
    <w:tbl>
      <w:tblPr>
        <w:tblW w:w="0" w:type="auto"/>
        <w:tblInd w:w="1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2333"/>
        <w:gridCol w:w="2333"/>
        <w:gridCol w:w="2333"/>
        <w:gridCol w:w="2333"/>
        <w:gridCol w:w="2333"/>
      </w:tblGrid>
      <w:tr w:rsidR="00B97FBD" w14:paraId="70631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3" w:type="dxa"/>
            <w:shd w:val="clear" w:color="auto" w:fill="1F4E78"/>
            <w:vAlign w:val="center"/>
          </w:tcPr>
          <w:p w14:paraId="4F6D884E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月份</w:t>
            </w:r>
          </w:p>
        </w:tc>
        <w:tc>
          <w:tcPr>
            <w:tcW w:w="2333" w:type="dxa"/>
            <w:shd w:val="clear" w:color="auto" w:fill="1F4E78"/>
            <w:vAlign w:val="center"/>
          </w:tcPr>
          <w:p w14:paraId="3812EAAF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Trend</w:t>
            </w:r>
          </w:p>
        </w:tc>
        <w:tc>
          <w:tcPr>
            <w:tcW w:w="2333" w:type="dxa"/>
            <w:shd w:val="clear" w:color="auto" w:fill="1F4E78"/>
            <w:vAlign w:val="center"/>
          </w:tcPr>
          <w:p w14:paraId="48C206F4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Carry</w:t>
            </w:r>
          </w:p>
        </w:tc>
        <w:tc>
          <w:tcPr>
            <w:tcW w:w="2333" w:type="dxa"/>
            <w:shd w:val="clear" w:color="auto" w:fill="1F4E78"/>
            <w:vAlign w:val="center"/>
          </w:tcPr>
          <w:p w14:paraId="56918E23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Reversion</w:t>
            </w:r>
          </w:p>
        </w:tc>
        <w:tc>
          <w:tcPr>
            <w:tcW w:w="2333" w:type="dxa"/>
            <w:shd w:val="clear" w:color="auto" w:fill="1F4E78"/>
            <w:vAlign w:val="center"/>
          </w:tcPr>
          <w:p w14:paraId="2906CA34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Alternative</w:t>
            </w:r>
          </w:p>
        </w:tc>
        <w:tc>
          <w:tcPr>
            <w:tcW w:w="2333" w:type="dxa"/>
            <w:shd w:val="clear" w:color="auto" w:fill="1F4E78"/>
            <w:vAlign w:val="center"/>
          </w:tcPr>
          <w:p w14:paraId="0487FF8A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Portfolio</w:t>
            </w:r>
          </w:p>
        </w:tc>
      </w:tr>
      <w:tr w:rsidR="00B97FBD" w14:paraId="2ED7DE59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vAlign w:val="center"/>
          </w:tcPr>
          <w:p w14:paraId="23B72F3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2026-01</w:t>
            </w:r>
          </w:p>
        </w:tc>
        <w:tc>
          <w:tcPr>
            <w:tcW w:w="2333" w:type="dxa"/>
            <w:vAlign w:val="center"/>
          </w:tcPr>
          <w:p w14:paraId="459A61D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3.36</w:t>
            </w:r>
          </w:p>
        </w:tc>
        <w:tc>
          <w:tcPr>
            <w:tcW w:w="2333" w:type="dxa"/>
            <w:vAlign w:val="center"/>
          </w:tcPr>
          <w:p w14:paraId="4EA926D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1.88</w:t>
            </w:r>
          </w:p>
        </w:tc>
        <w:tc>
          <w:tcPr>
            <w:tcW w:w="2333" w:type="dxa"/>
            <w:vAlign w:val="center"/>
          </w:tcPr>
          <w:p w14:paraId="4A42D6F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2.70</w:t>
            </w:r>
          </w:p>
        </w:tc>
        <w:tc>
          <w:tcPr>
            <w:tcW w:w="2333" w:type="dxa"/>
            <w:vAlign w:val="center"/>
          </w:tcPr>
          <w:p w14:paraId="013EE1E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14.59</w:t>
            </w:r>
          </w:p>
        </w:tc>
        <w:tc>
          <w:tcPr>
            <w:tcW w:w="2333" w:type="dxa"/>
            <w:vAlign w:val="center"/>
          </w:tcPr>
          <w:p w14:paraId="646C6E7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9.02</w:t>
            </w:r>
          </w:p>
        </w:tc>
      </w:tr>
      <w:tr w:rsidR="00B97FBD" w14:paraId="4FE64D02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shd w:val="clear" w:color="auto" w:fill="EAF2F8"/>
            <w:vAlign w:val="center"/>
          </w:tcPr>
          <w:p w14:paraId="2A79C3F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2026-02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1C5FA71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1.46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1C99ADF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0.21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4EB4A93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-2.26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03CB6DF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-2.53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2E46097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-1.25</w:t>
            </w:r>
          </w:p>
        </w:tc>
      </w:tr>
      <w:tr w:rsidR="00B97FBD" w14:paraId="52CD8C9B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vAlign w:val="center"/>
          </w:tcPr>
          <w:p w14:paraId="51252EB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2026-03</w:t>
            </w:r>
          </w:p>
        </w:tc>
        <w:tc>
          <w:tcPr>
            <w:tcW w:w="2333" w:type="dxa"/>
            <w:vAlign w:val="center"/>
          </w:tcPr>
          <w:p w14:paraId="1A7D753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2.12</w:t>
            </w:r>
          </w:p>
        </w:tc>
        <w:tc>
          <w:tcPr>
            <w:tcW w:w="2333" w:type="dxa"/>
            <w:vAlign w:val="center"/>
          </w:tcPr>
          <w:p w14:paraId="5A06F0A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11.14</w:t>
            </w:r>
          </w:p>
        </w:tc>
        <w:tc>
          <w:tcPr>
            <w:tcW w:w="2333" w:type="dxa"/>
            <w:vAlign w:val="center"/>
          </w:tcPr>
          <w:p w14:paraId="574A6A6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-11.09</w:t>
            </w:r>
          </w:p>
        </w:tc>
        <w:tc>
          <w:tcPr>
            <w:tcW w:w="2333" w:type="dxa"/>
            <w:vAlign w:val="center"/>
          </w:tcPr>
          <w:p w14:paraId="5CE05B9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15.41</w:t>
            </w:r>
          </w:p>
        </w:tc>
        <w:tc>
          <w:tcPr>
            <w:tcW w:w="2333" w:type="dxa"/>
            <w:vAlign w:val="center"/>
          </w:tcPr>
          <w:p w14:paraId="2627755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7.03</w:t>
            </w:r>
          </w:p>
        </w:tc>
      </w:tr>
      <w:tr w:rsidR="00B97FBD" w14:paraId="18E1116F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shd w:val="clear" w:color="auto" w:fill="EAF2F8"/>
            <w:vAlign w:val="center"/>
          </w:tcPr>
          <w:p w14:paraId="3297F5C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2026-04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0ABC49C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1.78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74672E8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1.15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35701B8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0.20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28DDC07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0.61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5E2DAA0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1.50</w:t>
            </w:r>
          </w:p>
        </w:tc>
      </w:tr>
      <w:tr w:rsidR="00B97FBD" w14:paraId="2F2D41A3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vAlign w:val="center"/>
          </w:tcPr>
          <w:p w14:paraId="0D6693F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2026-05</w:t>
            </w:r>
          </w:p>
        </w:tc>
        <w:tc>
          <w:tcPr>
            <w:tcW w:w="2333" w:type="dxa"/>
            <w:vAlign w:val="center"/>
          </w:tcPr>
          <w:p w14:paraId="3347068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-3.98</w:t>
            </w:r>
          </w:p>
        </w:tc>
        <w:tc>
          <w:tcPr>
            <w:tcW w:w="2333" w:type="dxa"/>
            <w:vAlign w:val="center"/>
          </w:tcPr>
          <w:p w14:paraId="46D251C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0.60</w:t>
            </w:r>
          </w:p>
        </w:tc>
        <w:tc>
          <w:tcPr>
            <w:tcW w:w="2333" w:type="dxa"/>
            <w:vAlign w:val="center"/>
          </w:tcPr>
          <w:p w14:paraId="0D98B00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0.32</w:t>
            </w:r>
          </w:p>
        </w:tc>
        <w:tc>
          <w:tcPr>
            <w:tcW w:w="2333" w:type="dxa"/>
            <w:vAlign w:val="center"/>
          </w:tcPr>
          <w:p w14:paraId="35A63A9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3.50</w:t>
            </w:r>
          </w:p>
        </w:tc>
        <w:tc>
          <w:tcPr>
            <w:tcW w:w="2333" w:type="dxa"/>
            <w:vAlign w:val="center"/>
          </w:tcPr>
          <w:p w14:paraId="4521725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0.18</w:t>
            </w:r>
          </w:p>
        </w:tc>
      </w:tr>
      <w:tr w:rsidR="00B97FBD" w14:paraId="73592A18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shd w:val="clear" w:color="auto" w:fill="EAF2F8"/>
            <w:vAlign w:val="center"/>
          </w:tcPr>
          <w:p w14:paraId="763BDA9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2026-06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713E8F0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1.74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0802D3A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1.30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6F7E266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-1.26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5593FF8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3.91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29BDD9C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2.28</w:t>
            </w:r>
          </w:p>
        </w:tc>
      </w:tr>
      <w:tr w:rsidR="00B97FBD" w14:paraId="1A86BBB4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vAlign w:val="center"/>
          </w:tcPr>
          <w:p w14:paraId="3EB0C36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2026-07</w:t>
            </w:r>
          </w:p>
        </w:tc>
        <w:tc>
          <w:tcPr>
            <w:tcW w:w="2333" w:type="dxa"/>
            <w:vAlign w:val="center"/>
          </w:tcPr>
          <w:p w14:paraId="1E44CA1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1.50</w:t>
            </w:r>
          </w:p>
        </w:tc>
        <w:tc>
          <w:tcPr>
            <w:tcW w:w="2333" w:type="dxa"/>
            <w:vAlign w:val="center"/>
          </w:tcPr>
          <w:p w14:paraId="5009AA5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-0.93</w:t>
            </w:r>
          </w:p>
        </w:tc>
        <w:tc>
          <w:tcPr>
            <w:tcW w:w="2333" w:type="dxa"/>
            <w:vAlign w:val="center"/>
          </w:tcPr>
          <w:p w14:paraId="1DD9EC6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2.48</w:t>
            </w:r>
          </w:p>
        </w:tc>
        <w:tc>
          <w:tcPr>
            <w:tcW w:w="2333" w:type="dxa"/>
            <w:vAlign w:val="center"/>
          </w:tcPr>
          <w:p w14:paraId="4C5023B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-3.17</w:t>
            </w:r>
          </w:p>
        </w:tc>
        <w:tc>
          <w:tcPr>
            <w:tcW w:w="2333" w:type="dxa"/>
            <w:vAlign w:val="center"/>
          </w:tcPr>
          <w:p w14:paraId="3976B83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-0.05</w:t>
            </w:r>
          </w:p>
        </w:tc>
      </w:tr>
      <w:tr w:rsidR="00B97FBD" w14:paraId="388BA366" w14:textId="77777777">
        <w:tblPrEx>
          <w:tblCellMar>
            <w:top w:w="0" w:type="dxa"/>
            <w:bottom w:w="0" w:type="dxa"/>
          </w:tblCellMar>
        </w:tblPrEx>
        <w:tc>
          <w:tcPr>
            <w:tcW w:w="2333" w:type="dxa"/>
            <w:shd w:val="clear" w:color="auto" w:fill="EAF2F8"/>
            <w:vAlign w:val="center"/>
          </w:tcPr>
          <w:p w14:paraId="3DDB9D1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2026-08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2D25634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-3.92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0E5D726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0.86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31FBBA2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1.24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212256D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-1.73</w:t>
            </w:r>
          </w:p>
        </w:tc>
        <w:tc>
          <w:tcPr>
            <w:tcW w:w="2333" w:type="dxa"/>
            <w:shd w:val="clear" w:color="auto" w:fill="EAF2F8"/>
            <w:vAlign w:val="center"/>
          </w:tcPr>
          <w:p w14:paraId="3D6A780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-1.42</w:t>
            </w:r>
          </w:p>
        </w:tc>
      </w:tr>
    </w:tbl>
    <w:p w14:paraId="60084763" w14:textId="77777777" w:rsidR="00B97FBD" w:rsidRDefault="00B97FBD">
      <w:pPr>
        <w:spacing w:after="50"/>
        <w:rPr>
          <w:rFonts w:hint="eastAsia"/>
        </w:rPr>
      </w:pPr>
    </w:p>
    <w:p w14:paraId="38A777CF" w14:textId="77777777" w:rsidR="00B97FBD" w:rsidRDefault="00000000">
      <w:pPr>
        <w:pStyle w:val="3"/>
        <w:spacing w:before="170" w:after="110"/>
        <w:rPr>
          <w:rFonts w:hint="eastAsia"/>
        </w:rPr>
      </w:pPr>
      <w:r>
        <w:rPr>
          <w:rFonts w:ascii="Aptos" w:eastAsia="微软雅黑" w:hAnsi="Aptos"/>
          <w:b/>
          <w:color w:val="1F4E78"/>
          <w:sz w:val="23"/>
          <w:szCs w:val="23"/>
        </w:rPr>
        <w:t xml:space="preserve">1.2 </w:t>
      </w:r>
      <w:r>
        <w:rPr>
          <w:rFonts w:ascii="Aptos" w:eastAsia="微软雅黑" w:hAnsi="Aptos"/>
          <w:b/>
          <w:color w:val="1F4E78"/>
          <w:sz w:val="23"/>
          <w:szCs w:val="23"/>
        </w:rPr>
        <w:t>年内表现摘要</w:t>
      </w:r>
    </w:p>
    <w:tbl>
      <w:tblPr>
        <w:tblW w:w="0" w:type="auto"/>
        <w:tblInd w:w="1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3500"/>
        <w:gridCol w:w="3500"/>
      </w:tblGrid>
      <w:tr w:rsidR="00B97FBD" w14:paraId="44A17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4E78"/>
            <w:vAlign w:val="center"/>
          </w:tcPr>
          <w:p w14:paraId="0BAC07AF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策略</w:t>
            </w:r>
          </w:p>
        </w:tc>
        <w:tc>
          <w:tcPr>
            <w:tcW w:w="3500" w:type="dxa"/>
            <w:shd w:val="clear" w:color="auto" w:fill="1F4E78"/>
            <w:vAlign w:val="center"/>
          </w:tcPr>
          <w:p w14:paraId="61AF82FD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年内累计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PnL</w:t>
            </w:r>
          </w:p>
        </w:tc>
        <w:tc>
          <w:tcPr>
            <w:tcW w:w="3500" w:type="dxa"/>
            <w:shd w:val="clear" w:color="auto" w:fill="1F4E78"/>
            <w:vAlign w:val="center"/>
          </w:tcPr>
          <w:p w14:paraId="25410984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年化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Sharpe</w:t>
            </w:r>
          </w:p>
        </w:tc>
        <w:tc>
          <w:tcPr>
            <w:tcW w:w="3500" w:type="dxa"/>
            <w:shd w:val="clear" w:color="auto" w:fill="1F4E78"/>
            <w:vAlign w:val="center"/>
          </w:tcPr>
          <w:p w14:paraId="4B16CC1E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年内最大回撤</w:t>
            </w:r>
          </w:p>
        </w:tc>
      </w:tr>
      <w:tr w:rsidR="00B97FBD" w14:paraId="22A2C3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01BD603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Trend</w:t>
            </w:r>
          </w:p>
        </w:tc>
        <w:tc>
          <w:tcPr>
            <w:tcW w:w="3500" w:type="dxa"/>
            <w:vAlign w:val="center"/>
          </w:tcPr>
          <w:p w14:paraId="591FCD6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4.06</w:t>
            </w:r>
          </w:p>
        </w:tc>
        <w:tc>
          <w:tcPr>
            <w:tcW w:w="3500" w:type="dxa"/>
            <w:vAlign w:val="center"/>
          </w:tcPr>
          <w:p w14:paraId="3416E81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0.48</w:t>
            </w:r>
          </w:p>
        </w:tc>
        <w:tc>
          <w:tcPr>
            <w:tcW w:w="3500" w:type="dxa"/>
            <w:vAlign w:val="center"/>
          </w:tcPr>
          <w:p w14:paraId="6DD1BF3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-7.71</w:t>
            </w:r>
          </w:p>
        </w:tc>
      </w:tr>
      <w:tr w:rsidR="00B97FBD" w14:paraId="6F68EA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AF2F8"/>
            <w:vAlign w:val="center"/>
          </w:tcPr>
          <w:p w14:paraId="592E44D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Carry</w:t>
            </w:r>
          </w:p>
        </w:tc>
        <w:tc>
          <w:tcPr>
            <w:tcW w:w="3500" w:type="dxa"/>
            <w:shd w:val="clear" w:color="auto" w:fill="EAF2F8"/>
            <w:vAlign w:val="center"/>
          </w:tcPr>
          <w:p w14:paraId="5F14D05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16.21</w:t>
            </w:r>
          </w:p>
        </w:tc>
        <w:tc>
          <w:tcPr>
            <w:tcW w:w="3500" w:type="dxa"/>
            <w:shd w:val="clear" w:color="auto" w:fill="EAF2F8"/>
            <w:vAlign w:val="center"/>
          </w:tcPr>
          <w:p w14:paraId="3C887AD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1.97</w:t>
            </w:r>
          </w:p>
        </w:tc>
        <w:tc>
          <w:tcPr>
            <w:tcW w:w="3500" w:type="dxa"/>
            <w:shd w:val="clear" w:color="auto" w:fill="EAF2F8"/>
            <w:vAlign w:val="center"/>
          </w:tcPr>
          <w:p w14:paraId="5ADD1B3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-5.33</w:t>
            </w:r>
          </w:p>
        </w:tc>
      </w:tr>
      <w:tr w:rsidR="00B97FBD" w14:paraId="604435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26EC0C0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Reversion</w:t>
            </w:r>
          </w:p>
        </w:tc>
        <w:tc>
          <w:tcPr>
            <w:tcW w:w="3500" w:type="dxa"/>
            <w:vAlign w:val="center"/>
          </w:tcPr>
          <w:p w14:paraId="48970A9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-7.66</w:t>
            </w:r>
          </w:p>
        </w:tc>
        <w:tc>
          <w:tcPr>
            <w:tcW w:w="3500" w:type="dxa"/>
            <w:vAlign w:val="center"/>
          </w:tcPr>
          <w:p w14:paraId="657E21B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-0.68</w:t>
            </w:r>
          </w:p>
        </w:tc>
        <w:tc>
          <w:tcPr>
            <w:tcW w:w="3500" w:type="dxa"/>
            <w:vAlign w:val="center"/>
          </w:tcPr>
          <w:p w14:paraId="32E041A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-19.75</w:t>
            </w:r>
          </w:p>
        </w:tc>
      </w:tr>
      <w:tr w:rsidR="00B97FBD" w14:paraId="183DB7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AF2F8"/>
            <w:vAlign w:val="center"/>
          </w:tcPr>
          <w:p w14:paraId="33BDD8A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Alternative</w:t>
            </w:r>
          </w:p>
        </w:tc>
        <w:tc>
          <w:tcPr>
            <w:tcW w:w="3500" w:type="dxa"/>
            <w:shd w:val="clear" w:color="auto" w:fill="EAF2F8"/>
            <w:vAlign w:val="center"/>
          </w:tcPr>
          <w:p w14:paraId="152DB7B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30.59</w:t>
            </w:r>
          </w:p>
        </w:tc>
        <w:tc>
          <w:tcPr>
            <w:tcW w:w="3500" w:type="dxa"/>
            <w:shd w:val="clear" w:color="auto" w:fill="EAF2F8"/>
            <w:vAlign w:val="center"/>
          </w:tcPr>
          <w:p w14:paraId="15EEC08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1.89</w:t>
            </w:r>
          </w:p>
        </w:tc>
        <w:tc>
          <w:tcPr>
            <w:tcW w:w="3500" w:type="dxa"/>
            <w:shd w:val="clear" w:color="auto" w:fill="EAF2F8"/>
            <w:vAlign w:val="center"/>
          </w:tcPr>
          <w:p w14:paraId="035CBFF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-11.94</w:t>
            </w:r>
          </w:p>
        </w:tc>
      </w:tr>
      <w:tr w:rsidR="00B97FBD" w14:paraId="7AA807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vAlign w:val="center"/>
          </w:tcPr>
          <w:p w14:paraId="12C324D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Portfolio</w:t>
            </w:r>
          </w:p>
        </w:tc>
        <w:tc>
          <w:tcPr>
            <w:tcW w:w="3500" w:type="dxa"/>
            <w:vAlign w:val="center"/>
          </w:tcPr>
          <w:p w14:paraId="63688B7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17.29</w:t>
            </w:r>
          </w:p>
        </w:tc>
        <w:tc>
          <w:tcPr>
            <w:tcW w:w="3500" w:type="dxa"/>
            <w:vAlign w:val="center"/>
          </w:tcPr>
          <w:p w14:paraId="3CBA514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2.01</w:t>
            </w:r>
          </w:p>
        </w:tc>
        <w:tc>
          <w:tcPr>
            <w:tcW w:w="3500" w:type="dxa"/>
            <w:vAlign w:val="center"/>
          </w:tcPr>
          <w:p w14:paraId="52CC175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-6.21</w:t>
            </w:r>
          </w:p>
        </w:tc>
      </w:tr>
    </w:tbl>
    <w:p w14:paraId="1B29EC67" w14:textId="77777777" w:rsidR="00B97FBD" w:rsidRDefault="00B97FBD">
      <w:pPr>
        <w:spacing w:after="50"/>
        <w:rPr>
          <w:rFonts w:hint="eastAsia"/>
        </w:rPr>
      </w:pPr>
    </w:p>
    <w:p w14:paraId="325EE50A" w14:textId="77777777" w:rsidR="00B97FBD" w:rsidRDefault="00000000">
      <w:pPr>
        <w:pStyle w:val="2"/>
        <w:spacing w:before="170" w:after="110"/>
        <w:rPr>
          <w:rFonts w:hint="eastAsia"/>
        </w:rPr>
      </w:pPr>
      <w:r>
        <w:rPr>
          <w:rFonts w:ascii="Aptos" w:eastAsia="微软雅黑" w:hAnsi="Aptos"/>
          <w:b/>
          <w:color w:val="1F4E78"/>
          <w:sz w:val="26"/>
          <w:szCs w:val="26"/>
        </w:rPr>
        <w:t xml:space="preserve">1.3 </w:t>
      </w:r>
      <w:r>
        <w:rPr>
          <w:rFonts w:ascii="Aptos" w:eastAsia="微软雅黑" w:hAnsi="Aptos"/>
          <w:b/>
          <w:color w:val="1F4E78"/>
          <w:sz w:val="26"/>
          <w:szCs w:val="26"/>
        </w:rPr>
        <w:t>月度节奏与行情切换</w:t>
      </w:r>
    </w:p>
    <w:tbl>
      <w:tblPr>
        <w:tblW w:w="0" w:type="auto"/>
        <w:tblInd w:w="1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500"/>
        <w:gridCol w:w="1500"/>
        <w:gridCol w:w="1500"/>
        <w:gridCol w:w="1500"/>
        <w:gridCol w:w="1500"/>
        <w:gridCol w:w="5650"/>
      </w:tblGrid>
      <w:tr w:rsidR="00B97FBD" w14:paraId="7D296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1F4E78"/>
            <w:vAlign w:val="center"/>
          </w:tcPr>
          <w:p w14:paraId="7D857E41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月份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05498AB7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Agriculture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715B2EC6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Energy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521E46C8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Ferrous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6E8E5360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NonFerrous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65217937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Precious</w:t>
            </w:r>
          </w:p>
        </w:tc>
        <w:tc>
          <w:tcPr>
            <w:tcW w:w="5650" w:type="dxa"/>
            <w:shd w:val="clear" w:color="auto" w:fill="1F4E78"/>
            <w:vAlign w:val="center"/>
          </w:tcPr>
          <w:p w14:paraId="5034302F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市场特征</w:t>
            </w:r>
          </w:p>
        </w:tc>
      </w:tr>
      <w:tr w:rsidR="00B97FBD" w14:paraId="474D580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38AAE42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500" w:type="dxa"/>
            <w:vAlign w:val="center"/>
          </w:tcPr>
          <w:p w14:paraId="0EFF6B7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+1.72%</w:t>
            </w:r>
          </w:p>
        </w:tc>
        <w:tc>
          <w:tcPr>
            <w:tcW w:w="1500" w:type="dxa"/>
            <w:vAlign w:val="center"/>
          </w:tcPr>
          <w:p w14:paraId="77CB3A2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+5.13%</w:t>
            </w:r>
          </w:p>
        </w:tc>
        <w:tc>
          <w:tcPr>
            <w:tcW w:w="1500" w:type="dxa"/>
            <w:vAlign w:val="center"/>
          </w:tcPr>
          <w:p w14:paraId="4A83D12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+1.52%</w:t>
            </w:r>
          </w:p>
        </w:tc>
        <w:tc>
          <w:tcPr>
            <w:tcW w:w="1500" w:type="dxa"/>
            <w:vAlign w:val="center"/>
          </w:tcPr>
          <w:p w14:paraId="3DFB81E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+7.02%</w:t>
            </w:r>
          </w:p>
        </w:tc>
        <w:tc>
          <w:tcPr>
            <w:tcW w:w="1500" w:type="dxa"/>
            <w:vAlign w:val="center"/>
          </w:tcPr>
          <w:p w14:paraId="74B4939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+39.77%</w:t>
            </w:r>
          </w:p>
        </w:tc>
        <w:tc>
          <w:tcPr>
            <w:tcW w:w="5650" w:type="dxa"/>
            <w:vAlign w:val="center"/>
          </w:tcPr>
          <w:p w14:paraId="4E8E61D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开年偏强，贵金属与部分能化共振</w:t>
            </w:r>
          </w:p>
        </w:tc>
      </w:tr>
      <w:tr w:rsidR="00B97FBD" w14:paraId="640CBE3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EAF2F8"/>
            <w:vAlign w:val="center"/>
          </w:tcPr>
          <w:p w14:paraId="7D37620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50B8A40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+1.37%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567A43C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-0.90%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2B8777A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-1.96%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0705D7E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+0.35%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0639508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-8.77%</w:t>
            </w:r>
          </w:p>
        </w:tc>
        <w:tc>
          <w:tcPr>
            <w:tcW w:w="5650" w:type="dxa"/>
            <w:shd w:val="clear" w:color="auto" w:fill="EAF2F8"/>
            <w:vAlign w:val="center"/>
          </w:tcPr>
          <w:p w14:paraId="5FD4069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从单边转向震荡</w:t>
            </w:r>
          </w:p>
        </w:tc>
      </w:tr>
      <w:tr w:rsidR="00B97FBD" w14:paraId="5409063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57EB3AF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3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500" w:type="dxa"/>
            <w:vAlign w:val="center"/>
          </w:tcPr>
          <w:p w14:paraId="764326B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+1.46%</w:t>
            </w:r>
          </w:p>
        </w:tc>
        <w:tc>
          <w:tcPr>
            <w:tcW w:w="1500" w:type="dxa"/>
            <w:vAlign w:val="center"/>
          </w:tcPr>
          <w:p w14:paraId="09324CA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+28.12%</w:t>
            </w:r>
          </w:p>
        </w:tc>
        <w:tc>
          <w:tcPr>
            <w:tcW w:w="1500" w:type="dxa"/>
            <w:vAlign w:val="center"/>
          </w:tcPr>
          <w:p w14:paraId="69B2448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+3.88%</w:t>
            </w:r>
          </w:p>
        </w:tc>
        <w:tc>
          <w:tcPr>
            <w:tcW w:w="1500" w:type="dxa"/>
            <w:vAlign w:val="center"/>
          </w:tcPr>
          <w:p w14:paraId="76FAF36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-3.56%</w:t>
            </w:r>
          </w:p>
        </w:tc>
        <w:tc>
          <w:tcPr>
            <w:tcW w:w="1500" w:type="dxa"/>
            <w:vAlign w:val="center"/>
          </w:tcPr>
          <w:p w14:paraId="1458E83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-15.73%</w:t>
            </w:r>
          </w:p>
        </w:tc>
        <w:tc>
          <w:tcPr>
            <w:tcW w:w="5650" w:type="dxa"/>
            <w:vAlign w:val="center"/>
          </w:tcPr>
          <w:p w14:paraId="31D1ADE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能化主升浪，是全年最强趋势月</w:t>
            </w:r>
          </w:p>
        </w:tc>
      </w:tr>
      <w:tr w:rsidR="00B97FBD" w14:paraId="15379B6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EAF2F8"/>
            <w:vAlign w:val="center"/>
          </w:tcPr>
          <w:p w14:paraId="793FD4D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4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20D49DF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+1.40%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17BDA5C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-0.59%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618DF6A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+0.97%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1E3CF87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+1.48%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241551E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-0.08%</w:t>
            </w:r>
          </w:p>
        </w:tc>
        <w:tc>
          <w:tcPr>
            <w:tcW w:w="5650" w:type="dxa"/>
            <w:shd w:val="clear" w:color="auto" w:fill="EAF2F8"/>
            <w:vAlign w:val="center"/>
          </w:tcPr>
          <w:p w14:paraId="60F43F9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单边结束，进入轮动</w:t>
            </w:r>
          </w:p>
        </w:tc>
      </w:tr>
      <w:tr w:rsidR="00B97FBD" w14:paraId="3818A7B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1151B6A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lastRenderedPageBreak/>
              <w:t>5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500" w:type="dxa"/>
            <w:vAlign w:val="center"/>
          </w:tcPr>
          <w:p w14:paraId="06D9F92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-2.20%</w:t>
            </w:r>
          </w:p>
        </w:tc>
        <w:tc>
          <w:tcPr>
            <w:tcW w:w="1500" w:type="dxa"/>
            <w:vAlign w:val="center"/>
          </w:tcPr>
          <w:p w14:paraId="7337C24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-6.70%</w:t>
            </w:r>
          </w:p>
        </w:tc>
        <w:tc>
          <w:tcPr>
            <w:tcW w:w="1500" w:type="dxa"/>
            <w:vAlign w:val="center"/>
          </w:tcPr>
          <w:p w14:paraId="3D25F73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-0.73%</w:t>
            </w:r>
          </w:p>
        </w:tc>
        <w:tc>
          <w:tcPr>
            <w:tcW w:w="1500" w:type="dxa"/>
            <w:vAlign w:val="center"/>
          </w:tcPr>
          <w:p w14:paraId="7489BA8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+1.76%</w:t>
            </w:r>
          </w:p>
        </w:tc>
        <w:tc>
          <w:tcPr>
            <w:tcW w:w="1500" w:type="dxa"/>
            <w:vAlign w:val="center"/>
          </w:tcPr>
          <w:p w14:paraId="62C63DD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-0.78%</w:t>
            </w:r>
          </w:p>
        </w:tc>
        <w:tc>
          <w:tcPr>
            <w:tcW w:w="5650" w:type="dxa"/>
            <w:vAlign w:val="center"/>
          </w:tcPr>
          <w:p w14:paraId="6A40195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能化高位回撤，有色相对抗跌</w:t>
            </w:r>
          </w:p>
        </w:tc>
      </w:tr>
      <w:tr w:rsidR="00B97FBD" w14:paraId="7CCF473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EAF2F8"/>
            <w:vAlign w:val="center"/>
          </w:tcPr>
          <w:p w14:paraId="24E82A5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6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79AE4C2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-1.11%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2EABBB7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-11.68%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0D42F17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-1.53%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5C35142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-4.99%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7B53EEE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-16.27%</w:t>
            </w:r>
          </w:p>
        </w:tc>
        <w:tc>
          <w:tcPr>
            <w:tcW w:w="5650" w:type="dxa"/>
            <w:shd w:val="clear" w:color="auto" w:fill="EAF2F8"/>
            <w:vAlign w:val="center"/>
          </w:tcPr>
          <w:p w14:paraId="5E018EC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全板块回撤加速，主线集中兑现</w:t>
            </w:r>
          </w:p>
        </w:tc>
      </w:tr>
      <w:tr w:rsidR="00B97FBD" w14:paraId="56DB765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36EC5B3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7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500" w:type="dxa"/>
            <w:vAlign w:val="center"/>
          </w:tcPr>
          <w:p w14:paraId="2474B44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-1.57%</w:t>
            </w:r>
          </w:p>
        </w:tc>
        <w:tc>
          <w:tcPr>
            <w:tcW w:w="1500" w:type="dxa"/>
            <w:vAlign w:val="center"/>
          </w:tcPr>
          <w:p w14:paraId="2C3523C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+8.12%</w:t>
            </w:r>
          </w:p>
        </w:tc>
        <w:tc>
          <w:tcPr>
            <w:tcW w:w="1500" w:type="dxa"/>
            <w:vAlign w:val="center"/>
          </w:tcPr>
          <w:p w14:paraId="0DAB035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-3.41%</w:t>
            </w:r>
          </w:p>
        </w:tc>
        <w:tc>
          <w:tcPr>
            <w:tcW w:w="1500" w:type="dxa"/>
            <w:vAlign w:val="center"/>
          </w:tcPr>
          <w:p w14:paraId="74AB8C8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+1.81%</w:t>
            </w:r>
          </w:p>
        </w:tc>
        <w:tc>
          <w:tcPr>
            <w:tcW w:w="1500" w:type="dxa"/>
            <w:vAlign w:val="center"/>
          </w:tcPr>
          <w:p w14:paraId="743AD6C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-0.21%</w:t>
            </w:r>
          </w:p>
        </w:tc>
        <w:tc>
          <w:tcPr>
            <w:tcW w:w="5650" w:type="dxa"/>
            <w:vAlign w:val="center"/>
          </w:tcPr>
          <w:p w14:paraId="104F8CD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能化强势反弹并主导行情，农业与黑色转弱，板块分化扩大</w:t>
            </w:r>
          </w:p>
        </w:tc>
      </w:tr>
      <w:tr w:rsidR="00B97FBD" w14:paraId="0564619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EAF2F8"/>
            <w:vAlign w:val="center"/>
          </w:tcPr>
          <w:p w14:paraId="3C56C33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8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678BDAE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+0.97%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7B59225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+1.33%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258812D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+3.48%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70479FD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+1.97%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06CBDDD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+10.57%</w:t>
            </w:r>
          </w:p>
        </w:tc>
        <w:tc>
          <w:tcPr>
            <w:tcW w:w="5650" w:type="dxa"/>
            <w:shd w:val="clear" w:color="auto" w:fill="EAF2F8"/>
            <w:vAlign w:val="center"/>
          </w:tcPr>
          <w:p w14:paraId="560B2A5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贵金属继续走强，黑色、有色和农业同步修复；能化止跌回升</w:t>
            </w:r>
          </w:p>
        </w:tc>
      </w:tr>
    </w:tbl>
    <w:p w14:paraId="7701903C" w14:textId="77777777" w:rsidR="00B97FBD" w:rsidRDefault="00B97FBD">
      <w:pPr>
        <w:spacing w:after="50"/>
        <w:rPr>
          <w:rFonts w:hint="eastAsia"/>
        </w:rPr>
      </w:pPr>
    </w:p>
    <w:p w14:paraId="12074396" w14:textId="77777777" w:rsidR="00B97FBD" w:rsidRDefault="00000000">
      <w:pPr>
        <w:pStyle w:val="2"/>
        <w:spacing w:before="170" w:after="110"/>
        <w:rPr>
          <w:rFonts w:hint="eastAsia"/>
        </w:rPr>
      </w:pPr>
      <w:r>
        <w:rPr>
          <w:rFonts w:ascii="Aptos" w:eastAsia="微软雅黑" w:hAnsi="Aptos"/>
          <w:b/>
          <w:color w:val="1F4E78"/>
          <w:sz w:val="26"/>
          <w:szCs w:val="26"/>
        </w:rPr>
        <w:t xml:space="preserve">1.4 </w:t>
      </w:r>
      <w:r>
        <w:rPr>
          <w:rFonts w:ascii="Aptos" w:eastAsia="微软雅黑" w:hAnsi="Aptos"/>
          <w:b/>
          <w:color w:val="1F4E78"/>
          <w:sz w:val="26"/>
          <w:szCs w:val="26"/>
        </w:rPr>
        <w:t>每月主要赚钱品种</w:t>
      </w:r>
    </w:p>
    <w:tbl>
      <w:tblPr>
        <w:tblW w:w="0" w:type="auto"/>
        <w:tblInd w:w="1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2900"/>
      </w:tblGrid>
      <w:tr w:rsidR="00B97FBD" w14:paraId="64D23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8"/>
            <w:vAlign w:val="center"/>
          </w:tcPr>
          <w:p w14:paraId="3BB899A6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月份</w:t>
            </w:r>
          </w:p>
        </w:tc>
        <w:tc>
          <w:tcPr>
            <w:tcW w:w="12900" w:type="dxa"/>
            <w:shd w:val="clear" w:color="auto" w:fill="1F4E78"/>
            <w:vAlign w:val="center"/>
          </w:tcPr>
          <w:p w14:paraId="33EB4C13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主要赚钱品种</w:t>
            </w:r>
          </w:p>
        </w:tc>
      </w:tr>
      <w:tr w:rsidR="00B97FBD" w14:paraId="0FA550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F580C6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2900" w:type="dxa"/>
            <w:vAlign w:val="center"/>
          </w:tcPr>
          <w:p w14:paraId="1FE0D70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 xml:space="preserve">AG.SHF </w:t>
            </w:r>
            <w:r>
              <w:rPr>
                <w:rFonts w:ascii="Aptos" w:eastAsia="微软雅黑" w:hAnsi="Aptos"/>
                <w:sz w:val="17"/>
                <w:szCs w:val="17"/>
              </w:rPr>
              <w:t>白银（</w:t>
            </w:r>
            <w:r>
              <w:rPr>
                <w:rFonts w:ascii="Aptos" w:eastAsia="微软雅黑" w:hAnsi="Aptos"/>
                <w:sz w:val="17"/>
                <w:szCs w:val="17"/>
              </w:rPr>
              <w:t>Precious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+2.01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AU.SHF </w:t>
            </w:r>
            <w:r>
              <w:rPr>
                <w:rFonts w:ascii="Aptos" w:eastAsia="微软雅黑" w:hAnsi="Aptos"/>
                <w:sz w:val="17"/>
                <w:szCs w:val="17"/>
              </w:rPr>
              <w:t>黄金（</w:t>
            </w:r>
            <w:r>
              <w:rPr>
                <w:rFonts w:ascii="Aptos" w:eastAsia="微软雅黑" w:hAnsi="Aptos"/>
                <w:sz w:val="17"/>
                <w:szCs w:val="17"/>
              </w:rPr>
              <w:t>Precious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+1.61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SS.SHF </w:t>
            </w:r>
            <w:r>
              <w:rPr>
                <w:rFonts w:ascii="Aptos" w:eastAsia="微软雅黑" w:hAnsi="Aptos"/>
                <w:sz w:val="17"/>
                <w:szCs w:val="17"/>
              </w:rPr>
              <w:t>不锈钢（</w:t>
            </w:r>
            <w:r>
              <w:rPr>
                <w:rFonts w:ascii="Aptos" w:eastAsia="微软雅黑" w:hAnsi="Aptos"/>
                <w:sz w:val="17"/>
                <w:szCs w:val="17"/>
              </w:rPr>
              <w:t>Ferrous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+1.49</w:t>
            </w:r>
          </w:p>
        </w:tc>
      </w:tr>
      <w:tr w:rsidR="00B97FBD" w14:paraId="36F3B4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2F8"/>
            <w:vAlign w:val="center"/>
          </w:tcPr>
          <w:p w14:paraId="541B8EF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2900" w:type="dxa"/>
            <w:shd w:val="clear" w:color="auto" w:fill="EAF2F8"/>
            <w:vAlign w:val="center"/>
          </w:tcPr>
          <w:p w14:paraId="4048766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 xml:space="preserve">UR.ZCE </w:t>
            </w:r>
            <w:r>
              <w:rPr>
                <w:rFonts w:ascii="Aptos" w:eastAsia="微软雅黑" w:hAnsi="Aptos"/>
                <w:sz w:val="17"/>
                <w:szCs w:val="17"/>
              </w:rPr>
              <w:t>尿素（</w:t>
            </w:r>
            <w:r>
              <w:rPr>
                <w:rFonts w:ascii="Aptos" w:eastAsia="微软雅黑" w:hAnsi="Aptos"/>
                <w:sz w:val="17"/>
                <w:szCs w:val="17"/>
              </w:rPr>
              <w:t>Agriculture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+0.53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C.DCE </w:t>
            </w:r>
            <w:r>
              <w:rPr>
                <w:rFonts w:ascii="Aptos" w:eastAsia="微软雅黑" w:hAnsi="Aptos"/>
                <w:sz w:val="17"/>
                <w:szCs w:val="17"/>
              </w:rPr>
              <w:t>玉米（</w:t>
            </w:r>
            <w:r>
              <w:rPr>
                <w:rFonts w:ascii="Aptos" w:eastAsia="微软雅黑" w:hAnsi="Aptos"/>
                <w:sz w:val="17"/>
                <w:szCs w:val="17"/>
              </w:rPr>
              <w:t>Agriculture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+0.51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CF.ZCE </w:t>
            </w:r>
            <w:r>
              <w:rPr>
                <w:rFonts w:ascii="Aptos" w:eastAsia="微软雅黑" w:hAnsi="Aptos"/>
                <w:sz w:val="17"/>
                <w:szCs w:val="17"/>
              </w:rPr>
              <w:t>棉花（</w:t>
            </w:r>
            <w:r>
              <w:rPr>
                <w:rFonts w:ascii="Aptos" w:eastAsia="微软雅黑" w:hAnsi="Aptos"/>
                <w:sz w:val="17"/>
                <w:szCs w:val="17"/>
              </w:rPr>
              <w:t>Agriculture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+0.44</w:t>
            </w:r>
          </w:p>
        </w:tc>
      </w:tr>
      <w:tr w:rsidR="00B97FBD" w14:paraId="291A5E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3E6BCC5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3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2900" w:type="dxa"/>
            <w:vAlign w:val="center"/>
          </w:tcPr>
          <w:p w14:paraId="488B752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 xml:space="preserve">LH.DCE </w:t>
            </w:r>
            <w:r>
              <w:rPr>
                <w:rFonts w:ascii="Aptos" w:eastAsia="微软雅黑" w:hAnsi="Aptos"/>
                <w:sz w:val="17"/>
                <w:szCs w:val="17"/>
              </w:rPr>
              <w:t>生猪（</w:t>
            </w:r>
            <w:r>
              <w:rPr>
                <w:rFonts w:ascii="Aptos" w:eastAsia="微软雅黑" w:hAnsi="Aptos"/>
                <w:sz w:val="17"/>
                <w:szCs w:val="17"/>
              </w:rPr>
              <w:t>Agriculture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+3.13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>PL.ZCE PET</w:t>
            </w:r>
            <w:r>
              <w:rPr>
                <w:rFonts w:ascii="Aptos" w:eastAsia="微软雅黑" w:hAnsi="Aptos"/>
                <w:sz w:val="17"/>
                <w:szCs w:val="17"/>
              </w:rPr>
              <w:t>瓶片（</w:t>
            </w:r>
            <w:r>
              <w:rPr>
                <w:rFonts w:ascii="Aptos" w:eastAsia="微软雅黑" w:hAnsi="Aptos"/>
                <w:sz w:val="17"/>
                <w:szCs w:val="17"/>
              </w:rPr>
              <w:t>Energy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+1.49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SM.ZCE </w:t>
            </w:r>
            <w:r>
              <w:rPr>
                <w:rFonts w:ascii="Aptos" w:eastAsia="微软雅黑" w:hAnsi="Aptos"/>
                <w:sz w:val="17"/>
                <w:szCs w:val="17"/>
              </w:rPr>
              <w:t>锰硅（</w:t>
            </w:r>
            <w:r>
              <w:rPr>
                <w:rFonts w:ascii="Aptos" w:eastAsia="微软雅黑" w:hAnsi="Aptos"/>
                <w:sz w:val="17"/>
                <w:szCs w:val="17"/>
              </w:rPr>
              <w:t>Ferrous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+0.94</w:t>
            </w:r>
          </w:p>
        </w:tc>
      </w:tr>
      <w:tr w:rsidR="00B97FBD" w14:paraId="4ADF61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2F8"/>
            <w:vAlign w:val="center"/>
          </w:tcPr>
          <w:p w14:paraId="73B8199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4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2900" w:type="dxa"/>
            <w:shd w:val="clear" w:color="auto" w:fill="EAF2F8"/>
            <w:vAlign w:val="center"/>
          </w:tcPr>
          <w:p w14:paraId="78BB775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 xml:space="preserve">HC.SHF </w:t>
            </w:r>
            <w:r>
              <w:rPr>
                <w:rFonts w:ascii="Aptos" w:eastAsia="微软雅黑" w:hAnsi="Aptos"/>
                <w:sz w:val="17"/>
                <w:szCs w:val="17"/>
              </w:rPr>
              <w:t>热轧卷板（</w:t>
            </w:r>
            <w:r>
              <w:rPr>
                <w:rFonts w:ascii="Aptos" w:eastAsia="微软雅黑" w:hAnsi="Aptos"/>
                <w:sz w:val="17"/>
                <w:szCs w:val="17"/>
              </w:rPr>
              <w:t>Ferrous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+0.95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RB.SHF </w:t>
            </w:r>
            <w:r>
              <w:rPr>
                <w:rFonts w:ascii="Aptos" w:eastAsia="微软雅黑" w:hAnsi="Aptos"/>
                <w:sz w:val="17"/>
                <w:szCs w:val="17"/>
              </w:rPr>
              <w:t>螺纹钢（</w:t>
            </w:r>
            <w:r>
              <w:rPr>
                <w:rFonts w:ascii="Aptos" w:eastAsia="微软雅黑" w:hAnsi="Aptos"/>
                <w:sz w:val="17"/>
                <w:szCs w:val="17"/>
              </w:rPr>
              <w:t>Ferrous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+0.58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SF.ZCE </w:t>
            </w:r>
            <w:r>
              <w:rPr>
                <w:rFonts w:ascii="Aptos" w:eastAsia="微软雅黑" w:hAnsi="Aptos"/>
                <w:sz w:val="17"/>
                <w:szCs w:val="17"/>
              </w:rPr>
              <w:t>硅铁（</w:t>
            </w:r>
            <w:r>
              <w:rPr>
                <w:rFonts w:ascii="Aptos" w:eastAsia="微软雅黑" w:hAnsi="Aptos"/>
                <w:sz w:val="17"/>
                <w:szCs w:val="17"/>
              </w:rPr>
              <w:t>Ferrous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+0.41</w:t>
            </w:r>
          </w:p>
        </w:tc>
      </w:tr>
      <w:tr w:rsidR="00B97FBD" w14:paraId="3FF038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6AD9F8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5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2900" w:type="dxa"/>
            <w:vAlign w:val="center"/>
          </w:tcPr>
          <w:p w14:paraId="7DCD16C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 xml:space="preserve">LH.DCE </w:t>
            </w:r>
            <w:r>
              <w:rPr>
                <w:rFonts w:ascii="Aptos" w:eastAsia="微软雅黑" w:hAnsi="Aptos"/>
                <w:sz w:val="17"/>
                <w:szCs w:val="17"/>
              </w:rPr>
              <w:t>生猪（</w:t>
            </w:r>
            <w:r>
              <w:rPr>
                <w:rFonts w:ascii="Aptos" w:eastAsia="微软雅黑" w:hAnsi="Aptos"/>
                <w:sz w:val="17"/>
                <w:szCs w:val="17"/>
              </w:rPr>
              <w:t>Agriculture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+0.71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JD.DCE </w:t>
            </w:r>
            <w:r>
              <w:rPr>
                <w:rFonts w:ascii="Aptos" w:eastAsia="微软雅黑" w:hAnsi="Aptos"/>
                <w:sz w:val="17"/>
                <w:szCs w:val="17"/>
              </w:rPr>
              <w:t>鸡蛋（</w:t>
            </w:r>
            <w:r>
              <w:rPr>
                <w:rFonts w:ascii="Aptos" w:eastAsia="微软雅黑" w:hAnsi="Aptos"/>
                <w:sz w:val="17"/>
                <w:szCs w:val="17"/>
              </w:rPr>
              <w:t>Agriculture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+0.39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SN.SHF </w:t>
            </w:r>
            <w:r>
              <w:rPr>
                <w:rFonts w:ascii="Aptos" w:eastAsia="微软雅黑" w:hAnsi="Aptos"/>
                <w:sz w:val="17"/>
                <w:szCs w:val="17"/>
              </w:rPr>
              <w:t>锡（</w:t>
            </w:r>
            <w:r>
              <w:rPr>
                <w:rFonts w:ascii="Aptos" w:eastAsia="微软雅黑" w:hAnsi="Aptos"/>
                <w:sz w:val="17"/>
                <w:szCs w:val="17"/>
              </w:rPr>
              <w:t>NonFerrous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+0.36</w:t>
            </w:r>
          </w:p>
        </w:tc>
      </w:tr>
      <w:tr w:rsidR="00B97FBD" w14:paraId="004488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2F8"/>
            <w:vAlign w:val="center"/>
          </w:tcPr>
          <w:p w14:paraId="7DA8B6E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6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2900" w:type="dxa"/>
            <w:shd w:val="clear" w:color="auto" w:fill="EAF2F8"/>
            <w:vAlign w:val="center"/>
          </w:tcPr>
          <w:p w14:paraId="4C7D5C2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 xml:space="preserve">SC.INE </w:t>
            </w:r>
            <w:r>
              <w:rPr>
                <w:rFonts w:ascii="Aptos" w:eastAsia="微软雅黑" w:hAnsi="Aptos"/>
                <w:sz w:val="17"/>
                <w:szCs w:val="17"/>
              </w:rPr>
              <w:t>原油（</w:t>
            </w:r>
            <w:r>
              <w:rPr>
                <w:rFonts w:ascii="Aptos" w:eastAsia="微软雅黑" w:hAnsi="Aptos"/>
                <w:sz w:val="17"/>
                <w:szCs w:val="17"/>
              </w:rPr>
              <w:t>Energy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+0.57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EB.DCE </w:t>
            </w:r>
            <w:r>
              <w:rPr>
                <w:rFonts w:ascii="Aptos" w:eastAsia="微软雅黑" w:hAnsi="Aptos"/>
                <w:sz w:val="17"/>
                <w:szCs w:val="17"/>
              </w:rPr>
              <w:t>苯乙烯（</w:t>
            </w:r>
            <w:r>
              <w:rPr>
                <w:rFonts w:ascii="Aptos" w:eastAsia="微软雅黑" w:hAnsi="Aptos"/>
                <w:sz w:val="17"/>
                <w:szCs w:val="17"/>
              </w:rPr>
              <w:t>Energy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+0.51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SA.ZCE </w:t>
            </w:r>
            <w:r>
              <w:rPr>
                <w:rFonts w:ascii="Aptos" w:eastAsia="微软雅黑" w:hAnsi="Aptos"/>
                <w:sz w:val="17"/>
                <w:szCs w:val="17"/>
              </w:rPr>
              <w:t>纯碱（</w:t>
            </w:r>
            <w:r>
              <w:rPr>
                <w:rFonts w:ascii="Aptos" w:eastAsia="微软雅黑" w:hAnsi="Aptos"/>
                <w:sz w:val="17"/>
                <w:szCs w:val="17"/>
              </w:rPr>
              <w:t>Energy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+0.50</w:t>
            </w:r>
          </w:p>
        </w:tc>
      </w:tr>
      <w:tr w:rsidR="00B97FBD" w14:paraId="00CE5C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03F060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7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2900" w:type="dxa"/>
            <w:vAlign w:val="center"/>
          </w:tcPr>
          <w:p w14:paraId="6CD6A03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 xml:space="preserve">LH.DCE </w:t>
            </w:r>
            <w:r>
              <w:rPr>
                <w:rFonts w:ascii="Aptos" w:eastAsia="微软雅黑" w:hAnsi="Aptos"/>
                <w:sz w:val="17"/>
                <w:szCs w:val="17"/>
              </w:rPr>
              <w:t>生猪（</w:t>
            </w:r>
            <w:r>
              <w:rPr>
                <w:rFonts w:ascii="Aptos" w:eastAsia="微软雅黑" w:hAnsi="Aptos"/>
                <w:sz w:val="17"/>
                <w:szCs w:val="17"/>
              </w:rPr>
              <w:t>Agriculture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+0.64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SA.ZCE </w:t>
            </w:r>
            <w:r>
              <w:rPr>
                <w:rFonts w:ascii="Aptos" w:eastAsia="微软雅黑" w:hAnsi="Aptos"/>
                <w:sz w:val="17"/>
                <w:szCs w:val="17"/>
              </w:rPr>
              <w:t>纯碱（</w:t>
            </w:r>
            <w:r>
              <w:rPr>
                <w:rFonts w:ascii="Aptos" w:eastAsia="微软雅黑" w:hAnsi="Aptos"/>
                <w:sz w:val="17"/>
                <w:szCs w:val="17"/>
              </w:rPr>
              <w:t>Energy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+0.50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AO.SHF </w:t>
            </w:r>
            <w:r>
              <w:rPr>
                <w:rFonts w:ascii="Aptos" w:eastAsia="微软雅黑" w:hAnsi="Aptos"/>
                <w:sz w:val="17"/>
                <w:szCs w:val="17"/>
              </w:rPr>
              <w:t>氧化铝（</w:t>
            </w:r>
            <w:r>
              <w:rPr>
                <w:rFonts w:ascii="Aptos" w:eastAsia="微软雅黑" w:hAnsi="Aptos"/>
                <w:sz w:val="17"/>
                <w:szCs w:val="17"/>
              </w:rPr>
              <w:t>NonFerrous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+0.37</w:t>
            </w:r>
          </w:p>
        </w:tc>
      </w:tr>
      <w:tr w:rsidR="00B97FBD" w14:paraId="49C395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2F8"/>
            <w:vAlign w:val="center"/>
          </w:tcPr>
          <w:p w14:paraId="07B0AC7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8</w:t>
            </w:r>
            <w:r>
              <w:rPr>
                <w:rFonts w:ascii="Aptos" w:eastAsia="微软雅黑" w:hAnsi="Aptos"/>
                <w:sz w:val="17"/>
                <w:szCs w:val="17"/>
              </w:rPr>
              <w:t>月</w:t>
            </w:r>
          </w:p>
        </w:tc>
        <w:tc>
          <w:tcPr>
            <w:tcW w:w="12900" w:type="dxa"/>
            <w:shd w:val="clear" w:color="auto" w:fill="EAF2F8"/>
            <w:vAlign w:val="center"/>
          </w:tcPr>
          <w:p w14:paraId="1FD5023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 xml:space="preserve">CS.DCE </w:t>
            </w:r>
            <w:r>
              <w:rPr>
                <w:rFonts w:ascii="Aptos" w:eastAsia="微软雅黑" w:hAnsi="Aptos"/>
                <w:sz w:val="17"/>
                <w:szCs w:val="17"/>
              </w:rPr>
              <w:t>玉米淀粉（</w:t>
            </w:r>
            <w:r>
              <w:rPr>
                <w:rFonts w:ascii="Aptos" w:eastAsia="微软雅黑" w:hAnsi="Aptos"/>
                <w:sz w:val="17"/>
                <w:szCs w:val="17"/>
              </w:rPr>
              <w:t>Agriculture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+0.30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CU.SHF </w:t>
            </w:r>
            <w:r>
              <w:rPr>
                <w:rFonts w:ascii="Aptos" w:eastAsia="微软雅黑" w:hAnsi="Aptos"/>
                <w:sz w:val="17"/>
                <w:szCs w:val="17"/>
              </w:rPr>
              <w:t>铜（</w:t>
            </w:r>
            <w:r>
              <w:rPr>
                <w:rFonts w:ascii="Aptos" w:eastAsia="微软雅黑" w:hAnsi="Aptos"/>
                <w:sz w:val="17"/>
                <w:szCs w:val="17"/>
              </w:rPr>
              <w:t>NonFerrous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+0.27</w:t>
            </w:r>
            <w:r>
              <w:rPr>
                <w:rFonts w:ascii="Aptos" w:eastAsia="微软雅黑" w:hAnsi="Aptos"/>
                <w:sz w:val="17"/>
                <w:szCs w:val="17"/>
              </w:rPr>
              <w:t>；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ZN.SHF </w:t>
            </w:r>
            <w:r>
              <w:rPr>
                <w:rFonts w:ascii="Aptos" w:eastAsia="微软雅黑" w:hAnsi="Aptos"/>
                <w:sz w:val="17"/>
                <w:szCs w:val="17"/>
              </w:rPr>
              <w:t>锌（</w:t>
            </w:r>
            <w:r>
              <w:rPr>
                <w:rFonts w:ascii="Aptos" w:eastAsia="微软雅黑" w:hAnsi="Aptos"/>
                <w:sz w:val="17"/>
                <w:szCs w:val="17"/>
              </w:rPr>
              <w:t>NonFerrous</w:t>
            </w:r>
            <w:r>
              <w:rPr>
                <w:rFonts w:ascii="Aptos" w:eastAsia="微软雅黑" w:hAnsi="Aptos"/>
                <w:sz w:val="17"/>
                <w:szCs w:val="17"/>
              </w:rPr>
              <w:t>）</w:t>
            </w:r>
            <w:r>
              <w:rPr>
                <w:rFonts w:ascii="Aptos" w:eastAsia="微软雅黑" w:hAnsi="Aptos"/>
                <w:sz w:val="17"/>
                <w:szCs w:val="17"/>
              </w:rPr>
              <w:t>+0.26</w:t>
            </w:r>
          </w:p>
        </w:tc>
      </w:tr>
    </w:tbl>
    <w:p w14:paraId="6F3F75BE" w14:textId="77777777" w:rsidR="00B97FBD" w:rsidRDefault="00B97FBD">
      <w:pPr>
        <w:spacing w:after="50"/>
        <w:rPr>
          <w:rFonts w:hint="eastAsia"/>
        </w:rPr>
      </w:pPr>
    </w:p>
    <w:p w14:paraId="7094E29F" w14:textId="77777777" w:rsidR="00B97FBD" w:rsidRDefault="00000000">
      <w:pPr>
        <w:pStyle w:val="3"/>
        <w:spacing w:before="170" w:after="110"/>
        <w:rPr>
          <w:rFonts w:hint="eastAsia"/>
        </w:rPr>
      </w:pPr>
      <w:r>
        <w:rPr>
          <w:rFonts w:ascii="Aptos" w:eastAsia="微软雅黑" w:hAnsi="Aptos"/>
          <w:b/>
          <w:color w:val="1F4E78"/>
          <w:sz w:val="23"/>
          <w:szCs w:val="23"/>
        </w:rPr>
        <w:t xml:space="preserve">2 2024 </w:t>
      </w:r>
      <w:r>
        <w:rPr>
          <w:rFonts w:ascii="Aptos" w:eastAsia="微软雅黑" w:hAnsi="Aptos"/>
          <w:b/>
          <w:color w:val="1F4E78"/>
          <w:sz w:val="23"/>
          <w:szCs w:val="23"/>
        </w:rPr>
        <w:t>和</w:t>
      </w:r>
      <w:r>
        <w:rPr>
          <w:rFonts w:ascii="Aptos" w:eastAsia="微软雅黑" w:hAnsi="Aptos"/>
          <w:b/>
          <w:color w:val="1F4E78"/>
          <w:sz w:val="23"/>
          <w:szCs w:val="23"/>
        </w:rPr>
        <w:t xml:space="preserve"> 2025 </w:t>
      </w:r>
      <w:r>
        <w:rPr>
          <w:rFonts w:ascii="Aptos" w:eastAsia="微软雅黑" w:hAnsi="Aptos"/>
          <w:b/>
          <w:color w:val="1F4E78"/>
          <w:sz w:val="23"/>
          <w:szCs w:val="23"/>
        </w:rPr>
        <w:t>的行情与策略表现</w:t>
      </w:r>
    </w:p>
    <w:p w14:paraId="1AC6DD7B" w14:textId="77777777" w:rsidR="00B97FBD" w:rsidRDefault="00000000">
      <w:pPr>
        <w:pStyle w:val="4"/>
        <w:spacing w:before="170" w:after="110"/>
        <w:rPr>
          <w:rFonts w:hint="eastAsia"/>
        </w:rPr>
      </w:pPr>
      <w:r>
        <w:rPr>
          <w:rFonts w:ascii="Aptos" w:eastAsia="微软雅黑" w:hAnsi="Aptos"/>
          <w:b/>
          <w:color w:val="1F4E78"/>
          <w:sz w:val="21"/>
          <w:szCs w:val="21"/>
        </w:rPr>
        <w:t xml:space="preserve">2.1 2024 </w:t>
      </w:r>
      <w:r>
        <w:rPr>
          <w:rFonts w:ascii="Aptos" w:eastAsia="微软雅黑" w:hAnsi="Aptos"/>
          <w:b/>
          <w:color w:val="1F4E78"/>
          <w:sz w:val="21"/>
          <w:szCs w:val="21"/>
        </w:rPr>
        <w:t>年：上半年分化、下半年兑现</w:t>
      </w:r>
    </w:p>
    <w:p w14:paraId="5A2B8AED" w14:textId="77777777" w:rsidR="00B97FBD" w:rsidRDefault="00000000">
      <w:pPr>
        <w:spacing w:after="100"/>
        <w:rPr>
          <w:rFonts w:hint="eastAsia"/>
        </w:rPr>
      </w:pPr>
      <w:r>
        <w:rPr>
          <w:rFonts w:ascii="Aptos" w:eastAsia="微软雅黑" w:hAnsi="Aptos"/>
          <w:sz w:val="21"/>
          <w:szCs w:val="21"/>
        </w:rPr>
        <w:t xml:space="preserve">2024 </w:t>
      </w:r>
      <w:r>
        <w:rPr>
          <w:rFonts w:ascii="Aptos" w:eastAsia="微软雅黑" w:hAnsi="Aptos"/>
          <w:sz w:val="21"/>
          <w:szCs w:val="21"/>
        </w:rPr>
        <w:t>年的核心特征是</w:t>
      </w:r>
      <w:r>
        <w:rPr>
          <w:rFonts w:ascii="Aptos" w:eastAsia="微软雅黑" w:hAnsi="Aptos"/>
          <w:sz w:val="21"/>
          <w:szCs w:val="21"/>
        </w:rPr>
        <w:t>“</w:t>
      </w:r>
      <w:r>
        <w:rPr>
          <w:rFonts w:ascii="Aptos" w:eastAsia="微软雅黑" w:hAnsi="Aptos"/>
          <w:sz w:val="21"/>
          <w:szCs w:val="21"/>
        </w:rPr>
        <w:t>贵金属和有色先强、黑色后弱、欧线航运独立爆发</w:t>
      </w:r>
      <w:r>
        <w:rPr>
          <w:rFonts w:ascii="Aptos" w:eastAsia="微软雅黑" w:hAnsi="Aptos"/>
          <w:sz w:val="21"/>
          <w:szCs w:val="21"/>
        </w:rPr>
        <w:t>”</w:t>
      </w:r>
      <w:r>
        <w:rPr>
          <w:rFonts w:ascii="Aptos" w:eastAsia="微软雅黑" w:hAnsi="Aptos"/>
          <w:sz w:val="21"/>
          <w:szCs w:val="21"/>
        </w:rPr>
        <w:t>。全年最强板块是</w:t>
      </w:r>
      <w:r>
        <w:rPr>
          <w:rFonts w:ascii="Aptos" w:eastAsia="微软雅黑" w:hAnsi="Aptos"/>
          <w:sz w:val="21"/>
          <w:szCs w:val="21"/>
        </w:rPr>
        <w:t xml:space="preserve"> Precious </w:t>
      </w:r>
      <w:r>
        <w:rPr>
          <w:rFonts w:ascii="Aptos" w:eastAsia="微软雅黑" w:hAnsi="Aptos"/>
          <w:sz w:val="21"/>
          <w:szCs w:val="21"/>
        </w:rPr>
        <w:t>和</w:t>
      </w:r>
      <w:r>
        <w:rPr>
          <w:rFonts w:ascii="Aptos" w:eastAsia="微软雅黑" w:hAnsi="Aptos"/>
          <w:sz w:val="21"/>
          <w:szCs w:val="21"/>
        </w:rPr>
        <w:t xml:space="preserve"> NonFerrous</w:t>
      </w:r>
      <w:r>
        <w:rPr>
          <w:rFonts w:ascii="Aptos" w:eastAsia="微软雅黑" w:hAnsi="Aptos"/>
          <w:sz w:val="21"/>
          <w:szCs w:val="21"/>
        </w:rPr>
        <w:t>，最强品种集中在</w:t>
      </w:r>
      <w:r>
        <w:rPr>
          <w:rFonts w:ascii="Aptos" w:eastAsia="微软雅黑" w:hAnsi="Aptos"/>
          <w:sz w:val="21"/>
          <w:szCs w:val="21"/>
        </w:rPr>
        <w:t xml:space="preserve"> EC.INE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AO.SHF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P.DCE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AU.SHF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FU.SHF</w:t>
      </w:r>
      <w:r>
        <w:rPr>
          <w:rFonts w:ascii="Aptos" w:eastAsia="微软雅黑" w:hAnsi="Aptos"/>
          <w:sz w:val="21"/>
          <w:szCs w:val="21"/>
        </w:rPr>
        <w:t>。</w:t>
      </w:r>
    </w:p>
    <w:p w14:paraId="537D9EBB" w14:textId="77777777" w:rsidR="00B97FBD" w:rsidRDefault="00000000">
      <w:pPr>
        <w:spacing w:after="100"/>
        <w:rPr>
          <w:rFonts w:hint="eastAsia"/>
        </w:rPr>
      </w:pPr>
      <w:r>
        <w:rPr>
          <w:rFonts w:ascii="Aptos" w:eastAsia="微软雅黑" w:hAnsi="Aptos"/>
          <w:sz w:val="21"/>
          <w:szCs w:val="21"/>
        </w:rPr>
        <w:t>季度板块表现：</w:t>
      </w:r>
    </w:p>
    <w:tbl>
      <w:tblPr>
        <w:tblW w:w="0" w:type="auto"/>
        <w:tblInd w:w="1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500"/>
        <w:gridCol w:w="1500"/>
        <w:gridCol w:w="1500"/>
        <w:gridCol w:w="1500"/>
        <w:gridCol w:w="1500"/>
        <w:gridCol w:w="5650"/>
      </w:tblGrid>
      <w:tr w:rsidR="00B97FBD" w14:paraId="39F385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1F4E78"/>
            <w:vAlign w:val="center"/>
          </w:tcPr>
          <w:p w14:paraId="153F56B6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季度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39EE3160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Agriculture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01E8FEA1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Energy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627D164A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Ferrous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73CD10BD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NonFerrous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1D081D2C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Precious</w:t>
            </w:r>
          </w:p>
        </w:tc>
        <w:tc>
          <w:tcPr>
            <w:tcW w:w="5650" w:type="dxa"/>
            <w:shd w:val="clear" w:color="auto" w:fill="1F4E78"/>
            <w:vAlign w:val="center"/>
          </w:tcPr>
          <w:p w14:paraId="5B53D3DC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主要行情特征</w:t>
            </w:r>
          </w:p>
        </w:tc>
      </w:tr>
      <w:tr w:rsidR="00B97FBD" w14:paraId="2CE6BE9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4E582C6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Q1</w:t>
            </w:r>
          </w:p>
        </w:tc>
        <w:tc>
          <w:tcPr>
            <w:tcW w:w="1500" w:type="dxa"/>
            <w:vAlign w:val="center"/>
          </w:tcPr>
          <w:p w14:paraId="27AC104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-0.91%</w:t>
            </w:r>
          </w:p>
        </w:tc>
        <w:tc>
          <w:tcPr>
            <w:tcW w:w="1500" w:type="dxa"/>
            <w:vAlign w:val="center"/>
          </w:tcPr>
          <w:p w14:paraId="0EF9821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+0.34%</w:t>
            </w:r>
          </w:p>
        </w:tc>
        <w:tc>
          <w:tcPr>
            <w:tcW w:w="1500" w:type="dxa"/>
            <w:vAlign w:val="center"/>
          </w:tcPr>
          <w:p w14:paraId="1500370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-12.47%</w:t>
            </w:r>
          </w:p>
        </w:tc>
        <w:tc>
          <w:tcPr>
            <w:tcW w:w="1500" w:type="dxa"/>
            <w:vAlign w:val="center"/>
          </w:tcPr>
          <w:p w14:paraId="444AA68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+2.83%</w:t>
            </w:r>
          </w:p>
        </w:tc>
        <w:tc>
          <w:tcPr>
            <w:tcW w:w="1500" w:type="dxa"/>
            <w:vAlign w:val="center"/>
          </w:tcPr>
          <w:p w14:paraId="7EE39DB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+9.01%</w:t>
            </w:r>
          </w:p>
        </w:tc>
        <w:tc>
          <w:tcPr>
            <w:tcW w:w="5650" w:type="dxa"/>
            <w:vAlign w:val="center"/>
          </w:tcPr>
          <w:p w14:paraId="7D25C44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贵金属和有色先行，黑色明显承压</w:t>
            </w:r>
          </w:p>
        </w:tc>
      </w:tr>
      <w:tr w:rsidR="00B97FBD" w14:paraId="2174B77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EAF2F8"/>
            <w:vAlign w:val="center"/>
          </w:tcPr>
          <w:p w14:paraId="2B29892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Q2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737EA9A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-0.48%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5D3E5BE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+2.73%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3C57B13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+7.85%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0B3642B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+11.42%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3BAAB8C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+11.50%</w:t>
            </w:r>
          </w:p>
        </w:tc>
        <w:tc>
          <w:tcPr>
            <w:tcW w:w="5650" w:type="dxa"/>
            <w:shd w:val="clear" w:color="auto" w:fill="EAF2F8"/>
            <w:vAlign w:val="center"/>
          </w:tcPr>
          <w:p w14:paraId="1F808B8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反弹修复集中在有色、贵金属和部分黑色</w:t>
            </w:r>
          </w:p>
        </w:tc>
      </w:tr>
      <w:tr w:rsidR="00B97FBD" w14:paraId="7D08E49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15AE534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lastRenderedPageBreak/>
              <w:t>Q3</w:t>
            </w:r>
          </w:p>
        </w:tc>
        <w:tc>
          <w:tcPr>
            <w:tcW w:w="1500" w:type="dxa"/>
            <w:vAlign w:val="center"/>
          </w:tcPr>
          <w:p w14:paraId="5BBC98F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-0.85%</w:t>
            </w:r>
          </w:p>
        </w:tc>
        <w:tc>
          <w:tcPr>
            <w:tcW w:w="1500" w:type="dxa"/>
            <w:vAlign w:val="center"/>
          </w:tcPr>
          <w:p w14:paraId="6D45FA7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-7.10%</w:t>
            </w:r>
          </w:p>
        </w:tc>
        <w:tc>
          <w:tcPr>
            <w:tcW w:w="1500" w:type="dxa"/>
            <w:vAlign w:val="center"/>
          </w:tcPr>
          <w:p w14:paraId="30A6E89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-3.27%</w:t>
            </w:r>
          </w:p>
        </w:tc>
        <w:tc>
          <w:tcPr>
            <w:tcW w:w="1500" w:type="dxa"/>
            <w:vAlign w:val="center"/>
          </w:tcPr>
          <w:p w14:paraId="0E36EE9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+0.05%</w:t>
            </w:r>
          </w:p>
        </w:tc>
        <w:tc>
          <w:tcPr>
            <w:tcW w:w="1500" w:type="dxa"/>
            <w:vAlign w:val="center"/>
          </w:tcPr>
          <w:p w14:paraId="6C6AB2C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+3.74%</w:t>
            </w:r>
          </w:p>
        </w:tc>
        <w:tc>
          <w:tcPr>
            <w:tcW w:w="5650" w:type="dxa"/>
            <w:vAlign w:val="center"/>
          </w:tcPr>
          <w:p w14:paraId="5459331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能化走弱，贵金属维持韧性</w:t>
            </w:r>
          </w:p>
        </w:tc>
      </w:tr>
      <w:tr w:rsidR="00B97FBD" w14:paraId="488C2AE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EAF2F8"/>
            <w:vAlign w:val="center"/>
          </w:tcPr>
          <w:p w14:paraId="5937929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Q4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4400456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-4.83%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5973A5B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-0.81%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44A9056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-12.49%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2341AC9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+0.48%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29870B1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-0.64%</w:t>
            </w:r>
          </w:p>
        </w:tc>
        <w:tc>
          <w:tcPr>
            <w:tcW w:w="5650" w:type="dxa"/>
            <w:shd w:val="clear" w:color="auto" w:fill="EAF2F8"/>
            <w:vAlign w:val="center"/>
          </w:tcPr>
          <w:p w14:paraId="3CC0B92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黑色和农业继续偏弱，结构分化延续</w:t>
            </w:r>
          </w:p>
        </w:tc>
      </w:tr>
    </w:tbl>
    <w:p w14:paraId="4456543B" w14:textId="77777777" w:rsidR="00B97FBD" w:rsidRDefault="00B97FBD">
      <w:pPr>
        <w:spacing w:after="50"/>
        <w:rPr>
          <w:rFonts w:hint="eastAsia"/>
        </w:rPr>
      </w:pPr>
    </w:p>
    <w:p w14:paraId="3EEA2863" w14:textId="77777777" w:rsidR="00B97FBD" w:rsidRDefault="00000000">
      <w:pPr>
        <w:spacing w:after="100"/>
        <w:rPr>
          <w:rFonts w:hint="eastAsia"/>
        </w:rPr>
      </w:pPr>
      <w:r>
        <w:rPr>
          <w:rFonts w:ascii="Aptos" w:eastAsia="微软雅黑" w:hAnsi="Aptos"/>
          <w:sz w:val="21"/>
          <w:szCs w:val="21"/>
        </w:rPr>
        <w:t>季度策略表现：</w:t>
      </w:r>
    </w:p>
    <w:tbl>
      <w:tblPr>
        <w:tblW w:w="0" w:type="auto"/>
        <w:tblInd w:w="1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800"/>
        <w:gridCol w:w="2800"/>
        <w:gridCol w:w="2800"/>
      </w:tblGrid>
      <w:tr w:rsidR="00B97FBD" w14:paraId="5F6801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8"/>
            <w:vAlign w:val="center"/>
          </w:tcPr>
          <w:p w14:paraId="381C2659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策略类别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2AF7E9A4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Q1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累计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PnL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03CB1318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Q2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累计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PnL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20A84362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Q3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累计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PnL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722DBAE6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Q4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累计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PnL</w:t>
            </w:r>
          </w:p>
        </w:tc>
      </w:tr>
      <w:tr w:rsidR="00B97FBD" w14:paraId="142F4E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340EF77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Trend</w:t>
            </w:r>
          </w:p>
        </w:tc>
        <w:tc>
          <w:tcPr>
            <w:tcW w:w="2800" w:type="dxa"/>
            <w:vAlign w:val="center"/>
          </w:tcPr>
          <w:p w14:paraId="3D37D01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5.27</w:t>
            </w:r>
          </w:p>
        </w:tc>
        <w:tc>
          <w:tcPr>
            <w:tcW w:w="2800" w:type="dxa"/>
            <w:vAlign w:val="center"/>
          </w:tcPr>
          <w:p w14:paraId="2136EFF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4.36</w:t>
            </w:r>
          </w:p>
        </w:tc>
        <w:tc>
          <w:tcPr>
            <w:tcW w:w="2800" w:type="dxa"/>
            <w:vAlign w:val="center"/>
          </w:tcPr>
          <w:p w14:paraId="53A119B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9.98</w:t>
            </w:r>
          </w:p>
        </w:tc>
        <w:tc>
          <w:tcPr>
            <w:tcW w:w="2800" w:type="dxa"/>
            <w:vAlign w:val="center"/>
          </w:tcPr>
          <w:p w14:paraId="66638D4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2.32</w:t>
            </w:r>
          </w:p>
        </w:tc>
      </w:tr>
      <w:tr w:rsidR="00B97FBD" w14:paraId="25D57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2F8"/>
            <w:vAlign w:val="center"/>
          </w:tcPr>
          <w:p w14:paraId="75D44AE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Reversion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6C4B869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4.65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2877520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7.83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0493BF0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7.37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33141E2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-2.99</w:t>
            </w:r>
          </w:p>
        </w:tc>
      </w:tr>
      <w:tr w:rsidR="00B97FBD" w14:paraId="01EAA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858D9E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Carry</w:t>
            </w:r>
          </w:p>
        </w:tc>
        <w:tc>
          <w:tcPr>
            <w:tcW w:w="2800" w:type="dxa"/>
            <w:vAlign w:val="center"/>
          </w:tcPr>
          <w:p w14:paraId="53AC758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-0.20</w:t>
            </w:r>
          </w:p>
        </w:tc>
        <w:tc>
          <w:tcPr>
            <w:tcW w:w="2800" w:type="dxa"/>
            <w:vAlign w:val="center"/>
          </w:tcPr>
          <w:p w14:paraId="1A2539C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-6.15</w:t>
            </w:r>
          </w:p>
        </w:tc>
        <w:tc>
          <w:tcPr>
            <w:tcW w:w="2800" w:type="dxa"/>
            <w:vAlign w:val="center"/>
          </w:tcPr>
          <w:p w14:paraId="21270FB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7.82</w:t>
            </w:r>
          </w:p>
        </w:tc>
        <w:tc>
          <w:tcPr>
            <w:tcW w:w="2800" w:type="dxa"/>
            <w:vAlign w:val="center"/>
          </w:tcPr>
          <w:p w14:paraId="7292B9B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15.47</w:t>
            </w:r>
          </w:p>
        </w:tc>
      </w:tr>
      <w:tr w:rsidR="00B97FBD" w14:paraId="06628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2F8"/>
            <w:vAlign w:val="center"/>
          </w:tcPr>
          <w:p w14:paraId="2367A9C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Alternative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5AE95B1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0.65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45584E6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6.78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67C3D4F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6.56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5ECD55D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0.42</w:t>
            </w:r>
          </w:p>
        </w:tc>
      </w:tr>
      <w:tr w:rsidR="00B97FBD" w14:paraId="7F3CF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0BF8046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Portfolio</w:t>
            </w:r>
          </w:p>
        </w:tc>
        <w:tc>
          <w:tcPr>
            <w:tcW w:w="2800" w:type="dxa"/>
            <w:vAlign w:val="center"/>
          </w:tcPr>
          <w:p w14:paraId="44CE694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4.15</w:t>
            </w:r>
          </w:p>
        </w:tc>
        <w:tc>
          <w:tcPr>
            <w:tcW w:w="2800" w:type="dxa"/>
            <w:vAlign w:val="center"/>
          </w:tcPr>
          <w:p w14:paraId="3DAA35B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5.13</w:t>
            </w:r>
          </w:p>
        </w:tc>
        <w:tc>
          <w:tcPr>
            <w:tcW w:w="2800" w:type="dxa"/>
            <w:vAlign w:val="center"/>
          </w:tcPr>
          <w:p w14:paraId="45DB94A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12.70</w:t>
            </w:r>
          </w:p>
        </w:tc>
        <w:tc>
          <w:tcPr>
            <w:tcW w:w="2800" w:type="dxa"/>
            <w:vAlign w:val="center"/>
          </w:tcPr>
          <w:p w14:paraId="13E2CF7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6.10</w:t>
            </w:r>
          </w:p>
        </w:tc>
      </w:tr>
    </w:tbl>
    <w:p w14:paraId="60D4B44B" w14:textId="77777777" w:rsidR="00B97FBD" w:rsidRDefault="00B97FBD">
      <w:pPr>
        <w:spacing w:after="50"/>
        <w:rPr>
          <w:rFonts w:hint="eastAsia"/>
        </w:rPr>
      </w:pPr>
    </w:p>
    <w:p w14:paraId="5B158679" w14:textId="77777777" w:rsidR="00B97FBD" w:rsidRDefault="00000000">
      <w:pPr>
        <w:spacing w:after="100"/>
        <w:rPr>
          <w:rFonts w:hint="eastAsia"/>
        </w:rPr>
      </w:pPr>
      <w:r>
        <w:rPr>
          <w:rFonts w:ascii="Aptos" w:eastAsia="微软雅黑" w:hAnsi="Aptos"/>
          <w:sz w:val="21"/>
          <w:szCs w:val="21"/>
        </w:rPr>
        <w:t xml:space="preserve">2024 </w:t>
      </w:r>
      <w:r>
        <w:rPr>
          <w:rFonts w:ascii="Aptos" w:eastAsia="微软雅黑" w:hAnsi="Aptos"/>
          <w:sz w:val="21"/>
          <w:szCs w:val="21"/>
        </w:rPr>
        <w:t>年的季度节奏可以概括为：</w:t>
      </w:r>
      <w:r>
        <w:rPr>
          <w:rFonts w:ascii="Aptos" w:eastAsia="微软雅黑" w:hAnsi="Aptos"/>
          <w:sz w:val="21"/>
          <w:szCs w:val="21"/>
        </w:rPr>
        <w:t xml:space="preserve">Q1 </w:t>
      </w:r>
      <w:r>
        <w:rPr>
          <w:rFonts w:ascii="Aptos" w:eastAsia="微软雅黑" w:hAnsi="Aptos"/>
          <w:sz w:val="21"/>
          <w:szCs w:val="21"/>
        </w:rPr>
        <w:t>贵金属和有色先走强，</w:t>
      </w:r>
      <w:r>
        <w:rPr>
          <w:rFonts w:ascii="Aptos" w:eastAsia="微软雅黑" w:hAnsi="Aptos"/>
          <w:sz w:val="21"/>
          <w:szCs w:val="21"/>
        </w:rPr>
        <w:t xml:space="preserve">Q2 </w:t>
      </w:r>
      <w:r>
        <w:rPr>
          <w:rFonts w:ascii="Aptos" w:eastAsia="微软雅黑" w:hAnsi="Aptos"/>
          <w:sz w:val="21"/>
          <w:szCs w:val="21"/>
        </w:rPr>
        <w:t>进入修复扩散，</w:t>
      </w:r>
      <w:r>
        <w:rPr>
          <w:rFonts w:ascii="Aptos" w:eastAsia="微软雅黑" w:hAnsi="Aptos"/>
          <w:sz w:val="21"/>
          <w:szCs w:val="21"/>
        </w:rPr>
        <w:t xml:space="preserve">Q3 </w:t>
      </w:r>
      <w:r>
        <w:rPr>
          <w:rFonts w:ascii="Aptos" w:eastAsia="微软雅黑" w:hAnsi="Aptos"/>
          <w:sz w:val="21"/>
          <w:szCs w:val="21"/>
        </w:rPr>
        <w:t>能化回撤更明显，</w:t>
      </w:r>
      <w:r>
        <w:rPr>
          <w:rFonts w:ascii="Aptos" w:eastAsia="微软雅黑" w:hAnsi="Aptos"/>
          <w:sz w:val="21"/>
          <w:szCs w:val="21"/>
        </w:rPr>
        <w:t xml:space="preserve">Q4 </w:t>
      </w:r>
      <w:r>
        <w:rPr>
          <w:rFonts w:ascii="Aptos" w:eastAsia="微软雅黑" w:hAnsi="Aptos"/>
          <w:sz w:val="21"/>
          <w:szCs w:val="21"/>
        </w:rPr>
        <w:t>结构继续分化。</w:t>
      </w:r>
    </w:p>
    <w:p w14:paraId="63D4B901" w14:textId="77777777" w:rsidR="00B97FBD" w:rsidRDefault="00000000">
      <w:pPr>
        <w:pStyle w:val="4"/>
        <w:spacing w:before="170" w:after="110"/>
        <w:rPr>
          <w:rFonts w:hint="eastAsia"/>
        </w:rPr>
      </w:pPr>
      <w:r>
        <w:rPr>
          <w:rFonts w:ascii="Aptos" w:eastAsia="微软雅黑" w:hAnsi="Aptos"/>
          <w:b/>
          <w:color w:val="1F4E78"/>
          <w:sz w:val="21"/>
          <w:szCs w:val="21"/>
        </w:rPr>
        <w:t xml:space="preserve">2.2 2025 </w:t>
      </w:r>
      <w:r>
        <w:rPr>
          <w:rFonts w:ascii="Aptos" w:eastAsia="微软雅黑" w:hAnsi="Aptos"/>
          <w:b/>
          <w:color w:val="1F4E78"/>
          <w:sz w:val="21"/>
          <w:szCs w:val="21"/>
        </w:rPr>
        <w:t>年：贵金属主导、反转占优</w:t>
      </w:r>
    </w:p>
    <w:p w14:paraId="72CA4E86" w14:textId="77777777" w:rsidR="00B97FBD" w:rsidRDefault="00000000">
      <w:pPr>
        <w:spacing w:after="100"/>
        <w:rPr>
          <w:rFonts w:hint="eastAsia"/>
        </w:rPr>
      </w:pPr>
      <w:r>
        <w:rPr>
          <w:rFonts w:ascii="Aptos" w:eastAsia="微软雅黑" w:hAnsi="Aptos"/>
          <w:sz w:val="21"/>
          <w:szCs w:val="21"/>
        </w:rPr>
        <w:t xml:space="preserve">2025 </w:t>
      </w:r>
      <w:r>
        <w:rPr>
          <w:rFonts w:ascii="Aptos" w:eastAsia="微软雅黑" w:hAnsi="Aptos"/>
          <w:sz w:val="21"/>
          <w:szCs w:val="21"/>
        </w:rPr>
        <w:t>年的核心特征是</w:t>
      </w:r>
      <w:r>
        <w:rPr>
          <w:rFonts w:ascii="Aptos" w:eastAsia="微软雅黑" w:hAnsi="Aptos"/>
          <w:sz w:val="21"/>
          <w:szCs w:val="21"/>
        </w:rPr>
        <w:t>“</w:t>
      </w:r>
      <w:r>
        <w:rPr>
          <w:rFonts w:ascii="Aptos" w:eastAsia="微软雅黑" w:hAnsi="Aptos"/>
          <w:sz w:val="21"/>
          <w:szCs w:val="21"/>
        </w:rPr>
        <w:t>贵金属牛市主导全场，</w:t>
      </w:r>
      <w:r>
        <w:rPr>
          <w:rFonts w:ascii="Aptos" w:eastAsia="微软雅黑" w:hAnsi="Aptos"/>
          <w:sz w:val="21"/>
          <w:szCs w:val="21"/>
        </w:rPr>
        <w:t xml:space="preserve">Reversion </w:t>
      </w:r>
      <w:r>
        <w:rPr>
          <w:rFonts w:ascii="Aptos" w:eastAsia="微软雅黑" w:hAnsi="Aptos"/>
          <w:sz w:val="21"/>
          <w:szCs w:val="21"/>
        </w:rPr>
        <w:t>取得最强阶段优势，而</w:t>
      </w:r>
      <w:r>
        <w:rPr>
          <w:rFonts w:ascii="Aptos" w:eastAsia="微软雅黑" w:hAnsi="Aptos"/>
          <w:sz w:val="21"/>
          <w:szCs w:val="21"/>
        </w:rPr>
        <w:t xml:space="preserve"> Energy </w:t>
      </w:r>
      <w:r>
        <w:rPr>
          <w:rFonts w:ascii="Aptos" w:eastAsia="微软雅黑" w:hAnsi="Aptos"/>
          <w:sz w:val="21"/>
          <w:szCs w:val="21"/>
        </w:rPr>
        <w:t>与</w:t>
      </w:r>
      <w:r>
        <w:rPr>
          <w:rFonts w:ascii="Aptos" w:eastAsia="微软雅黑" w:hAnsi="Aptos"/>
          <w:sz w:val="21"/>
          <w:szCs w:val="21"/>
        </w:rPr>
        <w:t xml:space="preserve"> Ferrous </w:t>
      </w:r>
      <w:r>
        <w:rPr>
          <w:rFonts w:ascii="Aptos" w:eastAsia="微软雅黑" w:hAnsi="Aptos"/>
          <w:sz w:val="21"/>
          <w:szCs w:val="21"/>
        </w:rPr>
        <w:t>整体偏弱</w:t>
      </w:r>
      <w:r>
        <w:rPr>
          <w:rFonts w:ascii="Aptos" w:eastAsia="微软雅黑" w:hAnsi="Aptos"/>
          <w:sz w:val="21"/>
          <w:szCs w:val="21"/>
        </w:rPr>
        <w:t>”</w:t>
      </w:r>
      <w:r>
        <w:rPr>
          <w:rFonts w:ascii="Aptos" w:eastAsia="微软雅黑" w:hAnsi="Aptos"/>
          <w:sz w:val="21"/>
          <w:szCs w:val="21"/>
        </w:rPr>
        <w:t>。全年最强板块是</w:t>
      </w:r>
      <w:r>
        <w:rPr>
          <w:rFonts w:ascii="Aptos" w:eastAsia="微软雅黑" w:hAnsi="Aptos"/>
          <w:sz w:val="21"/>
          <w:szCs w:val="21"/>
        </w:rPr>
        <w:t xml:space="preserve"> Precious</w:t>
      </w:r>
      <w:r>
        <w:rPr>
          <w:rFonts w:ascii="Aptos" w:eastAsia="微软雅黑" w:hAnsi="Aptos"/>
          <w:sz w:val="21"/>
          <w:szCs w:val="21"/>
        </w:rPr>
        <w:t>，主要盈利品种集中在</w:t>
      </w:r>
      <w:r>
        <w:rPr>
          <w:rFonts w:ascii="Aptos" w:eastAsia="微软雅黑" w:hAnsi="Aptos"/>
          <w:sz w:val="21"/>
          <w:szCs w:val="21"/>
        </w:rPr>
        <w:t xml:space="preserve"> AG.SHF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AU.SHF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CU.SHF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AP.ZCE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SN.SHF</w:t>
      </w:r>
      <w:r>
        <w:rPr>
          <w:rFonts w:ascii="Aptos" w:eastAsia="微软雅黑" w:hAnsi="Aptos"/>
          <w:sz w:val="21"/>
          <w:szCs w:val="21"/>
        </w:rPr>
        <w:t>。</w:t>
      </w:r>
    </w:p>
    <w:p w14:paraId="563371D9" w14:textId="77777777" w:rsidR="00B97FBD" w:rsidRDefault="00000000">
      <w:pPr>
        <w:spacing w:after="100"/>
        <w:rPr>
          <w:rFonts w:hint="eastAsia"/>
        </w:rPr>
      </w:pPr>
      <w:r>
        <w:rPr>
          <w:rFonts w:ascii="Aptos" w:eastAsia="微软雅黑" w:hAnsi="Aptos"/>
          <w:sz w:val="21"/>
          <w:szCs w:val="21"/>
        </w:rPr>
        <w:t>季度板块表现：</w:t>
      </w:r>
    </w:p>
    <w:tbl>
      <w:tblPr>
        <w:tblW w:w="0" w:type="auto"/>
        <w:tblInd w:w="1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500"/>
        <w:gridCol w:w="1500"/>
        <w:gridCol w:w="1500"/>
        <w:gridCol w:w="1500"/>
        <w:gridCol w:w="1500"/>
        <w:gridCol w:w="5650"/>
      </w:tblGrid>
      <w:tr w:rsidR="00B97FBD" w14:paraId="66E12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1F4E78"/>
            <w:vAlign w:val="center"/>
          </w:tcPr>
          <w:p w14:paraId="0EA385C0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季度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324ECA27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Agriculture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13AE04E0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Energy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15FDBC86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Ferrous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42362E88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NonFerrous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33A3E6AE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Precious</w:t>
            </w:r>
          </w:p>
        </w:tc>
        <w:tc>
          <w:tcPr>
            <w:tcW w:w="5650" w:type="dxa"/>
            <w:shd w:val="clear" w:color="auto" w:fill="1F4E78"/>
            <w:vAlign w:val="center"/>
          </w:tcPr>
          <w:p w14:paraId="31D581CB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主要行情特征</w:t>
            </w:r>
          </w:p>
        </w:tc>
      </w:tr>
      <w:tr w:rsidR="00B97FBD" w14:paraId="580004C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66BEFD3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Q1</w:t>
            </w:r>
          </w:p>
        </w:tc>
        <w:tc>
          <w:tcPr>
            <w:tcW w:w="1500" w:type="dxa"/>
            <w:vAlign w:val="center"/>
          </w:tcPr>
          <w:p w14:paraId="4805FD1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+3.41%</w:t>
            </w:r>
          </w:p>
        </w:tc>
        <w:tc>
          <w:tcPr>
            <w:tcW w:w="1500" w:type="dxa"/>
            <w:vAlign w:val="center"/>
          </w:tcPr>
          <w:p w14:paraId="28CBB68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-4.42%</w:t>
            </w:r>
          </w:p>
        </w:tc>
        <w:tc>
          <w:tcPr>
            <w:tcW w:w="1500" w:type="dxa"/>
            <w:vAlign w:val="center"/>
          </w:tcPr>
          <w:p w14:paraId="2A25F19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-4.40%</w:t>
            </w:r>
          </w:p>
        </w:tc>
        <w:tc>
          <w:tcPr>
            <w:tcW w:w="1500" w:type="dxa"/>
            <w:vAlign w:val="center"/>
          </w:tcPr>
          <w:p w14:paraId="0CB32A6B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-2.85%</w:t>
            </w:r>
          </w:p>
        </w:tc>
        <w:tc>
          <w:tcPr>
            <w:tcW w:w="1500" w:type="dxa"/>
            <w:vAlign w:val="center"/>
          </w:tcPr>
          <w:p w14:paraId="506F138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+15.50%</w:t>
            </w:r>
          </w:p>
        </w:tc>
        <w:tc>
          <w:tcPr>
            <w:tcW w:w="5650" w:type="dxa"/>
            <w:vAlign w:val="center"/>
          </w:tcPr>
          <w:p w14:paraId="504DE967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贵金属率先走强，其他板块普遍承压</w:t>
            </w:r>
          </w:p>
        </w:tc>
      </w:tr>
      <w:tr w:rsidR="00B97FBD" w14:paraId="2F337D1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EAF2F8"/>
            <w:vAlign w:val="center"/>
          </w:tcPr>
          <w:p w14:paraId="13C564B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Q2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16B5D9C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-0.66%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5970BFE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-4.90%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557F9AA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-9.86%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1B5CAAF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-1.37%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4D16DB2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+3.91%</w:t>
            </w:r>
          </w:p>
        </w:tc>
        <w:tc>
          <w:tcPr>
            <w:tcW w:w="5650" w:type="dxa"/>
            <w:shd w:val="clear" w:color="auto" w:fill="EAF2F8"/>
            <w:vAlign w:val="center"/>
          </w:tcPr>
          <w:p w14:paraId="00E368A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贵金属延续，黑色继续走弱</w:t>
            </w:r>
          </w:p>
        </w:tc>
      </w:tr>
      <w:tr w:rsidR="00B97FBD" w14:paraId="548324E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6552460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Q3</w:t>
            </w:r>
          </w:p>
        </w:tc>
        <w:tc>
          <w:tcPr>
            <w:tcW w:w="1500" w:type="dxa"/>
            <w:vAlign w:val="center"/>
          </w:tcPr>
          <w:p w14:paraId="20545C4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-1.64%</w:t>
            </w:r>
          </w:p>
        </w:tc>
        <w:tc>
          <w:tcPr>
            <w:tcW w:w="1500" w:type="dxa"/>
            <w:vAlign w:val="center"/>
          </w:tcPr>
          <w:p w14:paraId="5F64217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-2.17%</w:t>
            </w:r>
          </w:p>
        </w:tc>
        <w:tc>
          <w:tcPr>
            <w:tcW w:w="1500" w:type="dxa"/>
            <w:vAlign w:val="center"/>
          </w:tcPr>
          <w:p w14:paraId="1F65F6F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+6.72%</w:t>
            </w:r>
          </w:p>
        </w:tc>
        <w:tc>
          <w:tcPr>
            <w:tcW w:w="1500" w:type="dxa"/>
            <w:vAlign w:val="center"/>
          </w:tcPr>
          <w:p w14:paraId="25BFC51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-0.05%</w:t>
            </w:r>
          </w:p>
        </w:tc>
        <w:tc>
          <w:tcPr>
            <w:tcW w:w="1500" w:type="dxa"/>
            <w:vAlign w:val="center"/>
          </w:tcPr>
          <w:p w14:paraId="48F98E2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+18.71%</w:t>
            </w:r>
          </w:p>
        </w:tc>
        <w:tc>
          <w:tcPr>
            <w:tcW w:w="5650" w:type="dxa"/>
            <w:vAlign w:val="center"/>
          </w:tcPr>
          <w:p w14:paraId="28D0275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贵金属再度放大，黑色阶段修复</w:t>
            </w:r>
          </w:p>
        </w:tc>
      </w:tr>
      <w:tr w:rsidR="00B97FBD" w14:paraId="481FB2D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EAF2F8"/>
            <w:vAlign w:val="center"/>
          </w:tcPr>
          <w:p w14:paraId="462A9C8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Q4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6BC3201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-0.05%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37B2C54F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-5.41%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60482EF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-0.06%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4C3E3CE1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+7.82%</w:t>
            </w:r>
          </w:p>
        </w:tc>
        <w:tc>
          <w:tcPr>
            <w:tcW w:w="1500" w:type="dxa"/>
            <w:shd w:val="clear" w:color="auto" w:fill="EAF2F8"/>
            <w:vAlign w:val="center"/>
          </w:tcPr>
          <w:p w14:paraId="0AB24F5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+32.39%</w:t>
            </w:r>
          </w:p>
        </w:tc>
        <w:tc>
          <w:tcPr>
            <w:tcW w:w="5650" w:type="dxa"/>
            <w:shd w:val="clear" w:color="auto" w:fill="EAF2F8"/>
            <w:vAlign w:val="center"/>
          </w:tcPr>
          <w:p w14:paraId="759AA10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有色和贵金属最强，</w:t>
            </w:r>
            <w:r>
              <w:rPr>
                <w:rFonts w:ascii="Aptos" w:eastAsia="微软雅黑" w:hAnsi="Aptos"/>
                <w:sz w:val="17"/>
                <w:szCs w:val="17"/>
              </w:rPr>
              <w:t xml:space="preserve">Energy </w:t>
            </w:r>
            <w:r>
              <w:rPr>
                <w:rFonts w:ascii="Aptos" w:eastAsia="微软雅黑" w:hAnsi="Aptos"/>
                <w:sz w:val="17"/>
                <w:szCs w:val="17"/>
              </w:rPr>
              <w:t>继续弱势</w:t>
            </w:r>
          </w:p>
        </w:tc>
      </w:tr>
    </w:tbl>
    <w:p w14:paraId="031D290B" w14:textId="77777777" w:rsidR="00B97FBD" w:rsidRDefault="00B97FBD">
      <w:pPr>
        <w:spacing w:after="50"/>
        <w:rPr>
          <w:rFonts w:hint="eastAsia"/>
        </w:rPr>
      </w:pPr>
    </w:p>
    <w:p w14:paraId="10BC484A" w14:textId="77777777" w:rsidR="00B97FBD" w:rsidRDefault="00000000">
      <w:pPr>
        <w:spacing w:after="100"/>
        <w:rPr>
          <w:rFonts w:hint="eastAsia"/>
        </w:rPr>
      </w:pPr>
      <w:r>
        <w:rPr>
          <w:rFonts w:ascii="Aptos" w:eastAsia="微软雅黑" w:hAnsi="Aptos"/>
          <w:sz w:val="21"/>
          <w:szCs w:val="21"/>
        </w:rPr>
        <w:t>季度策略表现：</w:t>
      </w:r>
    </w:p>
    <w:tbl>
      <w:tblPr>
        <w:tblW w:w="0" w:type="auto"/>
        <w:tblInd w:w="1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800"/>
        <w:gridCol w:w="2800"/>
        <w:gridCol w:w="2800"/>
      </w:tblGrid>
      <w:tr w:rsidR="00B97FBD" w14:paraId="10550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8"/>
            <w:vAlign w:val="center"/>
          </w:tcPr>
          <w:p w14:paraId="222E08B1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策略类别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5B10358E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Q1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累计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PnL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17E37ED3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Q2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累计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PnL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0D853042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Q3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累计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PnL</w:t>
            </w:r>
          </w:p>
        </w:tc>
        <w:tc>
          <w:tcPr>
            <w:tcW w:w="2800" w:type="dxa"/>
            <w:shd w:val="clear" w:color="auto" w:fill="1F4E78"/>
            <w:vAlign w:val="center"/>
          </w:tcPr>
          <w:p w14:paraId="49991204" w14:textId="77777777" w:rsidR="00B97FBD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Q4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累计</w:t>
            </w:r>
            <w:r>
              <w:rPr>
                <w:rFonts w:ascii="Aptos" w:eastAsia="微软雅黑" w:hAnsi="Aptos"/>
                <w:b/>
                <w:color w:val="FFFFFF"/>
                <w:sz w:val="17"/>
                <w:szCs w:val="17"/>
              </w:rPr>
              <w:t>PnL</w:t>
            </w:r>
          </w:p>
        </w:tc>
      </w:tr>
      <w:tr w:rsidR="00B97FBD" w14:paraId="426FB3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29D05D8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Trend</w:t>
            </w:r>
          </w:p>
        </w:tc>
        <w:tc>
          <w:tcPr>
            <w:tcW w:w="2800" w:type="dxa"/>
            <w:vAlign w:val="center"/>
          </w:tcPr>
          <w:p w14:paraId="39A12D7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-6.38</w:t>
            </w:r>
          </w:p>
        </w:tc>
        <w:tc>
          <w:tcPr>
            <w:tcW w:w="2800" w:type="dxa"/>
            <w:vAlign w:val="center"/>
          </w:tcPr>
          <w:p w14:paraId="7759AF6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-4.62</w:t>
            </w:r>
          </w:p>
        </w:tc>
        <w:tc>
          <w:tcPr>
            <w:tcW w:w="2800" w:type="dxa"/>
            <w:vAlign w:val="center"/>
          </w:tcPr>
          <w:p w14:paraId="46ABE53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28.74</w:t>
            </w:r>
          </w:p>
        </w:tc>
        <w:tc>
          <w:tcPr>
            <w:tcW w:w="2800" w:type="dxa"/>
            <w:vAlign w:val="center"/>
          </w:tcPr>
          <w:p w14:paraId="4B84D86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2.17</w:t>
            </w:r>
          </w:p>
        </w:tc>
      </w:tr>
      <w:tr w:rsidR="00B97FBD" w14:paraId="56C525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2F8"/>
            <w:vAlign w:val="center"/>
          </w:tcPr>
          <w:p w14:paraId="52574FC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Reversion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7A9BC78C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20.21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454352A6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-0.93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42C68FD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20.34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5688BCF0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5.72</w:t>
            </w:r>
          </w:p>
        </w:tc>
      </w:tr>
      <w:tr w:rsidR="00B97FBD" w14:paraId="30DC20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644A97F4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lastRenderedPageBreak/>
              <w:t>Carry</w:t>
            </w:r>
          </w:p>
        </w:tc>
        <w:tc>
          <w:tcPr>
            <w:tcW w:w="2800" w:type="dxa"/>
            <w:vAlign w:val="center"/>
          </w:tcPr>
          <w:p w14:paraId="1CB4517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-1.04</w:t>
            </w:r>
          </w:p>
        </w:tc>
        <w:tc>
          <w:tcPr>
            <w:tcW w:w="2800" w:type="dxa"/>
            <w:vAlign w:val="center"/>
          </w:tcPr>
          <w:p w14:paraId="4CA63CA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2.93</w:t>
            </w:r>
          </w:p>
        </w:tc>
        <w:tc>
          <w:tcPr>
            <w:tcW w:w="2800" w:type="dxa"/>
            <w:vAlign w:val="center"/>
          </w:tcPr>
          <w:p w14:paraId="207217F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0.33</w:t>
            </w:r>
          </w:p>
        </w:tc>
        <w:tc>
          <w:tcPr>
            <w:tcW w:w="2800" w:type="dxa"/>
            <w:vAlign w:val="center"/>
          </w:tcPr>
          <w:p w14:paraId="540DCF7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6.74</w:t>
            </w:r>
          </w:p>
        </w:tc>
      </w:tr>
      <w:tr w:rsidR="00B97FBD" w14:paraId="6EA72C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2F8"/>
            <w:vAlign w:val="center"/>
          </w:tcPr>
          <w:p w14:paraId="07CA6CE9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Alternative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7BC0D9F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1.48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3076E932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-0.71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5CDCDE6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14.30</w:t>
            </w:r>
          </w:p>
        </w:tc>
        <w:tc>
          <w:tcPr>
            <w:tcW w:w="2800" w:type="dxa"/>
            <w:shd w:val="clear" w:color="auto" w:fill="EAF2F8"/>
            <w:vAlign w:val="center"/>
          </w:tcPr>
          <w:p w14:paraId="204E15CD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12.22</w:t>
            </w:r>
          </w:p>
        </w:tc>
      </w:tr>
      <w:tr w:rsidR="00B97FBD" w14:paraId="0E3BF4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14:paraId="1E5A21E5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Portfolio</w:t>
            </w:r>
          </w:p>
        </w:tc>
        <w:tc>
          <w:tcPr>
            <w:tcW w:w="2800" w:type="dxa"/>
            <w:vAlign w:val="center"/>
          </w:tcPr>
          <w:p w14:paraId="02D304F8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5.71</w:t>
            </w:r>
          </w:p>
        </w:tc>
        <w:tc>
          <w:tcPr>
            <w:tcW w:w="2800" w:type="dxa"/>
            <w:vAlign w:val="center"/>
          </w:tcPr>
          <w:p w14:paraId="7472491A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-1.34</w:t>
            </w:r>
          </w:p>
        </w:tc>
        <w:tc>
          <w:tcPr>
            <w:tcW w:w="2800" w:type="dxa"/>
            <w:vAlign w:val="center"/>
          </w:tcPr>
          <w:p w14:paraId="5F6B4E53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25.50</w:t>
            </w:r>
          </w:p>
        </w:tc>
        <w:tc>
          <w:tcPr>
            <w:tcW w:w="2800" w:type="dxa"/>
            <w:vAlign w:val="center"/>
          </w:tcPr>
          <w:p w14:paraId="32A8BBDE" w14:textId="77777777" w:rsidR="00B97FBD" w:rsidRDefault="00000000">
            <w:pPr>
              <w:spacing w:after="0"/>
              <w:rPr>
                <w:rFonts w:hint="eastAsia"/>
              </w:rPr>
            </w:pPr>
            <w:r>
              <w:rPr>
                <w:rFonts w:ascii="Aptos" w:eastAsia="微软雅黑" w:hAnsi="Aptos"/>
                <w:sz w:val="17"/>
                <w:szCs w:val="17"/>
              </w:rPr>
              <w:t>10.75</w:t>
            </w:r>
          </w:p>
        </w:tc>
      </w:tr>
    </w:tbl>
    <w:p w14:paraId="2D2C90A2" w14:textId="77777777" w:rsidR="00B97FBD" w:rsidRDefault="00B97FBD">
      <w:pPr>
        <w:spacing w:after="50"/>
        <w:rPr>
          <w:rFonts w:hint="eastAsia"/>
        </w:rPr>
      </w:pPr>
    </w:p>
    <w:p w14:paraId="21B556FE" w14:textId="77777777" w:rsidR="00B97FBD" w:rsidRDefault="00000000">
      <w:pPr>
        <w:spacing w:after="100"/>
        <w:rPr>
          <w:rFonts w:hint="eastAsia"/>
        </w:rPr>
      </w:pPr>
      <w:r>
        <w:rPr>
          <w:rFonts w:ascii="Aptos" w:eastAsia="微软雅黑" w:hAnsi="Aptos"/>
          <w:sz w:val="21"/>
          <w:szCs w:val="21"/>
        </w:rPr>
        <w:t xml:space="preserve">2025 </w:t>
      </w:r>
      <w:r>
        <w:rPr>
          <w:rFonts w:ascii="Aptos" w:eastAsia="微软雅黑" w:hAnsi="Aptos"/>
          <w:sz w:val="21"/>
          <w:szCs w:val="21"/>
        </w:rPr>
        <w:t>年的季度节奏可以概括为：</w:t>
      </w:r>
      <w:r>
        <w:rPr>
          <w:rFonts w:ascii="Aptos" w:eastAsia="微软雅黑" w:hAnsi="Aptos"/>
          <w:sz w:val="21"/>
          <w:szCs w:val="21"/>
        </w:rPr>
        <w:t xml:space="preserve">Q1 </w:t>
      </w:r>
      <w:r>
        <w:rPr>
          <w:rFonts w:ascii="Aptos" w:eastAsia="微软雅黑" w:hAnsi="Aptos"/>
          <w:sz w:val="21"/>
          <w:szCs w:val="21"/>
        </w:rPr>
        <w:t>贵金属拉开主升，</w:t>
      </w:r>
      <w:r>
        <w:rPr>
          <w:rFonts w:ascii="Aptos" w:eastAsia="微软雅黑" w:hAnsi="Aptos"/>
          <w:sz w:val="21"/>
          <w:szCs w:val="21"/>
        </w:rPr>
        <w:t xml:space="preserve">Q2 </w:t>
      </w:r>
      <w:r>
        <w:rPr>
          <w:rFonts w:ascii="Aptos" w:eastAsia="微软雅黑" w:hAnsi="Aptos"/>
          <w:sz w:val="21"/>
          <w:szCs w:val="21"/>
        </w:rPr>
        <w:t>回撤中仍有韧性，</w:t>
      </w:r>
      <w:r>
        <w:rPr>
          <w:rFonts w:ascii="Aptos" w:eastAsia="微软雅黑" w:hAnsi="Aptos"/>
          <w:sz w:val="21"/>
          <w:szCs w:val="21"/>
        </w:rPr>
        <w:t xml:space="preserve">Q3 </w:t>
      </w:r>
      <w:r>
        <w:rPr>
          <w:rFonts w:ascii="Aptos" w:eastAsia="微软雅黑" w:hAnsi="Aptos"/>
          <w:sz w:val="21"/>
          <w:szCs w:val="21"/>
        </w:rPr>
        <w:t>贵金属再次放大收益，</w:t>
      </w:r>
      <w:r>
        <w:rPr>
          <w:rFonts w:ascii="Aptos" w:eastAsia="微软雅黑" w:hAnsi="Aptos"/>
          <w:sz w:val="21"/>
          <w:szCs w:val="21"/>
        </w:rPr>
        <w:t xml:space="preserve">Q4 NonFerrous </w:t>
      </w:r>
      <w:r>
        <w:rPr>
          <w:rFonts w:ascii="Aptos" w:eastAsia="微软雅黑" w:hAnsi="Aptos"/>
          <w:sz w:val="21"/>
          <w:szCs w:val="21"/>
        </w:rPr>
        <w:t>与</w:t>
      </w:r>
      <w:r>
        <w:rPr>
          <w:rFonts w:ascii="Aptos" w:eastAsia="微软雅黑" w:hAnsi="Aptos"/>
          <w:sz w:val="21"/>
          <w:szCs w:val="21"/>
        </w:rPr>
        <w:t xml:space="preserve"> Precious </w:t>
      </w:r>
      <w:r>
        <w:rPr>
          <w:rFonts w:ascii="Aptos" w:eastAsia="微软雅黑" w:hAnsi="Aptos"/>
          <w:sz w:val="21"/>
          <w:szCs w:val="21"/>
        </w:rPr>
        <w:t>继续强势。策略上，</w:t>
      </w:r>
      <w:r>
        <w:rPr>
          <w:rFonts w:ascii="Aptos" w:eastAsia="微软雅黑" w:hAnsi="Aptos"/>
          <w:sz w:val="21"/>
          <w:szCs w:val="21"/>
        </w:rPr>
        <w:t xml:space="preserve">Reversion </w:t>
      </w:r>
      <w:r>
        <w:rPr>
          <w:rFonts w:ascii="Aptos" w:eastAsia="微软雅黑" w:hAnsi="Aptos"/>
          <w:sz w:val="21"/>
          <w:szCs w:val="21"/>
        </w:rPr>
        <w:t>在</w:t>
      </w:r>
      <w:r>
        <w:rPr>
          <w:rFonts w:ascii="Aptos" w:eastAsia="微软雅黑" w:hAnsi="Aptos"/>
          <w:sz w:val="21"/>
          <w:szCs w:val="21"/>
        </w:rPr>
        <w:t xml:space="preserve"> 2025 </w:t>
      </w:r>
      <w:r>
        <w:rPr>
          <w:rFonts w:ascii="Aptos" w:eastAsia="微软雅黑" w:hAnsi="Aptos"/>
          <w:sz w:val="21"/>
          <w:szCs w:val="21"/>
        </w:rPr>
        <w:t>年前后两个强季度贡献最明显，</w:t>
      </w:r>
      <w:r>
        <w:rPr>
          <w:rFonts w:ascii="Aptos" w:eastAsia="微软雅黑" w:hAnsi="Aptos"/>
          <w:sz w:val="21"/>
          <w:szCs w:val="21"/>
        </w:rPr>
        <w:t xml:space="preserve">Blend </w:t>
      </w:r>
      <w:r>
        <w:rPr>
          <w:rFonts w:ascii="Aptos" w:eastAsia="微软雅黑" w:hAnsi="Aptos"/>
          <w:sz w:val="21"/>
          <w:szCs w:val="21"/>
        </w:rPr>
        <w:t>仍然保持最稳的综合表现。</w:t>
      </w:r>
    </w:p>
    <w:p w14:paraId="44D71455" w14:textId="77777777" w:rsidR="00B97FBD" w:rsidRDefault="00000000">
      <w:pPr>
        <w:pStyle w:val="4"/>
        <w:spacing w:before="170" w:after="110"/>
        <w:rPr>
          <w:rFonts w:hint="eastAsia"/>
        </w:rPr>
      </w:pPr>
      <w:r>
        <w:rPr>
          <w:rFonts w:ascii="Aptos" w:eastAsia="微软雅黑" w:hAnsi="Aptos"/>
          <w:b/>
          <w:color w:val="1F4E78"/>
          <w:sz w:val="21"/>
          <w:szCs w:val="21"/>
        </w:rPr>
        <w:t xml:space="preserve">2.3 </w:t>
      </w:r>
      <w:r>
        <w:rPr>
          <w:rFonts w:ascii="Aptos" w:eastAsia="微软雅黑" w:hAnsi="Aptos"/>
          <w:b/>
          <w:color w:val="1F4E78"/>
          <w:sz w:val="21"/>
          <w:szCs w:val="21"/>
        </w:rPr>
        <w:t>两年对比结论</w:t>
      </w:r>
    </w:p>
    <w:p w14:paraId="0A33D45A" w14:textId="77777777" w:rsidR="00B97FBD" w:rsidRDefault="00000000">
      <w:pPr>
        <w:pStyle w:val="a3"/>
        <w:spacing w:after="100"/>
        <w:rPr>
          <w:rFonts w:hint="eastAsia"/>
        </w:rPr>
      </w:pPr>
      <w:r>
        <w:rPr>
          <w:rFonts w:ascii="Aptos" w:eastAsia="微软雅黑" w:hAnsi="Aptos"/>
          <w:sz w:val="21"/>
          <w:szCs w:val="21"/>
        </w:rPr>
        <w:t xml:space="preserve">2024 </w:t>
      </w:r>
      <w:r>
        <w:rPr>
          <w:rFonts w:ascii="Aptos" w:eastAsia="微软雅黑" w:hAnsi="Aptos"/>
          <w:sz w:val="21"/>
          <w:szCs w:val="21"/>
        </w:rPr>
        <w:t>年主要盈利板块是</w:t>
      </w:r>
      <w:r>
        <w:rPr>
          <w:rFonts w:ascii="Aptos" w:eastAsia="微软雅黑" w:hAnsi="Aptos"/>
          <w:sz w:val="21"/>
          <w:szCs w:val="21"/>
        </w:rPr>
        <w:t xml:space="preserve"> Precious </w:t>
      </w:r>
      <w:r>
        <w:rPr>
          <w:rFonts w:ascii="Aptos" w:eastAsia="微软雅黑" w:hAnsi="Aptos"/>
          <w:sz w:val="21"/>
          <w:szCs w:val="21"/>
        </w:rPr>
        <w:t>与</w:t>
      </w:r>
      <w:r>
        <w:rPr>
          <w:rFonts w:ascii="Aptos" w:eastAsia="微软雅黑" w:hAnsi="Aptos"/>
          <w:sz w:val="21"/>
          <w:szCs w:val="21"/>
        </w:rPr>
        <w:t xml:space="preserve"> NonFerrous</w:t>
      </w:r>
      <w:r>
        <w:rPr>
          <w:rFonts w:ascii="Aptos" w:eastAsia="微软雅黑" w:hAnsi="Aptos"/>
          <w:sz w:val="21"/>
          <w:szCs w:val="21"/>
        </w:rPr>
        <w:t>；主要盈利品种集中在</w:t>
      </w:r>
      <w:r>
        <w:rPr>
          <w:rFonts w:ascii="Aptos" w:eastAsia="微软雅黑" w:hAnsi="Aptos"/>
          <w:sz w:val="21"/>
          <w:szCs w:val="21"/>
        </w:rPr>
        <w:t xml:space="preserve"> AO.SHF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P.DCE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AU.SHF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FU.SHF</w:t>
      </w:r>
      <w:r>
        <w:rPr>
          <w:rFonts w:ascii="Aptos" w:eastAsia="微软雅黑" w:hAnsi="Aptos"/>
          <w:sz w:val="21"/>
          <w:szCs w:val="21"/>
        </w:rPr>
        <w:t>。</w:t>
      </w:r>
    </w:p>
    <w:p w14:paraId="01664183" w14:textId="77777777" w:rsidR="00B97FBD" w:rsidRDefault="00000000">
      <w:pPr>
        <w:pStyle w:val="a3"/>
        <w:spacing w:after="100"/>
        <w:rPr>
          <w:rFonts w:hint="eastAsia"/>
        </w:rPr>
      </w:pPr>
      <w:r>
        <w:rPr>
          <w:rFonts w:ascii="Aptos" w:eastAsia="微软雅黑" w:hAnsi="Aptos"/>
          <w:sz w:val="21"/>
          <w:szCs w:val="21"/>
        </w:rPr>
        <w:t xml:space="preserve">2025 </w:t>
      </w:r>
      <w:r>
        <w:rPr>
          <w:rFonts w:ascii="Aptos" w:eastAsia="微软雅黑" w:hAnsi="Aptos"/>
          <w:sz w:val="21"/>
          <w:szCs w:val="21"/>
        </w:rPr>
        <w:t>年主要盈利板块是</w:t>
      </w:r>
      <w:r>
        <w:rPr>
          <w:rFonts w:ascii="Aptos" w:eastAsia="微软雅黑" w:hAnsi="Aptos"/>
          <w:sz w:val="21"/>
          <w:szCs w:val="21"/>
        </w:rPr>
        <w:t xml:space="preserve"> Precious</w:t>
      </w:r>
      <w:r>
        <w:rPr>
          <w:rFonts w:ascii="Aptos" w:eastAsia="微软雅黑" w:hAnsi="Aptos"/>
          <w:sz w:val="21"/>
          <w:szCs w:val="21"/>
        </w:rPr>
        <w:t>（其次是</w:t>
      </w:r>
      <w:r>
        <w:rPr>
          <w:rFonts w:ascii="Aptos" w:eastAsia="微软雅黑" w:hAnsi="Aptos"/>
          <w:sz w:val="21"/>
          <w:szCs w:val="21"/>
        </w:rPr>
        <w:t xml:space="preserve"> NonFerrous</w:t>
      </w:r>
      <w:r>
        <w:rPr>
          <w:rFonts w:ascii="Aptos" w:eastAsia="微软雅黑" w:hAnsi="Aptos"/>
          <w:sz w:val="21"/>
          <w:szCs w:val="21"/>
        </w:rPr>
        <w:t>）；主要盈利品种集中在</w:t>
      </w:r>
      <w:r>
        <w:rPr>
          <w:rFonts w:ascii="Aptos" w:eastAsia="微软雅黑" w:hAnsi="Aptos"/>
          <w:sz w:val="21"/>
          <w:szCs w:val="21"/>
        </w:rPr>
        <w:t xml:space="preserve"> AG.SHF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AU.SHF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CU.SHF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AP.ZCE</w:t>
      </w:r>
      <w:r>
        <w:rPr>
          <w:rFonts w:ascii="Aptos" w:eastAsia="微软雅黑" w:hAnsi="Aptos"/>
          <w:sz w:val="21"/>
          <w:szCs w:val="21"/>
        </w:rPr>
        <w:t>、</w:t>
      </w:r>
      <w:r>
        <w:rPr>
          <w:rFonts w:ascii="Aptos" w:eastAsia="微软雅黑" w:hAnsi="Aptos"/>
          <w:sz w:val="21"/>
          <w:szCs w:val="21"/>
        </w:rPr>
        <w:t>SN.SHF</w:t>
      </w:r>
      <w:r>
        <w:rPr>
          <w:rFonts w:ascii="Aptos" w:eastAsia="微软雅黑" w:hAnsi="Aptos"/>
          <w:sz w:val="21"/>
          <w:szCs w:val="21"/>
        </w:rPr>
        <w:t>。</w:t>
      </w:r>
    </w:p>
    <w:p w14:paraId="59619FF5" w14:textId="7F46B135" w:rsidR="00B97FBD" w:rsidRDefault="00B97FBD" w:rsidP="00292334">
      <w:pPr>
        <w:spacing w:after="0"/>
        <w:rPr>
          <w:rFonts w:hint="eastAsia"/>
        </w:rPr>
      </w:pPr>
    </w:p>
    <w:sectPr w:rsidR="00B97FBD">
      <w:pgSz w:w="16838" w:h="11906" w:orient="landscape"/>
      <w:pgMar w:top="850" w:right="850" w:bottom="850" w:left="850" w:header="425" w:footer="42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FBD"/>
    <w:rsid w:val="00292334"/>
    <w:rsid w:val="0060751D"/>
    <w:rsid w:val="008350CD"/>
    <w:rsid w:val="00842DFE"/>
    <w:rsid w:val="00B97FBD"/>
    <w:rsid w:val="00C9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1EF26B"/>
  <w15:docId w15:val="{F780C2D6-92FC-42BB-A009-688BD879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unhideWhenUsed/>
    <w:qFormat/>
    <w:pPr>
      <w:outlineLvl w:val="1"/>
    </w:pPr>
  </w:style>
  <w:style w:type="paragraph" w:styleId="3">
    <w:name w:val="heading 3"/>
    <w:uiPriority w:val="9"/>
    <w:unhideWhenUsed/>
    <w:qFormat/>
    <w:pPr>
      <w:outlineLvl w:val="2"/>
    </w:pPr>
  </w:style>
  <w:style w:type="paragraph" w:styleId="4">
    <w:name w:val="heading 4"/>
    <w:uiPriority w:val="9"/>
    <w:unhideWhenUsed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1011</Words>
  <Characters>2428</Characters>
  <Application>Microsoft Office Word</Application>
  <DocSecurity>0</DocSecurity>
  <Lines>269</Lines>
  <Paragraphs>343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恺诚 刘</cp:lastModifiedBy>
  <cp:revision>6</cp:revision>
  <dcterms:created xsi:type="dcterms:W3CDTF">2026-08-13T05:53:00Z</dcterms:created>
  <dcterms:modified xsi:type="dcterms:W3CDTF">2026-08-13T05:54:00Z</dcterms:modified>
</cp:coreProperties>
</file>