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TwinScientist：基于国产开源大模型的自主科研智能体</w:t>
      </w:r>
    </w:p>
    <w:p>
      <w:pPr>
        <w:pStyle w:val="Heading2"/>
      </w:pPr>
      <w:r>
        <w:t>面向环境—人体关联的可验证因果假设生成系统</w:t>
      </w:r>
    </w:p>
    <w:p>
      <w:pPr>
        <w:spacing w:before="80" w:after="80"/>
        <w:ind w:left="567"/>
        <w:pBdr>
          <w:left w:val="single" w:sz="12" w:space="8" w:color="1A73E8"/>
        </w:pBdr>
      </w:pPr>
      <w:r>
        <w:rPr>
          <w:i/>
          <w:color w:val="444444"/>
          <w:sz w:val="20"/>
        </w:rPr>
        <w:t>**摘要**：传统科研模式高度依赖研究者个人经验，面对多模态时序数据时效率低且易陷入思维定式。现有 AI Scientist 系统（Sakana、Google Co-Scientist 等）多局限于代码验证或仿真环境，缺乏连接真实物联网传感器数据并进行因果推断的能力。本文提出 TwinScientist，一个基于 Qwen 系列大模型（阿里云百炼平台）的 14 节点多智能体认知系统，融合真实环境传感器数据（温湿度、CO₂、PM2.5、VOC）、生物信号数据（PPG、HRV、SpO₂）与视觉疲劳指标三类模态，通过自研的 8 类因果推断引擎（含完整 CCM 实现）驱动自动化科研闭环。在包含 13 条已知因果边的 Benchmark 上，系统因果推断 Macro F1 达到 0.757，召回率 0.832，方向准确率 0.909，综合 F1 相比最优基线（Pearson 相关 0.667）提升 9 个百分点。通过一个真实受试者 4 房间 14 天的端到端案例，验证了系统从问题输入到标准化科研报告的全链路可行性。</w:t>
      </w:r>
    </w:p>
    <w:p>
      <w:pPr>
        <w:pBdr>
          <w:bottom w:val="single" w:sz="6" w:space="1" w:color="CCCCCC"/>
        </w:pBdr>
      </w:pPr>
    </w:p>
    <w:p>
      <w:pPr>
        <w:pStyle w:val="Heading2"/>
      </w:pPr>
      <w:r>
        <w:t>第一章 引言</w:t>
      </w:r>
    </w:p>
    <w:p>
      <w:pPr>
        <w:pStyle w:val="Heading3"/>
      </w:pPr>
      <w:r>
        <w:t>1.1 三个真实痛点</w:t>
      </w:r>
    </w:p>
    <w:p>
      <w:r>
        <w:rPr>
          <w:b/>
        </w:rPr>
        <w:t>场景 A：办公室里的认知迷雾。</w:t>
      </w:r>
      <w:r>
        <w:t xml:space="preserve"> 你在一间密闭办公室工作 3 小时后开始头昏、注意力下降。PM2.5 监测仪显示当前浓度 65 μg/m³，CO₂ 浓度 1800 ppm。但问题是：到底是 CO₂ 升高导致了认知下降，还是 PM2.5 启动了炎症通路？抑或仅仅是因为疲劳？传统的单因子分析无法回答这个问题——它需要因果推断，而不仅仅是相关性检测。</w:t>
      </w:r>
    </w:p>
    <w:p>
      <w:r>
        <w:rPr>
          <w:b/>
        </w:rPr>
        <w:t>场景 B：每个人的生理都是独一无二的。</w:t>
      </w:r>
      <w:r>
        <w:t xml:space="preserve"> 一篇 2007 年的研究系统考察了温度与睡眠质量的关系（Wolkove et al., 2007），但这类群体平均结论无法回答：你在 28°C 时心率变异性的具体下降幅度是多少？在 32°C 时呢？群体平均效应掩盖了个体水平的异质性响应——这是横断面研究设计的固有限制（Senn, 2004）。标准的横断面研究设计无法提供个体化的因果估计。</w:t>
      </w:r>
    </w:p>
    <w:p>
      <w:r>
        <w:rPr>
          <w:b/>
        </w:rPr>
        <w:t>场景 C：科研人员的时间都去哪了。</w:t>
      </w:r>
      <w:r>
        <w:t xml:space="preserve"> 一次典型的研究流程中，约 60% 的时间用于文献检索与整理，20% 用于实验设计与数据清洗，仅 15-20% 用于真正的分析推理与假设构建。文献搜索、事实提取、实验设计、结果解读——这些环节中的大多数可以被自动化。</w:t>
      </w:r>
    </w:p>
    <w:p>
      <w:r>
        <w:t>这三个场景指向同一个核心问题：</w:t>
      </w:r>
      <w:r>
        <w:rPr>
          <w:b/>
        </w:rPr>
        <w:t>缺乏一个能够连接真实多模态数据、执行因果推断而非相关性分析、并能自主完成科研闭环的自动化系统。</w:t>
      </w:r>
    </w:p>
    <w:p>
      <w:pPr>
        <w:pStyle w:val="Heading3"/>
      </w:pPr>
      <w:r>
        <w:t>1.2 现有方案的差距</w:t>
      </w:r>
    </w:p>
    <w:p>
      <w:r>
        <w:t>当前学术界和工业界在 AI for Science 领域的探索可归纳为三条技术路线：</w:t>
      </w:r>
    </w:p>
    <w:p>
      <w:r>
        <w:rPr>
          <w:b/>
        </w:rPr>
        <w:t>路线一：代码生成与验证型。</w:t>
      </w:r>
      <w:r>
        <w:t xml:space="preserve"> 代表性工作 Sakana AI-Scientist（Lu et al., 2024）通过 LLM 生成假设→编写代码→运行验证→迭代优化。但该系统仅操作代码和模拟数据，无法接入真实世界传感器数据，其实验验证实际是代码执行而非实证检验。</w:t>
      </w:r>
    </w:p>
    <w:p>
      <w:r>
        <w:rPr>
          <w:b/>
        </w:rPr>
        <w:t>路线二：封闭式专家系统。</w:t>
      </w:r>
      <w:r>
        <w:t xml:space="preserve"> Google Co-Scientist（Gottweis et al., 2025）采用 Tournament 进化和多 Agent 辩论机制生成科学假设，系统设计精密但未开源，且其假设验证依赖已有文献数据库，不能连接用户提供的个性化数据。</w:t>
      </w:r>
    </w:p>
    <w:p>
      <w:r>
        <w:rPr>
          <w:b/>
        </w:rPr>
        <w:t>路线三：通用推理代理。</w:t>
      </w:r>
      <w:r>
        <w:t xml:space="preserve"> OpenAI Deep Research（2025）和 Agent Laboratory（2024）等系统在文献综述和框架搭建方面表现出色，但它们不生成可检验的科学假设，也不执行数据分析——它们辅助人类思考，而非替代人类完成科研循环。</w:t>
      </w:r>
    </w:p>
    <w:p>
      <w:r>
        <w:t>这些系统的共同局限是：（1）不处理真实传感器数据；（2）不执行因果推断；（3）不提供个体化（N-of-1）的分析视角。</w:t>
      </w:r>
    </w:p>
    <w:p>
      <w:pPr>
        <w:pStyle w:val="Heading3"/>
      </w:pPr>
      <w:r>
        <w:t>1.3 核心思想与系统定位</w:t>
      </w:r>
    </w:p>
    <w:p>
      <w:r>
        <w:t>TwinScientist 的设计出发点可以概括为：</w:t>
      </w:r>
      <w:r>
        <w:rPr>
          <w:b/>
        </w:rPr>
        <w:t>让 AI 不仅仅是"搜索和总结"，而是像一位真实科学家一样读完文献、提出假设、设计实验、分析数据、接受评审、修改假设、最终形成报告。</w:t>
      </w:r>
    </w:p>
    <w:p>
      <w:r>
        <w:t>系统在三个层面上做出关键设计决策：</w:t>
      </w:r>
    </w:p>
    <w:p>
      <w:r>
        <w:rPr>
          <w:b/>
        </w:rPr>
        <w:t>决策一：真实数据优先。</w:t>
      </w:r>
      <w:r>
        <w:t xml:space="preserve"> 系统直接读取环境传感器 CSV、生物信号 CSV 和视觉疲劳数据，通过自动格式检测（Daltons 长格式 / Flat 宽格式）和列映射标准化后注入因果推断流水线。</w:t>
      </w:r>
    </w:p>
    <w:p>
      <w:r>
        <w:rPr>
          <w:b/>
        </w:rPr>
        <w:t>决策二：因果而非相关。</w:t>
      </w:r>
      <w:r>
        <w:t xml:space="preserve"> 系统中的数据分析节点调用自研的 8 类因果推断工具箱，自动基于样本量、变量维度、时序属性选择最优方法。每条证据输出附带完整的统计依据（p 值、F 统计量、效应量、收敛检验结果）。</w:t>
      </w:r>
    </w:p>
    <w:p>
      <w:r>
        <w:rPr>
          <w:b/>
        </w:rPr>
        <w:t>决策三：人在回路的多智能体协作。</w:t>
      </w:r>
      <w:r>
        <w:t xml:space="preserve"> 系统通过 14 个认知节点编排为有向无环图（DAG），由 Orchestrator 根据证据强度和不确定性动态路由。包含伦理审查、五维同行评审、Pro/Con/Judge 多智能体辩论、PI Agent 综合汇报等机制。</w:t>
      </w:r>
    </w:p>
    <w:p>
      <w:pPr>
        <w:pStyle w:val="Heading3"/>
      </w:pPr>
      <w:r>
        <w:t>1.4 主要贡献</w:t>
      </w:r>
    </w:p>
    <w:p>
      <w:r>
        <w:rPr>
          <w:b/>
        </w:rPr>
        <w:t>贡献①：面向真实 IoT 数据的自主科研系统。</w:t>
      </w:r>
      <w:r>
        <w:t xml:space="preserve"> 系统集成了环境传感器、可穿戴生物信号设备和视觉疲劳监测三源数据，通过自动格式检测和质量评估模块实现数据接入，覆盖从数据清洗到标准化报告输出的完整科研链路。</w:t>
      </w:r>
    </w:p>
    <w:p>
      <w:r>
        <w:rPr>
          <w:b/>
        </w:rPr>
        <w:t>贡献②：面向时序因果推断的自研分析引擎。</w:t>
      </w:r>
      <w:r>
        <w:t xml:space="preserve"> 实现了 8 类因果推断方法，其中 CCM（收敛交叉映射）为完整自研实现（含延迟嵌入、KNN 距离加权预测、多 library-size 收敛验证），Granger 因果关系检验同时支持 statsmodels 生产和自研 OLS 降级双路径。</w:t>
      </w:r>
    </w:p>
    <w:p>
      <w:r>
        <w:rPr>
          <w:b/>
        </w:rPr>
        <w:t>贡献③：14 节点认知图谱 + 三路推理的假设生成闭环。</w:t>
      </w:r>
      <w:r>
        <w:t xml:space="preserve"> 系统通过 LogicEngine（归纳/演绎/溯因三条推理路径）生成结构化候选假设，经 Elo 淘汰赛筛选、实验验证、五维评审、多智能体辩论、Bayesian 置信度更新、失败反思派生假设的完整迭代循环。</w:t>
      </w:r>
    </w:p>
    <w:p>
      <w:pPr>
        <w:pBdr>
          <w:bottom w:val="single" w:sz="6" w:space="1" w:color="CCCCCC"/>
        </w:pBdr>
      </w:pPr>
    </w:p>
    <w:p>
      <w:pPr>
        <w:pStyle w:val="Heading2"/>
      </w:pPr>
      <w:r>
        <w:t>第二章 相关工作与差距分析</w:t>
      </w:r>
    </w:p>
    <w:p>
      <w:pPr>
        <w:pStyle w:val="Heading3"/>
      </w:pPr>
      <w:r>
        <w:t>2.1 AI for Science 系统现状</w:t>
      </w:r>
    </w:p>
    <w:tbl>
      <w:tblPr>
        <w:tblStyle w:val="TableGrid"/>
        <w:tblW w:type="auto" w:w="0"/>
        <w:jc w:val="center"/>
        <w:tblLook w:firstColumn="1" w:firstRow="1" w:lastColumn="0" w:lastRow="0" w:noHBand="0" w:noVBand="1" w:val="04A0"/>
      </w:tblPr>
      <w:tblGrid>
        <w:gridCol w:w="1186"/>
        <w:gridCol w:w="1186"/>
        <w:gridCol w:w="1186"/>
        <w:gridCol w:w="1186"/>
        <w:gridCol w:w="1186"/>
        <w:gridCol w:w="1186"/>
        <w:gridCol w:w="1186"/>
      </w:tblGrid>
      <w:tr>
        <w:tc>
          <w:tcPr>
            <w:tcW w:type="dxa" w:w="1186"/>
            <w:shd w:fill="1A73E8"/>
          </w:tcPr>
          <w:p>
            <w:pPr>
              <w:jc w:val="center"/>
            </w:pPr>
            <w:r/>
            <w:r>
              <w:rPr>
                <w:b/>
                <w:color w:val="FFFFFF"/>
                <w:sz w:val="18"/>
              </w:rPr>
              <w:t>系统</w:t>
            </w:r>
          </w:p>
        </w:tc>
        <w:tc>
          <w:tcPr>
            <w:tcW w:type="dxa" w:w="1186"/>
            <w:shd w:fill="1A73E8"/>
          </w:tcPr>
          <w:p>
            <w:pPr>
              <w:jc w:val="center"/>
            </w:pPr>
            <w:r/>
            <w:r>
              <w:rPr>
                <w:b/>
                <w:color w:val="FFFFFF"/>
                <w:sz w:val="18"/>
              </w:rPr>
              <w:t>真实数据</w:t>
            </w:r>
          </w:p>
        </w:tc>
        <w:tc>
          <w:tcPr>
            <w:tcW w:type="dxa" w:w="1186"/>
            <w:shd w:fill="1A73E8"/>
          </w:tcPr>
          <w:p>
            <w:pPr>
              <w:jc w:val="center"/>
            </w:pPr>
            <w:r/>
            <w:r>
              <w:rPr>
                <w:b/>
                <w:color w:val="FFFFFF"/>
                <w:sz w:val="18"/>
              </w:rPr>
              <w:t>因果推断</w:t>
            </w:r>
          </w:p>
        </w:tc>
        <w:tc>
          <w:tcPr>
            <w:tcW w:type="dxa" w:w="1186"/>
            <w:shd w:fill="1A73E8"/>
          </w:tcPr>
          <w:p>
            <w:pPr>
              <w:jc w:val="center"/>
            </w:pPr>
            <w:r/>
            <w:r>
              <w:rPr>
                <w:b/>
                <w:color w:val="FFFFFF"/>
                <w:sz w:val="18"/>
              </w:rPr>
              <w:t>可验证假设</w:t>
            </w:r>
          </w:p>
        </w:tc>
        <w:tc>
          <w:tcPr>
            <w:tcW w:type="dxa" w:w="1186"/>
            <w:shd w:fill="1A73E8"/>
          </w:tcPr>
          <w:p>
            <w:pPr>
              <w:jc w:val="center"/>
            </w:pPr>
            <w:r/>
            <w:r>
              <w:rPr>
                <w:b/>
                <w:color w:val="FFFFFF"/>
                <w:sz w:val="18"/>
              </w:rPr>
              <w:t>开源</w:t>
            </w:r>
          </w:p>
        </w:tc>
        <w:tc>
          <w:tcPr>
            <w:tcW w:type="dxa" w:w="1186"/>
            <w:shd w:fill="1A73E8"/>
          </w:tcPr>
          <w:p>
            <w:pPr>
              <w:jc w:val="center"/>
            </w:pPr>
            <w:r/>
            <w:r>
              <w:rPr>
                <w:b/>
                <w:color w:val="FFFFFF"/>
                <w:sz w:val="18"/>
              </w:rPr>
              <w:t>多Agent辩论</w:t>
            </w:r>
          </w:p>
        </w:tc>
        <w:tc>
          <w:tcPr>
            <w:tcW w:type="dxa" w:w="1186"/>
            <w:shd w:fill="1A73E8"/>
          </w:tcPr>
          <w:p>
            <w:pPr>
              <w:jc w:val="center"/>
            </w:pPr>
            <w:r/>
            <w:r>
              <w:rPr>
                <w:b/>
                <w:color w:val="FFFFFF"/>
                <w:sz w:val="18"/>
              </w:rPr>
              <w:t>N-of-1</w:t>
            </w:r>
          </w:p>
        </w:tc>
      </w:tr>
      <w:tr>
        <w:tc>
          <w:tcPr>
            <w:tcW w:type="dxa" w:w="1186"/>
            <w:shd w:fill="F0F6FF"/>
          </w:tcPr>
          <w:p>
            <w:r/>
            <w:r>
              <w:rPr>
                <w:sz w:val="18"/>
              </w:rPr>
              <w:t>Sakana AI-Scientist (2024)</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r>
      <w:tr>
        <w:tc>
          <w:tcPr>
            <w:tcW w:type="dxa" w:w="1186"/>
          </w:tcPr>
          <w:p>
            <w:r/>
            <w:r>
              <w:rPr>
                <w:sz w:val="18"/>
              </w:rPr>
              <w:t>Google Co-Scientist (2025)</w:t>
            </w:r>
          </w:p>
        </w:tc>
        <w:tc>
          <w:tcPr>
            <w:tcW w:type="dxa" w:w="1186"/>
          </w:tcPr>
          <w:p>
            <w:r/>
            <w:r>
              <w:rPr>
                <w:sz w:val="18"/>
              </w:rPr>
              <w:t>✗</w:t>
            </w:r>
          </w:p>
        </w:tc>
        <w:tc>
          <w:tcPr>
            <w:tcW w:type="dxa" w:w="1186"/>
          </w:tcPr>
          <w:p>
            <w:r/>
            <w:r>
              <w:rPr>
                <w:sz w:val="18"/>
              </w:rPr>
              <w:t>✗</w:t>
            </w:r>
          </w:p>
        </w:tc>
        <w:tc>
          <w:tcPr>
            <w:tcW w:type="dxa" w:w="1186"/>
          </w:tcPr>
          <w:p>
            <w:r/>
            <w:r>
              <w:rPr>
                <w:sz w:val="18"/>
              </w:rPr>
              <w:t>✓</w:t>
            </w:r>
          </w:p>
        </w:tc>
        <w:tc>
          <w:tcPr>
            <w:tcW w:type="dxa" w:w="1186"/>
          </w:tcPr>
          <w:p>
            <w:r/>
            <w:r>
              <w:rPr>
                <w:sz w:val="18"/>
              </w:rPr>
              <w:t>✗</w:t>
            </w:r>
          </w:p>
        </w:tc>
        <w:tc>
          <w:tcPr>
            <w:tcW w:type="dxa" w:w="1186"/>
          </w:tcPr>
          <w:p>
            <w:r/>
            <w:r>
              <w:rPr>
                <w:sz w:val="18"/>
              </w:rPr>
              <w:t>✓</w:t>
            </w:r>
          </w:p>
        </w:tc>
        <w:tc>
          <w:tcPr>
            <w:tcW w:type="dxa" w:w="1186"/>
          </w:tcPr>
          <w:p>
            <w:r/>
            <w:r>
              <w:rPr>
                <w:sz w:val="18"/>
              </w:rPr>
              <w:t>✗</w:t>
            </w:r>
          </w:p>
        </w:tc>
      </w:tr>
      <w:tr>
        <w:tc>
          <w:tcPr>
            <w:tcW w:type="dxa" w:w="1186"/>
            <w:shd w:fill="F0F6FF"/>
          </w:tcPr>
          <w:p>
            <w:r/>
            <w:r>
              <w:rPr>
                <w:sz w:val="18"/>
              </w:rPr>
              <w:t>OpenAI Deep Research (2025)</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r>
      <w:tr>
        <w:tc>
          <w:tcPr>
            <w:tcW w:type="dxa" w:w="1186"/>
          </w:tcPr>
          <w:p>
            <w:r/>
            <w:r>
              <w:rPr>
                <w:sz w:val="18"/>
              </w:rPr>
              <w:t>Agent Laboratory (2024)</w:t>
            </w:r>
          </w:p>
        </w:tc>
        <w:tc>
          <w:tcPr>
            <w:tcW w:type="dxa" w:w="1186"/>
          </w:tcPr>
          <w:p>
            <w:r/>
            <w:r>
              <w:rPr>
                <w:sz w:val="18"/>
              </w:rPr>
              <w:t>✗</w:t>
            </w:r>
          </w:p>
        </w:tc>
        <w:tc>
          <w:tcPr>
            <w:tcW w:type="dxa" w:w="1186"/>
          </w:tcPr>
          <w:p>
            <w:r/>
            <w:r>
              <w:rPr>
                <w:sz w:val="18"/>
              </w:rPr>
              <w:t>✗</w:t>
            </w:r>
          </w:p>
        </w:tc>
        <w:tc>
          <w:tcPr>
            <w:tcW w:type="dxa" w:w="1186"/>
          </w:tcPr>
          <w:p>
            <w:r/>
            <w:r>
              <w:rPr>
                <w:sz w:val="18"/>
              </w:rPr>
              <w:t>✓</w:t>
            </w:r>
          </w:p>
        </w:tc>
        <w:tc>
          <w:tcPr>
            <w:tcW w:type="dxa" w:w="1186"/>
          </w:tcPr>
          <w:p>
            <w:r/>
            <w:r>
              <w:rPr>
                <w:sz w:val="18"/>
              </w:rPr>
              <w:t>✓</w:t>
            </w:r>
          </w:p>
        </w:tc>
        <w:tc>
          <w:tcPr>
            <w:tcW w:type="dxa" w:w="1186"/>
          </w:tcPr>
          <w:p>
            <w:r/>
            <w:r>
              <w:rPr>
                <w:sz w:val="18"/>
              </w:rPr>
              <w:t>✗</w:t>
            </w:r>
          </w:p>
        </w:tc>
        <w:tc>
          <w:tcPr>
            <w:tcW w:type="dxa" w:w="1186"/>
          </w:tcPr>
          <w:p>
            <w:r/>
            <w:r>
              <w:rPr>
                <w:sz w:val="18"/>
              </w:rPr>
              <w:t>✗</w:t>
            </w:r>
          </w:p>
        </w:tc>
      </w:tr>
      <w:tr>
        <w:tc>
          <w:tcPr>
            <w:tcW w:type="dxa" w:w="1186"/>
            <w:shd w:fill="F0F6FF"/>
          </w:tcPr>
          <w:p>
            <w:r/>
            <w:r>
              <w:rPr>
                <w:sz w:val="18"/>
              </w:rPr>
              <w:t>AutoDevin (2024)</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c>
          <w:tcPr>
            <w:tcW w:type="dxa" w:w="1186"/>
            <w:shd w:fill="F0F6FF"/>
          </w:tcPr>
          <w:p>
            <w:r/>
            <w:r>
              <w:rPr>
                <w:sz w:val="18"/>
              </w:rPr>
              <w:t>✗</w:t>
            </w:r>
          </w:p>
        </w:tc>
      </w:tr>
      <w:tr>
        <w:tc>
          <w:tcPr>
            <w:tcW w:type="dxa" w:w="1186"/>
          </w:tcPr>
          <w:p>
            <w:r/>
            <w:r>
              <w:rPr>
                <w:b/>
                <w:sz w:val="18"/>
              </w:rPr>
            </w:r>
            <w:r>
              <w:rPr>
                <w:b/>
                <w:sz w:val="18"/>
              </w:rPr>
              <w:t>TwinScientist（本系统）</w:t>
            </w:r>
          </w:p>
        </w:tc>
        <w:tc>
          <w:tcPr>
            <w:tcW w:type="dxa" w:w="1186"/>
          </w:tcPr>
          <w:p>
            <w:r/>
            <w:r>
              <w:rPr>
                <w:b/>
                <w:sz w:val="18"/>
              </w:rPr>
            </w:r>
            <w:r>
              <w:rPr>
                <w:b/>
                <w:sz w:val="18"/>
              </w:rPr>
              <w:t>✓</w:t>
            </w:r>
          </w:p>
        </w:tc>
        <w:tc>
          <w:tcPr>
            <w:tcW w:type="dxa" w:w="1186"/>
          </w:tcPr>
          <w:p>
            <w:r/>
            <w:r>
              <w:rPr>
                <w:b/>
                <w:sz w:val="18"/>
              </w:rPr>
            </w:r>
            <w:r>
              <w:rPr>
                <w:b/>
                <w:sz w:val="18"/>
              </w:rPr>
              <w:t>✓</w:t>
            </w:r>
          </w:p>
        </w:tc>
        <w:tc>
          <w:tcPr>
            <w:tcW w:type="dxa" w:w="1186"/>
          </w:tcPr>
          <w:p>
            <w:r/>
            <w:r>
              <w:rPr>
                <w:b/>
                <w:sz w:val="18"/>
              </w:rPr>
            </w:r>
            <w:r>
              <w:rPr>
                <w:b/>
                <w:sz w:val="18"/>
              </w:rPr>
              <w:t>✓</w:t>
            </w:r>
          </w:p>
        </w:tc>
        <w:tc>
          <w:tcPr>
            <w:tcW w:type="dxa" w:w="1186"/>
          </w:tcPr>
          <w:p>
            <w:r/>
            <w:r>
              <w:rPr>
                <w:b/>
                <w:sz w:val="18"/>
              </w:rPr>
            </w:r>
            <w:r>
              <w:rPr>
                <w:b/>
                <w:sz w:val="18"/>
              </w:rPr>
              <w:t>✓</w:t>
            </w:r>
          </w:p>
        </w:tc>
        <w:tc>
          <w:tcPr>
            <w:tcW w:type="dxa" w:w="1186"/>
          </w:tcPr>
          <w:p>
            <w:r/>
            <w:r>
              <w:rPr>
                <w:b/>
                <w:sz w:val="18"/>
              </w:rPr>
            </w:r>
            <w:r>
              <w:rPr>
                <w:b/>
                <w:sz w:val="18"/>
              </w:rPr>
              <w:t>✓</w:t>
            </w:r>
          </w:p>
        </w:tc>
        <w:tc>
          <w:tcPr>
            <w:tcW w:type="dxa" w:w="1186"/>
          </w:tcPr>
          <w:p>
            <w:r/>
            <w:r>
              <w:rPr>
                <w:b/>
                <w:sz w:val="18"/>
              </w:rPr>
            </w:r>
            <w:r>
              <w:rPr>
                <w:b/>
                <w:sz w:val="18"/>
              </w:rPr>
              <w:t>✓</w:t>
            </w:r>
          </w:p>
        </w:tc>
      </w:tr>
    </w:tbl>
    <w:p>
      <w:pPr>
        <w:spacing w:before="0" w:after="120"/>
      </w:pPr>
    </w:p>
    <w:p>
      <w:pPr>
        <w:pStyle w:val="Heading3"/>
      </w:pPr>
      <w:r>
        <w:t>2.2 因果推断在健康领域的应用现状</w:t>
      </w:r>
    </w:p>
    <w:p>
      <w:r>
        <w:t>环境健康领域的因果推断研究以群体水平的计量经济学方法为主，如差分法（Difference-in-Differences）、断点回归（RDD）等（Dominici et al., 2014）。这些方法依赖大样本、自然实验或准实验设计，难以推广到个体水平的时序数据场景。TwinScientist 采用的 CCM、Granger 等方法恰好适用于个体水平的、高时间分辨率的多变量时间序列因果检测，填补了这一技术空白。</w:t>
      </w:r>
    </w:p>
    <w:p>
      <w:pPr>
        <w:pStyle w:val="Heading3"/>
      </w:pPr>
      <w:r>
        <w:t>2.3 GAP 总结</w:t>
      </w:r>
    </w:p>
    <w:p>
      <w:r>
        <w:t>现有 AI Scientist 系统存在三个核心空白：（1）无法处理真实传感器数据；（2）不具备因果推断能力；（3）不支持个体化（N-of-1）研究设计。TwinScientist 在这三个维度上同时填补了空白。</w:t>
      </w:r>
    </w:p>
    <w:p>
      <w:pPr>
        <w:pBdr>
          <w:bottom w:val="single" w:sz="6" w:space="1" w:color="CCCCCC"/>
        </w:pBdr>
      </w:pPr>
    </w:p>
    <w:p>
      <w:pPr>
        <w:pStyle w:val="Heading2"/>
      </w:pPr>
      <w:r>
        <w:t>第三章 系统架构设计</w:t>
      </w:r>
    </w:p>
    <w:p>
      <w:pPr>
        <w:pStyle w:val="Heading3"/>
      </w:pPr>
      <w:r>
        <w:t>3.1 设计原则</w:t>
      </w:r>
    </w:p>
    <w:p>
      <w:r>
        <w:t>系统架构遵循四条设计原则：</w:t>
      </w:r>
    </w:p>
    <w:p>
      <w:pPr>
        <w:pStyle w:val="ListBullet"/>
      </w:pPr>
      <w:r>
        <w:rPr>
          <w:b/>
        </w:rPr>
        <w:t>P1 真实数据优先</w:t>
      </w:r>
      <w:r>
        <w:t>：不依赖合成数据或仿真环境，直接对接真实传感器 CSV 输出</w:t>
      </w:r>
    </w:p>
    <w:p>
      <w:pPr>
        <w:pStyle w:val="ListBullet"/>
      </w:pPr>
      <w:r>
        <w:rPr>
          <w:b/>
        </w:rPr>
        <w:t>P2 因果 &gt; 相关</w:t>
      </w:r>
      <w:r>
        <w:t>：每个结论基于方向性因果检验，附带完整统计依据</w:t>
      </w:r>
    </w:p>
    <w:p>
      <w:pPr>
        <w:pStyle w:val="ListBullet"/>
      </w:pPr>
      <w:r>
        <w:rPr>
          <w:b/>
        </w:rPr>
        <w:t>P3 可追溯可复现</w:t>
      </w:r>
      <w:r>
        <w:t>：每条证据链记录方法参数、统计检验值和原始数据路径</w:t>
      </w:r>
    </w:p>
    <w:p>
      <w:pPr>
        <w:pStyle w:val="ListBullet"/>
      </w:pPr>
      <w:r>
        <w:rPr>
          <w:b/>
        </w:rPr>
        <w:t>P4 人在回路</w:t>
      </w:r>
      <w:r>
        <w:t>：伦理审查、评审、PI 审批、辩论等环节均由人类参与</w:t>
      </w:r>
    </w:p>
    <w:p>
      <w:pPr>
        <w:pStyle w:val="Heading3"/>
      </w:pPr>
      <w:r>
        <w:t>3.2 整体架构</w:t>
      </w:r>
    </w:p>
    <w:p>
      <w:r>
        <w:t>TwinScientist 采用九层架构设计，从底层到顶层依次为：</w:t>
      </w:r>
    </w:p>
    <w:p>
      <w:pPr>
        <w:ind w:left="283"/>
        <w:shd w:fill="F5F5F5" w:val="clear"/>
      </w:pPr>
      <w:r>
        <w:rPr>
          <w:rFonts w:ascii="Courier New" w:hAnsi="Courier New"/>
          <w:color w:val="333333"/>
          <w:sz w:val="17"/>
        </w:rPr>
        <w:t>Layer 9  输出规范      → 标准化报告（12+ 字段）</w:t>
        <w:br/>
      </w:r>
      <w:r>
        <w:rPr>
          <w:rFonts w:ascii="Courier New" w:hAnsi="Courier New"/>
          <w:color w:val="333333"/>
          <w:sz w:val="17"/>
        </w:rPr>
        <w:t>Layer 8  假设生成质量  → LogicEngine + Elo Tournament + Bayesian</w:t>
        <w:br/>
      </w:r>
      <w:r>
        <w:rPr>
          <w:rFonts w:ascii="Courier New" w:hAnsi="Courier New"/>
          <w:color w:val="333333"/>
          <w:sz w:val="17"/>
        </w:rPr>
        <w:t>Layer 7  执行与终止    → 5 维收敛检测 + 边际改进分析</w:t>
        <w:br/>
      </w:r>
      <w:r>
        <w:rPr>
          <w:rFonts w:ascii="Courier New" w:hAnsi="Courier New"/>
          <w:color w:val="333333"/>
          <w:sz w:val="17"/>
        </w:rPr>
        <w:t>Layer 6  工具能力      → 8 类因果推断 + 三源文献搜索</w:t>
        <w:br/>
      </w:r>
      <w:r>
        <w:rPr>
          <w:rFonts w:ascii="Courier New" w:hAnsi="Courier New"/>
          <w:color w:val="333333"/>
          <w:sz w:val="17"/>
        </w:rPr>
        <w:t>Layer 5  数据管道      → 多源时序引擎 + 格式检测</w:t>
        <w:br/>
      </w:r>
      <w:r>
        <w:rPr>
          <w:rFonts w:ascii="Courier New" w:hAnsi="Courier New"/>
          <w:color w:val="333333"/>
          <w:sz w:val="17"/>
        </w:rPr>
        <w:t>Layer 4  人机协同      → 伦理审查 + 五维评审 + 辩论 + Gradio UI</w:t>
        <w:br/>
      </w:r>
      <w:r>
        <w:rPr>
          <w:rFonts w:ascii="Courier New" w:hAnsi="Courier New"/>
          <w:color w:val="333333"/>
          <w:sz w:val="17"/>
        </w:rPr>
        <w:t>Layer 3  状态与记忆    → 4D 记忆体（工作/情景/语义/证据）</w:t>
        <w:br/>
      </w:r>
      <w:r>
        <w:rPr>
          <w:rFonts w:ascii="Courier New" w:hAnsi="Courier New"/>
          <w:color w:val="333333"/>
          <w:sz w:val="17"/>
        </w:rPr>
        <w:t>Layer 2  智能体编排    → 14 节点 LangGraph DAG + Orchestrator</w:t>
        <w:br/>
      </w:r>
      <w:r>
        <w:rPr>
          <w:rFonts w:ascii="Courier New" w:hAnsi="Courier New"/>
          <w:color w:val="333333"/>
          <w:sz w:val="17"/>
        </w:rPr>
        <w:t>Layer 1  基座模型      → Qwen-Max（百炼平台 API）</w:t>
        <w:br/>
      </w:r>
    </w:p>
    <w:p>
      <w:pPr>
        <w:pStyle w:val="Heading3"/>
      </w:pPr>
      <w:r>
        <w:t>3.3 基座模型与 LLM 集成</w:t>
      </w:r>
    </w:p>
    <w:p>
      <w:r>
        <w:t>系统基座模型使用阿里云百炼平台的 Qwen-Max 接口，通过 OpenAI 兼容的 HTTP API 调用。`core/llm_client.py` 实现了：</w:t>
      </w:r>
    </w:p>
    <w:p>
      <w:pPr>
        <w:pStyle w:val="ListBullet"/>
      </w:pPr>
      <w:r>
        <w:rPr>
          <w:b/>
        </w:rPr>
        <w:t>连接池复用</w:t>
      </w:r>
      <w:r>
        <w:t>：全局单例 `QwenClient`，跨调用复用 TCP/TLS 连接</w:t>
      </w:r>
    </w:p>
    <w:p>
      <w:pPr>
        <w:pStyle w:val="ListBullet"/>
      </w:pPr>
      <w:r>
        <w:rPr>
          <w:b/>
        </w:rPr>
        <w:t>指数退避重试</w:t>
      </w:r>
      <w:r>
        <w:t>：最多 3 次重试，处理 rate limit（HTTP 429）和服务器错误（500+）</w:t>
      </w:r>
    </w:p>
    <w:p>
      <w:pPr>
        <w:pStyle w:val="ListBullet"/>
      </w:pPr>
      <w:r>
        <w:rPr>
          <w:b/>
        </w:rPr>
        <w:t>Token 用量审计</w:t>
      </w:r>
      <w:r>
        <w:t>：自动累加每次调用的 input/output token，支持 `total_input_tokens` 查询</w:t>
      </w:r>
    </w:p>
    <w:p>
      <w:pPr>
        <w:pStyle w:val="ListBullet"/>
      </w:pPr>
      <w:r>
        <w:rPr>
          <w:b/>
        </w:rPr>
        <w:t>Function Calling 支持</w:t>
      </w:r>
      <w:r>
        <w:t>：通过 `call_tool()` 方法支持工具调用模式</w:t>
      </w:r>
    </w:p>
    <w:p>
      <w:pPr>
        <w:pStyle w:val="ListBullet"/>
      </w:pPr>
      <w:r>
        <w:rPr>
          <w:b/>
        </w:rPr>
        <w:t>六种 Agent 角色</w:t>
      </w:r>
      <w:r>
        <w:t>：Orchestrator（调度中枢）、PI Agent（首席研究员）、Reviewer Agent（审稿人）、Ethics Watchdog（伦理看门狗）、Pro Agent（辩护方）、Con Agent（反辩方）、Judge Agent（裁判）</w:t>
      </w:r>
    </w:p>
    <w:p>
      <w:pPr>
        <w:pStyle w:val="Heading3"/>
      </w:pPr>
      <w:r>
        <w:t>3.4 认知图谱编排（LangGraph DAG）</w:t>
      </w:r>
    </w:p>
    <w:p>
      <w:r>
        <w:t>系统将完整的科研流程建模为一个 14 节点的有向无环图（DAG），使用 LangGraph 框架（`core/graph.py`）实现。节点间的路由由三类边控制：</w:t>
      </w:r>
    </w:p>
    <w:p>
      <w:r>
        <w:rPr>
          <w:b/>
        </w:rPr>
        <w:t>确定性边</w:t>
      </w:r>
      <w:r>
        <w:t>（编译时固定的拓扑）：</w:t>
      </w:r>
    </w:p>
    <w:p>
      <w:pPr>
        <w:ind w:left="283"/>
        <w:shd w:fill="F5F5F5" w:val="clear"/>
      </w:pPr>
      <w:r>
        <w:rPr>
          <w:rFonts w:ascii="Courier New" w:hAnsi="Courier New"/>
          <w:color w:val="333333"/>
          <w:sz w:val="17"/>
        </w:rPr>
        <w:t>START → ethics_check → literature_review → hypothesis_generation</w:t>
        <w:br/>
      </w:r>
      <w:r>
        <w:rPr>
          <w:rFonts w:ascii="Courier New" w:hAnsi="Courier New"/>
          <w:color w:val="333333"/>
          <w:sz w:val="17"/>
        </w:rPr>
        <w:t>→ tournament_eval → experiment_design → data_analysis</w:t>
        <w:br/>
      </w:r>
      <w:r>
        <w:rPr>
          <w:rFonts w:ascii="Courier New" w:hAnsi="Courier New"/>
          <w:color w:val="333333"/>
          <w:sz w:val="17"/>
        </w:rPr>
        <w:t>→ interpretation → reviewer_agent</w:t>
        <w:br/>
      </w:r>
    </w:p>
    <w:p>
      <w:r>
        <w:rPr>
          <w:b/>
        </w:rPr>
        <w:t>条件分支边</w:t>
      </w:r>
      <w:r>
        <w:t>（基于当前状态的路由决策）：</w:t>
      </w:r>
    </w:p>
    <w:p>
      <w:pPr>
        <w:pStyle w:val="ListBullet"/>
      </w:pPr>
      <w:r>
        <w:t>`reviewer_agent` → `debate_then_terminate`（评审通过后进入辩论）</w:t>
      </w:r>
    </w:p>
    <w:p>
      <w:pPr>
        <w:pStyle w:val="ListBullet"/>
      </w:pPr>
      <w:r>
        <w:t>`reviewer_agent` → `reflection`（评审未通过则反思修正）</w:t>
      </w:r>
    </w:p>
    <w:p>
      <w:pPr>
        <w:pStyle w:val="ListBullet"/>
      </w:pPr>
      <w:r>
        <w:t>`termination_eval` → `report_writing`（已收敛则生成报告）</w:t>
      </w:r>
    </w:p>
    <w:p>
      <w:pPr>
        <w:pStyle w:val="ListBullet"/>
      </w:pPr>
      <w:r>
        <w:t>`termination_eval` → `reflection`（未收敛则继续迭代）</w:t>
      </w:r>
    </w:p>
    <w:p>
      <w:r>
        <w:rPr>
          <w:b/>
        </w:rPr>
        <w:t>Orchestrator 动态路由</w:t>
      </w:r>
      <w:r>
        <w:t>（基于证据强度、不确定性和异常图谱的 LLM 决策，当前因竞赛优化默认使用确定性路由，可通过环境变量 `TWINSCIENTIST_MC_ENABLED` 启用）</w:t>
      </w:r>
    </w:p>
    <w:p>
      <w:pPr>
        <w:pStyle w:val="Heading3"/>
      </w:pPr>
      <w:r>
        <w:t>3.5 状态管理：4D 记忆体</w:t>
      </w:r>
    </w:p>
    <w:p>
      <w:r>
        <w:t>`core/state.py` 定义的 `AgentState` 采用四维记忆体架构：</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1A73E8"/>
          </w:tcPr>
          <w:p>
            <w:pPr>
              <w:jc w:val="center"/>
            </w:pPr>
            <w:r/>
            <w:r>
              <w:rPr>
                <w:b/>
                <w:color w:val="FFFFFF"/>
                <w:sz w:val="18"/>
              </w:rPr>
              <w:t>层次</w:t>
            </w:r>
          </w:p>
        </w:tc>
        <w:tc>
          <w:tcPr>
            <w:tcW w:type="dxa" w:w="2075"/>
            <w:shd w:fill="1A73E8"/>
          </w:tcPr>
          <w:p>
            <w:pPr>
              <w:jc w:val="center"/>
            </w:pPr>
            <w:r/>
            <w:r>
              <w:rPr>
                <w:b/>
                <w:color w:val="FFFFFF"/>
                <w:sz w:val="18"/>
              </w:rPr>
              <w:t>名称</w:t>
            </w:r>
          </w:p>
        </w:tc>
        <w:tc>
          <w:tcPr>
            <w:tcW w:type="dxa" w:w="2075"/>
            <w:shd w:fill="1A73E8"/>
          </w:tcPr>
          <w:p>
            <w:pPr>
              <w:jc w:val="center"/>
            </w:pPr>
            <w:r/>
            <w:r>
              <w:rPr>
                <w:b/>
                <w:color w:val="FFFFFF"/>
                <w:sz w:val="18"/>
              </w:rPr>
              <w:t>内容</w:t>
            </w:r>
          </w:p>
        </w:tc>
        <w:tc>
          <w:tcPr>
            <w:tcW w:type="dxa" w:w="2075"/>
            <w:shd w:fill="1A73E8"/>
          </w:tcPr>
          <w:p>
            <w:pPr>
              <w:jc w:val="center"/>
            </w:pPr>
            <w:r/>
            <w:r>
              <w:rPr>
                <w:b/>
                <w:color w:val="FFFFFF"/>
                <w:sz w:val="18"/>
              </w:rPr>
              <w:t>持久化</w:t>
            </w:r>
          </w:p>
        </w:tc>
      </w:tr>
      <w:tr>
        <w:tc>
          <w:tcPr>
            <w:tcW w:type="dxa" w:w="2075"/>
            <w:shd w:fill="F0F6FF"/>
          </w:tcPr>
          <w:p>
            <w:r/>
            <w:r>
              <w:rPr>
                <w:sz w:val="18"/>
              </w:rPr>
              <w:t>L1</w:t>
            </w:r>
          </w:p>
        </w:tc>
        <w:tc>
          <w:tcPr>
            <w:tcW w:type="dxa" w:w="2075"/>
            <w:shd w:fill="F0F6FF"/>
          </w:tcPr>
          <w:p>
            <w:r/>
            <w:r>
              <w:rPr>
                <w:sz w:val="18"/>
              </w:rPr>
              <w:t>工作记忆（Kernel）</w:t>
            </w:r>
          </w:p>
        </w:tc>
        <w:tc>
          <w:tcPr>
            <w:tcW w:type="dxa" w:w="2075"/>
            <w:shd w:fill="F0F6FF"/>
          </w:tcPr>
          <w:p>
            <w:r/>
            <w:r>
              <w:rPr>
                <w:sz w:val="18"/>
              </w:rPr>
              <w:t>当前轮次的 query、domain、iteration、round_message</w:t>
            </w:r>
          </w:p>
        </w:tc>
        <w:tc>
          <w:tcPr>
            <w:tcW w:type="dxa" w:w="2075"/>
            <w:shd w:fill="F0F6FF"/>
          </w:tcPr>
          <w:p>
            <w:r/>
            <w:r>
              <w:rPr>
                <w:sz w:val="18"/>
              </w:rPr>
              <w:t>Session 级</w:t>
            </w:r>
          </w:p>
        </w:tc>
      </w:tr>
      <w:tr>
        <w:tc>
          <w:tcPr>
            <w:tcW w:type="dxa" w:w="2075"/>
          </w:tcPr>
          <w:p>
            <w:r/>
            <w:r>
              <w:rPr>
                <w:sz w:val="18"/>
              </w:rPr>
              <w:t>L2</w:t>
            </w:r>
          </w:p>
        </w:tc>
        <w:tc>
          <w:tcPr>
            <w:tcW w:type="dxa" w:w="2075"/>
          </w:tcPr>
          <w:p>
            <w:r/>
            <w:r>
              <w:rPr>
                <w:sz w:val="18"/>
              </w:rPr>
              <w:t>情景记忆（Episodic）</w:t>
            </w:r>
          </w:p>
        </w:tc>
        <w:tc>
          <w:tcPr>
            <w:tcW w:type="dxa" w:w="2075"/>
          </w:tcPr>
          <w:p>
            <w:r/>
            <w:r>
              <w:rPr>
                <w:sz w:val="18"/>
              </w:rPr>
              <w:t>历史实验记录（experiment_records）、评审记录（review_records）</w:t>
            </w:r>
          </w:p>
        </w:tc>
        <w:tc>
          <w:tcPr>
            <w:tcW w:type="dxa" w:w="2075"/>
          </w:tcPr>
          <w:p>
            <w:r/>
            <w:r>
              <w:rPr>
                <w:sz w:val="18"/>
              </w:rPr>
              <w:t>SQLite</w:t>
            </w:r>
          </w:p>
        </w:tc>
      </w:tr>
      <w:tr>
        <w:tc>
          <w:tcPr>
            <w:tcW w:type="dxa" w:w="2075"/>
            <w:shd w:fill="F0F6FF"/>
          </w:tcPr>
          <w:p>
            <w:r/>
            <w:r>
              <w:rPr>
                <w:sz w:val="18"/>
              </w:rPr>
              <w:t>L3</w:t>
            </w:r>
          </w:p>
        </w:tc>
        <w:tc>
          <w:tcPr>
            <w:tcW w:type="dxa" w:w="2075"/>
            <w:shd w:fill="F0F6FF"/>
          </w:tcPr>
          <w:p>
            <w:r/>
            <w:r>
              <w:rPr>
                <w:sz w:val="18"/>
              </w:rPr>
              <w:t>语义记忆（Semantic）</w:t>
            </w:r>
          </w:p>
        </w:tc>
        <w:tc>
          <w:tcPr>
            <w:tcW w:type="dxa" w:w="2075"/>
            <w:shd w:fill="F0F6FF"/>
          </w:tcPr>
          <w:p>
            <w:r/>
            <w:r>
              <w:rPr>
                <w:sz w:val="18"/>
              </w:rPr>
              <w:t>知识图谱（knowledge_graph）、事实提取（fact_extraction）、文献综述</w:t>
            </w:r>
          </w:p>
        </w:tc>
        <w:tc>
          <w:tcPr>
            <w:tcW w:type="dxa" w:w="2075"/>
            <w:shd w:fill="F0F6FF"/>
          </w:tcPr>
          <w:p>
            <w:r/>
            <w:r>
              <w:rPr>
                <w:sz w:val="18"/>
              </w:rPr>
              <w:t>JSON</w:t>
            </w:r>
          </w:p>
        </w:tc>
      </w:tr>
      <w:tr>
        <w:tc>
          <w:tcPr>
            <w:tcW w:type="dxa" w:w="2075"/>
          </w:tcPr>
          <w:p>
            <w:r/>
            <w:r>
              <w:rPr>
                <w:sz w:val="18"/>
              </w:rPr>
              <w:t>L4-L5</w:t>
            </w:r>
          </w:p>
        </w:tc>
        <w:tc>
          <w:tcPr>
            <w:tcW w:type="dxa" w:w="2075"/>
          </w:tcPr>
          <w:p>
            <w:r/>
            <w:r>
              <w:rPr>
                <w:sz w:val="18"/>
              </w:rPr>
              <w:t>证据链 + 异常图</w:t>
            </w:r>
          </w:p>
        </w:tc>
        <w:tc>
          <w:tcPr>
            <w:tcW w:type="dxa" w:w="2075"/>
          </w:tcPr>
          <w:p>
            <w:r/>
            <w:r>
              <w:rPr>
                <w:sz w:val="18"/>
              </w:rPr>
              <w:t>evidence_chains、anomaly_graph</w:t>
            </w:r>
          </w:p>
        </w:tc>
        <w:tc>
          <w:tcPr>
            <w:tcW w:type="dxa" w:w="2075"/>
          </w:tcPr>
          <w:p>
            <w:r/>
            <w:r>
              <w:rPr>
                <w:sz w:val="18"/>
              </w:rPr>
              <w:t>JSON</w:t>
            </w:r>
          </w:p>
        </w:tc>
      </w:tr>
    </w:tbl>
    <w:p>
      <w:pPr>
        <w:spacing w:before="0" w:after="120"/>
      </w:pPr>
    </w:p>
    <w:p>
      <w:pPr>
        <w:pStyle w:val="Heading3"/>
      </w:pPr>
      <w:r>
        <w:t>3.6 终止决策机制</w:t>
      </w:r>
    </w:p>
    <w:p>
      <w:r>
        <w:t>`node_termination_eval` 实现了五维收敛检测：</w:t>
      </w:r>
    </w:p>
    <w:p>
      <w:r>
        <w:t xml:space="preserve">1. </w:t>
      </w:r>
      <w:r>
        <w:rPr>
          <w:b/>
        </w:rPr>
        <w:t>预算约束</w:t>
      </w:r>
      <w:r>
        <w:t>：迭代轮次达到 `_max_iterations_` 上限（默认 200）</w:t>
      </w:r>
    </w:p>
    <w:p>
      <w:r>
        <w:t xml:space="preserve">2. </w:t>
      </w:r>
      <w:r>
        <w:rPr>
          <w:b/>
        </w:rPr>
        <w:t>质量趋势</w:t>
      </w:r>
      <w:r>
        <w:t>：评审分数的滑动窗口趋势分析（improving vs plateau vs declining）</w:t>
      </w:r>
    </w:p>
    <w:p>
      <w:r>
        <w:t xml:space="preserve">3. </w:t>
      </w:r>
      <w:r>
        <w:rPr>
          <w:b/>
        </w:rPr>
        <w:t>证据强度</w:t>
      </w:r>
      <w:r>
        <w:t>：平均证据链置信度 &gt; 0.85</w:t>
      </w:r>
    </w:p>
    <w:p>
      <w:r>
        <w:t xml:space="preserve">4. </w:t>
      </w:r>
      <w:r>
        <w:rPr>
          <w:b/>
        </w:rPr>
        <w:t>语义收敛</w:t>
      </w:r>
      <w:r>
        <w:t>：当前假设与上一轮假设的 bigram 语义相似度 &gt; 0.95</w:t>
      </w:r>
    </w:p>
    <w:p>
      <w:r>
        <w:t xml:space="preserve">5. </w:t>
      </w:r>
      <w:r>
        <w:rPr>
          <w:b/>
        </w:rPr>
        <w:t>边际改进</w:t>
      </w:r>
      <w:r>
        <w:t>：评审分数在最近 3 轮中不再显著提升</w:t>
      </w:r>
    </w:p>
    <w:p>
      <w:r>
        <w:t>系统同时包含防死循环设计：`_orch_stop_check` 状态缓存确保当 Orchestrator 已决定停止时，`termination_eval` 不再独立重算终止条件。</w:t>
      </w:r>
    </w:p>
    <w:p>
      <w:pPr>
        <w:pStyle w:val="Heading3"/>
      </w:pPr>
      <w:r>
        <w:t>3.7 人机协同体系</w:t>
      </w:r>
    </w:p>
    <w:p>
      <w:r>
        <w:t>系统在四个关键节点设置了人机交互通道：</w:t>
      </w:r>
    </w:p>
    <w:p>
      <w:pPr>
        <w:pStyle w:val="ListBullet"/>
      </w:pPr>
      <w:r>
        <w:rPr>
          <w:b/>
        </w:rPr>
        <w:t>伦理审查</w:t>
      </w:r>
      <w:r>
        <w:t>（`node_ethics_check`）：三段式输出—BLOCKED（拦截）/ HUMAN_REVIEW_REQUIRED（需人工审查）/ APPROVED（放行）。审查范围包括人体实验伦理、数据隐私和代码安全。</w:t>
      </w:r>
    </w:p>
    <w:p>
      <w:pPr>
        <w:pStyle w:val="ListBullet"/>
      </w:pPr>
      <w:r>
        <w:rPr>
          <w:b/>
        </w:rPr>
        <w:t>五维评审</w:t>
      </w:r>
      <w:r>
        <w:t>（`node_reviewer_agent`）：从新颖性、可行性、方法论、证据支撑、影响力五个维度评分。低于 60 分打回修改，评分过程记录完整的 JSON 结构化评审意见。</w:t>
      </w:r>
    </w:p>
    <w:p>
      <w:pPr>
        <w:pStyle w:val="ListBullet"/>
      </w:pPr>
      <w:r>
        <w:rPr>
          <w:b/>
        </w:rPr>
        <w:t>多智能体辩论</w:t>
      </w:r>
      <w:r>
        <w:t>（`DebateOrchestrator`）：Pro Agent 为假设辩护 → Con Agent 寻找漏洞 → Judge Agent 综合裁决。每轮辩论产生 score_before/after 差异判断置信度调整幅度。</w:t>
      </w:r>
    </w:p>
    <w:p>
      <w:pPr>
        <w:pStyle w:val="ListBullet"/>
      </w:pPr>
      <w:r>
        <w:rPr>
          <w:b/>
        </w:rPr>
        <w:t>Gradio Web UI</w:t>
      </w:r>
      <w:r>
        <w:t>（`ui/app.py`）：提供数据上传、研究启动、日志监控、结果查看和人工干预入口。</w:t>
      </w:r>
    </w:p>
    <w:p>
      <w:pPr>
        <w:pBdr>
          <w:bottom w:val="single" w:sz="6" w:space="1" w:color="CCCCCC"/>
        </w:pBdr>
      </w:pPr>
    </w:p>
    <w:p>
      <w:pPr>
        <w:pStyle w:val="Heading2"/>
      </w:pPr>
      <w:r>
        <w:t>第四章 核心技术方法</w:t>
      </w:r>
    </w:p>
    <w:p>
      <w:pPr>
        <w:pStyle w:val="Heading3"/>
      </w:pPr>
      <w:r>
        <w:t>4.1 LogicEngine：三路推理假设生成</w:t>
      </w:r>
    </w:p>
    <w:p>
      <w:r>
        <w:t>`core/logic_engine.py` 实现了三条独立的推理路径，在每次迭代循环中并行生成候选假设：</w:t>
      </w:r>
    </w:p>
    <w:p>
      <w:r>
        <w:rPr>
          <w:b/>
        </w:rPr>
        <w:t>归纳推理（Inductive Reasoner）</w:t>
      </w:r>
      <w:r>
        <w:t>：分析已有事实和假设覆盖的实体类型（temperature、humidity、CO₂、PM2.5、VOC 等）与机制类型（sympathetic、inflammation、autonomic 等），识别未被覆盖的变量-指标组合（知识空白），每个空白生成一个候选假设。例如，当所有已有假设均未包含 humidity 与 tear_film_stability 的关联时，自动生成"湿度对泪膜稳定性的影响路径"假设。</w:t>
      </w:r>
    </w:p>
    <w:p>
      <w:r>
        <w:rPr>
          <w:b/>
        </w:rPr>
        <w:t>演绎推理（Deductive Reasoner）</w:t>
      </w:r>
      <w:r>
        <w:t>：从 `domain_rules.json` 中的 13 条领域专家规则出发，将已有事实和证据链中的信息映射到规则的 IF 条件，当条件匹配度 ≥ 50% 时激活规则，推导出该规则 THEN 部分对应的因果假设。每条规则附带目标指标、机制解释和调节因子元数据。</w:t>
      </w:r>
    </w:p>
    <w:p>
      <w:r>
        <w:rPr>
          <w:b/>
        </w:rPr>
        <w:t>溯因推理（Abductive Reasoner）</w:t>
      </w:r>
      <w:r>
        <w:t>：从证据链和异常图谱中识别三类反直觉模式——弱因果（strength &lt; 0.3 但先验预期强）、双向因果（CCM 检测到双向耦合）和矛盾发现（实验结论冲突）——对每种模式生成相应的替代解释假设，如非线性阈值效应、隐藏反馈回路、Simpson 悖论等。</w:t>
      </w:r>
    </w:p>
    <w:p>
      <w:r>
        <w:t>三路输出经 `HypothesisMerger` 去重（bigram Jaccard 相似度阈值 0.85）和 `ConsistencyChecker` 自洽性检验后，形成结构化候选假设列表，传入 LLM 做补充生成，最终合并进入假设树。</w:t>
      </w:r>
    </w:p>
    <w:p>
      <w:pPr>
        <w:pStyle w:val="Heading3"/>
      </w:pPr>
      <w:r>
        <w:t>4.2 Elo Tournament 淘汰赛</w:t>
      </w:r>
    </w:p>
    <w:p>
      <w:r>
        <w:t>`node_tournament_eval` 实现了基于 Elo 评分的逐对淘汰机制，对标 Google Co-Scientist 的 Tournament 设计：</w:t>
      </w:r>
    </w:p>
    <w:p>
      <w:pPr>
        <w:pStyle w:val="ListBullet"/>
      </w:pPr>
      <w:r>
        <w:t>每个假设初始 Elo = 1500</w:t>
      </w:r>
    </w:p>
    <w:p>
      <w:pPr>
        <w:pStyle w:val="ListBullet"/>
      </w:pPr>
      <w:r>
        <w:t>所有假设两两配对（上限 12 个假设、15 场配对），每场由 LLM 作为裁判打分</w:t>
      </w:r>
    </w:p>
    <w:p>
      <w:pPr>
        <w:pStyle w:val="ListBullet"/>
      </w:pPr>
      <w:r>
        <w:t>评分因子：新颖性、可检验性、机制深度、潜在影响力</w:t>
      </w:r>
    </w:p>
    <w:p>
      <w:pPr>
        <w:pStyle w:val="ListBullet"/>
      </w:pPr>
      <w:r>
        <w:t>Elo 更新采用 K=32 的标准公式，场次胜者得 1 分、败者得 0 分，平局按分数比例分配</w:t>
      </w:r>
    </w:p>
    <w:p>
      <w:pPr>
        <w:pStyle w:val="ListBullet"/>
      </w:pPr>
      <w:r>
        <w:t>最终按 Elo 排序，最高分假设状态设为 "active"，其余设为 "refuted_in_tournament"</w:t>
      </w:r>
    </w:p>
    <w:p>
      <w:r>
        <w:t>与一次性 LLM 排序（将所有假设抛给 LLM 要求选出最好）相比，逐对 Elo 的优点是每场比较独立运行，避免了一次性决策中的对比偏差和上下文长度限制。</w:t>
      </w:r>
    </w:p>
    <w:p>
      <w:pPr>
        <w:pStyle w:val="Heading3"/>
      </w:pPr>
      <w:r>
        <w:t>4.3 实验设计与数据分析</w:t>
      </w:r>
    </w:p>
    <w:p>
      <w:r>
        <w:rPr>
          <w:b/>
        </w:rPr>
        <w:t>实验设计</w:t>
      </w:r>
      <w:r>
        <w:t>（`node_experiment_design`）：LLM 根据胜出假设生成完整 12 字段实验方案，系统自动挂载未使用过的传感器 CSV 作为数据源，写入 `experiment_records`。</w:t>
      </w:r>
    </w:p>
    <w:p>
      <w:r>
        <w:rPr>
          <w:b/>
        </w:rPr>
        <w:t>数据分析</w:t>
      </w:r>
      <w:r>
        <w:t>（`node_data_analysis`）：自动检测 CSV 格式（Daltons 长格式 vs Flat 宽格式），解析后调用 `CausalInferenceEngine` 执行分析。格式检测逻辑（`_detect_csv_format`）通过列名关键词匹配（pollutant_name/value 为 Daltons 标志）和数值列数量判断（≥2 个数值列为 Flat 格式）。</w:t>
      </w:r>
    </w:p>
    <w:p>
      <w:pPr>
        <w:pStyle w:val="Heading3"/>
      </w:pPr>
      <w:r>
        <w:t>4.4 五维评审与 Bayesian 置信度更新</w:t>
      </w:r>
    </w:p>
    <w:p>
      <w:r>
        <w:t>`node_reviewer_agent` 从五个维度评分，每项 0-20，总分 0-100：</w:t>
      </w:r>
    </w:p>
    <w:tbl>
      <w:tblPr>
        <w:tblStyle w:val="TableGrid"/>
        <w:tblW w:type="auto" w:w="0"/>
        <w:jc w:val="center"/>
        <w:tblLook w:firstColumn="1" w:firstRow="1" w:lastColumn="0" w:lastRow="0" w:noHBand="0" w:noVBand="1" w:val="04A0"/>
      </w:tblPr>
      <w:tblGrid>
        <w:gridCol w:w="4150"/>
        <w:gridCol w:w="4150"/>
      </w:tblGrid>
      <w:tr>
        <w:tc>
          <w:tcPr>
            <w:tcW w:type="dxa" w:w="4150"/>
            <w:shd w:fill="1A73E8"/>
          </w:tcPr>
          <w:p>
            <w:pPr>
              <w:jc w:val="center"/>
            </w:pPr>
            <w:r/>
            <w:r>
              <w:rPr>
                <w:b/>
                <w:color w:val="FFFFFF"/>
                <w:sz w:val="18"/>
              </w:rPr>
              <w:t>维度</w:t>
            </w:r>
          </w:p>
        </w:tc>
        <w:tc>
          <w:tcPr>
            <w:tcW w:type="dxa" w:w="4150"/>
            <w:shd w:fill="1A73E8"/>
          </w:tcPr>
          <w:p>
            <w:pPr>
              <w:jc w:val="center"/>
            </w:pPr>
            <w:r/>
            <w:r>
              <w:rPr>
                <w:b/>
                <w:color w:val="FFFFFF"/>
                <w:sz w:val="18"/>
              </w:rPr>
              <w:t>评分细则</w:t>
            </w:r>
          </w:p>
        </w:tc>
      </w:tr>
      <w:tr>
        <w:tc>
          <w:tcPr>
            <w:tcW w:type="dxa" w:w="4150"/>
            <w:shd w:fill="F0F6FF"/>
          </w:tcPr>
          <w:p>
            <w:r/>
            <w:r>
              <w:rPr>
                <w:sz w:val="18"/>
              </w:rPr>
              <w:t>新颖性 (Novelty)</w:t>
            </w:r>
          </w:p>
        </w:tc>
        <w:tc>
          <w:tcPr>
            <w:tcW w:type="dxa" w:w="4150"/>
            <w:shd w:fill="F0F6FF"/>
          </w:tcPr>
          <w:p>
            <w:r/>
            <w:r>
              <w:rPr>
                <w:sz w:val="18"/>
              </w:rPr>
              <w:t>是否提出新的科学见解？是否已有类似研究？</w:t>
            </w:r>
          </w:p>
        </w:tc>
      </w:tr>
      <w:tr>
        <w:tc>
          <w:tcPr>
            <w:tcW w:type="dxa" w:w="4150"/>
          </w:tcPr>
          <w:p>
            <w:r/>
            <w:r>
              <w:rPr>
                <w:sz w:val="18"/>
              </w:rPr>
              <w:t>可行性 (Feasibility)</w:t>
            </w:r>
          </w:p>
        </w:tc>
        <w:tc>
          <w:tcPr>
            <w:tcW w:type="dxa" w:w="4150"/>
          </w:tcPr>
          <w:p>
            <w:r/>
            <w:r>
              <w:rPr>
                <w:sz w:val="18"/>
              </w:rPr>
              <w:t>实验方案是否可实施？设备/数据/方法是否具备？</w:t>
            </w:r>
          </w:p>
        </w:tc>
      </w:tr>
      <w:tr>
        <w:tc>
          <w:tcPr>
            <w:tcW w:type="dxa" w:w="4150"/>
            <w:shd w:fill="F0F6FF"/>
          </w:tcPr>
          <w:p>
            <w:r/>
            <w:r>
              <w:rPr>
                <w:sz w:val="18"/>
              </w:rPr>
              <w:t>方法论 (Methodology)</w:t>
            </w:r>
          </w:p>
        </w:tc>
        <w:tc>
          <w:tcPr>
            <w:tcW w:type="dxa" w:w="4150"/>
            <w:shd w:fill="F0F6FF"/>
          </w:tcPr>
          <w:p>
            <w:r/>
            <w:r>
              <w:rPr>
                <w:sz w:val="18"/>
              </w:rPr>
              <w:t>统计方法是否严谨？样本量是否充足？</w:t>
            </w:r>
          </w:p>
        </w:tc>
      </w:tr>
      <w:tr>
        <w:tc>
          <w:tcPr>
            <w:tcW w:type="dxa" w:w="4150"/>
          </w:tcPr>
          <w:p>
            <w:r/>
            <w:r>
              <w:rPr>
                <w:sz w:val="18"/>
              </w:rPr>
              <w:t>证据支撑 (Evidence)</w:t>
            </w:r>
          </w:p>
        </w:tc>
        <w:tc>
          <w:tcPr>
            <w:tcW w:type="dxa" w:w="4150"/>
          </w:tcPr>
          <w:p>
            <w:r/>
            <w:r>
              <w:rPr>
                <w:sz w:val="18"/>
              </w:rPr>
              <w:t>是否有足够的前置数据或文献支撑？</w:t>
            </w:r>
          </w:p>
        </w:tc>
      </w:tr>
      <w:tr>
        <w:tc>
          <w:tcPr>
            <w:tcW w:type="dxa" w:w="4150"/>
            <w:shd w:fill="F0F6FF"/>
          </w:tcPr>
          <w:p>
            <w:r/>
            <w:r>
              <w:rPr>
                <w:sz w:val="18"/>
              </w:rPr>
              <w:t>影响潜力 (Impact)</w:t>
            </w:r>
          </w:p>
        </w:tc>
        <w:tc>
          <w:tcPr>
            <w:tcW w:type="dxa" w:w="4150"/>
            <w:shd w:fill="F0F6FF"/>
          </w:tcPr>
          <w:p>
            <w:r/>
            <w:r>
              <w:rPr>
                <w:sz w:val="18"/>
              </w:rPr>
              <w:t>学术价值和应用前景如何？</w:t>
            </w:r>
          </w:p>
        </w:tc>
      </w:tr>
    </w:tbl>
    <w:p>
      <w:pPr>
        <w:spacing w:before="0" w:after="120"/>
      </w:pPr>
    </w:p>
    <w:p>
      <w:r>
        <w:t>总分 ≥ 60 时通过并触发 Bayesian 置信度更新。更新公式使用 log-odds 空间加性更新：</w:t>
      </w:r>
    </w:p>
    <w:p>
      <w:r>
        <w:t>$$\text{log-odds}_{\text{post}} = \text{log-odds}_{\text{prior}} + \frac{\text{score} - 50}{100} \times 2$$</w:t>
      </w:r>
    </w:p>
    <w:p>
      <w:r>
        <w:t>其中证据权重定义为 `(score - 50) / 100 × 2`，即 50 分对应零更新，100 分对应 +1 的 log-odds 增量。</w:t>
      </w:r>
    </w:p>
    <w:p>
      <w:r>
        <w:t>同时实现子假设置信度传输：当父假设后验 &gt; 0.7 时，子假设可获得至多 0.15 的上调（`posterior = min(current + 0.15 × (parent - 0.7) / 0.3, 0.98)`），防止置信度向弱假设的悖论性膨胀。</w:t>
      </w:r>
    </w:p>
    <w:p>
      <w:pPr>
        <w:pStyle w:val="Heading3"/>
      </w:pPr>
      <w:r>
        <w:t>4.5 反思-修正闭环</w:t>
      </w:r>
    </w:p>
    <w:p>
      <w:r>
        <w:t>`node_reflection` 在评审未通过时执行深度根因分析。LLM 被要求回答三个问题：</w:t>
      </w:r>
    </w:p>
    <w:p>
      <w:r>
        <w:t>1. 我之前的假设是否被数据支持？</w:t>
      </w:r>
    </w:p>
    <w:p>
      <w:r>
        <w:t>2. 如果不完全支持，需要修正哪些部分？</w:t>
      </w:r>
    </w:p>
    <w:p>
      <w:r>
        <w:t>3. 有没有被我忽略的替代解释或混淆变量？</w:t>
      </w:r>
    </w:p>
    <w:p>
      <w:r>
        <w:t>基于 LLM 的分析结果，系统可能派生新假设（标记 `derived_from_failure=True`，挂载为原假设子节点）。同时清理"refuted_in_tournament"状态的节点和置信度低于 0.15 的提案，控制假设树规模。</w:t>
      </w:r>
    </w:p>
    <w:p>
      <w:pPr>
        <w:pStyle w:val="Heading3"/>
      </w:pPr>
      <w:r>
        <w:t>4.6 报告生成</w:t>
      </w:r>
    </w:p>
    <w:p>
      <w:r>
        <w:t>`output/report_generator.py` 生成的报告覆盖赛题要求的所有 12+ 字段：</w:t>
      </w:r>
    </w:p>
    <w:p>
      <w:r>
        <w:t>1. Problem Statement（待研究问题）</w:t>
      </w:r>
    </w:p>
    <w:p>
      <w:r>
        <w:t>2. Rationale（解决思路）</w:t>
      </w:r>
    </w:p>
    <w:p>
      <w:r>
        <w:t>3. Technical Details（技术手段）</w:t>
      </w:r>
    </w:p>
    <w:p>
      <w:r>
        <w:t>4. Datasets - Source / Target（数据集）</w:t>
      </w:r>
    </w:p>
    <w:p>
      <w:r>
        <w:t>5. Paper Title（标题）</w:t>
      </w:r>
    </w:p>
    <w:p>
      <w:r>
        <w:t>6. Paper Abstract（摘要）</w:t>
      </w:r>
    </w:p>
    <w:p>
      <w:r>
        <w:t>7. Methods（方法论）</w:t>
      </w:r>
    </w:p>
    <w:p>
      <w:r>
        <w:t>8. Experiments（实验设计）</w:t>
      </w:r>
    </w:p>
    <w:p>
      <w:r>
        <w:t>9. Results（实验结果）</w:t>
      </w:r>
    </w:p>
    <w:p>
      <w:r>
        <w:t>10. Reviewer Feedback（评审意见）</w:t>
      </w:r>
    </w:p>
    <w:p>
      <w:r>
        <w:t>11. References（参考文献）</w:t>
      </w:r>
    </w:p>
    <w:p>
      <w:r>
        <w:t>12. Hypothesis Tree &amp; Evidence Chains（假设树与证据链）</w:t>
      </w:r>
    </w:p>
    <w:p>
      <w:pPr>
        <w:pStyle w:val="Heading2"/>
      </w:pPr>
      <w:r>
        <w:t>第五章 因果推断引擎</w:t>
      </w:r>
    </w:p>
    <w:p>
      <w:pPr>
        <w:pStyle w:val="Heading3"/>
      </w:pPr>
      <w:r>
        <w:t>5.1 八类方法总览</w:t>
      </w:r>
    </w:p>
    <w:p>
      <w:r>
        <w:t>`tools/causal_inference.py` 中的 `CausalInferenceEngine` 提供统一调用接口 `run(method, **kwargs)`，支持 8 种方法：</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1A73E8"/>
          </w:tcPr>
          <w:p>
            <w:pPr>
              <w:jc w:val="center"/>
            </w:pPr>
            <w:r/>
            <w:r>
              <w:rPr>
                <w:b/>
                <w:color w:val="FFFFFF"/>
                <w:sz w:val="18"/>
              </w:rPr>
              <w:t>方法</w:t>
            </w:r>
          </w:p>
        </w:tc>
        <w:tc>
          <w:tcPr>
            <w:tcW w:type="dxa" w:w="2767"/>
            <w:shd w:fill="1A73E8"/>
          </w:tcPr>
          <w:p>
            <w:pPr>
              <w:jc w:val="center"/>
            </w:pPr>
            <w:r/>
            <w:r>
              <w:rPr>
                <w:b/>
                <w:color w:val="FFFFFF"/>
                <w:sz w:val="18"/>
              </w:rPr>
              <w:t>适用场景</w:t>
            </w:r>
          </w:p>
        </w:tc>
        <w:tc>
          <w:tcPr>
            <w:tcW w:type="dxa" w:w="2767"/>
            <w:shd w:fill="1A73E8"/>
          </w:tcPr>
          <w:p>
            <w:pPr>
              <w:jc w:val="center"/>
            </w:pPr>
            <w:r/>
            <w:r>
              <w:rPr>
                <w:b/>
                <w:color w:val="FFFFFF"/>
                <w:sz w:val="18"/>
              </w:rPr>
              <w:t>实现状态</w:t>
            </w:r>
          </w:p>
        </w:tc>
      </w:tr>
      <w:tr>
        <w:tc>
          <w:tcPr>
            <w:tcW w:type="dxa" w:w="2767"/>
            <w:shd w:fill="F0F6FF"/>
          </w:tcPr>
          <w:p>
            <w:r/>
            <w:r>
              <w:rPr>
                <w:b/>
                <w:sz w:val="18"/>
              </w:rPr>
            </w:r>
            <w:r>
              <w:rPr>
                <w:b/>
                <w:sz w:val="18"/>
              </w:rPr>
              <w:t>CCM</w:t>
            </w:r>
          </w:p>
        </w:tc>
        <w:tc>
          <w:tcPr>
            <w:tcW w:type="dxa" w:w="2767"/>
            <w:shd w:fill="F0F6FF"/>
          </w:tcPr>
          <w:p>
            <w:r/>
            <w:r>
              <w:rPr>
                <w:sz w:val="18"/>
              </w:rPr>
              <w:t>非线性时间序列、混沌因果系统</w:t>
            </w:r>
          </w:p>
        </w:tc>
        <w:tc>
          <w:tcPr>
            <w:tcW w:type="dxa" w:w="2767"/>
            <w:shd w:fill="F0F6FF"/>
          </w:tcPr>
          <w:p>
            <w:r/>
            <w:r>
              <w:rPr>
                <w:sz w:val="18"/>
              </w:rPr>
              <w:t>完整自研实现</w:t>
            </w:r>
          </w:p>
        </w:tc>
      </w:tr>
      <w:tr>
        <w:tc>
          <w:tcPr>
            <w:tcW w:type="dxa" w:w="2767"/>
          </w:tcPr>
          <w:p>
            <w:r/>
            <w:r>
              <w:rPr>
                <w:b/>
                <w:sz w:val="18"/>
              </w:rPr>
            </w:r>
            <w:r>
              <w:rPr>
                <w:b/>
                <w:sz w:val="18"/>
              </w:rPr>
              <w:t>Granger</w:t>
            </w:r>
          </w:p>
        </w:tc>
        <w:tc>
          <w:tcPr>
            <w:tcW w:type="dxa" w:w="2767"/>
          </w:tcPr>
          <w:p>
            <w:r/>
            <w:r>
              <w:rPr>
                <w:sz w:val="18"/>
              </w:rPr>
              <w:t>线性时间序列、预测性因果</w:t>
            </w:r>
          </w:p>
        </w:tc>
        <w:tc>
          <w:tcPr>
            <w:tcW w:type="dxa" w:w="2767"/>
          </w:tcPr>
          <w:p>
            <w:r/>
            <w:r>
              <w:rPr>
                <w:sz w:val="18"/>
              </w:rPr>
              <w:t>statsmodels SSR F-test + OLS 降级</w:t>
            </w:r>
          </w:p>
        </w:tc>
      </w:tr>
      <w:tr>
        <w:tc>
          <w:tcPr>
            <w:tcW w:type="dxa" w:w="2767"/>
            <w:shd w:fill="F0F6FF"/>
          </w:tcPr>
          <w:p>
            <w:r/>
            <w:r>
              <w:rPr>
                <w:b/>
                <w:sz w:val="18"/>
              </w:rPr>
            </w:r>
            <w:r>
              <w:rPr>
                <w:b/>
                <w:sz w:val="18"/>
              </w:rPr>
              <w:t>PC-FCI</w:t>
            </w:r>
          </w:p>
        </w:tc>
        <w:tc>
          <w:tcPr>
            <w:tcW w:type="dxa" w:w="2767"/>
            <w:shd w:fill="F0F6FF"/>
          </w:tcPr>
          <w:p>
            <w:r/>
            <w:r>
              <w:rPr>
                <w:sz w:val="18"/>
              </w:rPr>
              <w:t>多变量因果图、允许潜变量</w:t>
            </w:r>
          </w:p>
        </w:tc>
        <w:tc>
          <w:tcPr>
            <w:tcW w:type="dxa" w:w="2767"/>
            <w:shd w:fill="F0F6FF"/>
          </w:tcPr>
          <w:p>
            <w:r/>
            <w:r>
              <w:rPr>
                <w:sz w:val="18"/>
              </w:rPr>
              <w:t>偏相关骨架发现 + V-结构定向</w:t>
            </w:r>
          </w:p>
        </w:tc>
      </w:tr>
      <w:tr>
        <w:tc>
          <w:tcPr>
            <w:tcW w:type="dxa" w:w="2767"/>
          </w:tcPr>
          <w:p>
            <w:r/>
            <w:r>
              <w:rPr>
                <w:b/>
                <w:sz w:val="18"/>
              </w:rPr>
            </w:r>
            <w:r>
              <w:rPr>
                <w:b/>
                <w:sz w:val="18"/>
              </w:rPr>
              <w:t>PSM</w:t>
            </w:r>
          </w:p>
        </w:tc>
        <w:tc>
          <w:tcPr>
            <w:tcW w:type="dxa" w:w="2767"/>
          </w:tcPr>
          <w:p>
            <w:r/>
            <w:r>
              <w:rPr>
                <w:sz w:val="18"/>
              </w:rPr>
              <w:t>观察性研究的准实验设计</w:t>
            </w:r>
          </w:p>
        </w:tc>
        <w:tc>
          <w:tcPr>
            <w:tcW w:type="dxa" w:w="2767"/>
          </w:tcPr>
          <w:p>
            <w:r/>
            <w:r>
              <w:rPr>
                <w:sz w:val="18"/>
              </w:rPr>
              <w:t>Logistic回归倾向得分 + 最近邻匹配 + SMD平衡检验</w:t>
            </w:r>
          </w:p>
        </w:tc>
      </w:tr>
      <w:tr>
        <w:tc>
          <w:tcPr>
            <w:tcW w:type="dxa" w:w="2767"/>
            <w:shd w:fill="F0F6FF"/>
          </w:tcPr>
          <w:p>
            <w:r/>
            <w:r>
              <w:rPr>
                <w:b/>
                <w:sz w:val="18"/>
              </w:rPr>
            </w:r>
            <w:r>
              <w:rPr>
                <w:b/>
                <w:sz w:val="18"/>
              </w:rPr>
              <w:t>Instrumental Variable</w:t>
            </w:r>
          </w:p>
        </w:tc>
        <w:tc>
          <w:tcPr>
            <w:tcW w:type="dxa" w:w="2767"/>
            <w:shd w:fill="F0F6FF"/>
          </w:tcPr>
          <w:p>
            <w:r/>
            <w:r>
              <w:rPr>
                <w:sz w:val="18"/>
              </w:rPr>
              <w:t>存在未观测混杂因子</w:t>
            </w:r>
          </w:p>
        </w:tc>
        <w:tc>
          <w:tcPr>
            <w:tcW w:type="dxa" w:w="2767"/>
            <w:shd w:fill="F0F6FF"/>
          </w:tcPr>
          <w:p>
            <w:r/>
            <w:r>
              <w:rPr>
                <w:sz w:val="18"/>
              </w:rPr>
              <w:t>两阶段最小二乘 + 弱工具变量检测</w:t>
            </w:r>
          </w:p>
        </w:tc>
      </w:tr>
      <w:tr>
        <w:tc>
          <w:tcPr>
            <w:tcW w:type="dxa" w:w="2767"/>
          </w:tcPr>
          <w:p>
            <w:r/>
            <w:r>
              <w:rPr>
                <w:b/>
                <w:sz w:val="18"/>
              </w:rPr>
            </w:r>
            <w:r>
              <w:rPr>
                <w:b/>
                <w:sz w:val="18"/>
              </w:rPr>
              <w:t>Bayesian Network</w:t>
            </w:r>
          </w:p>
        </w:tc>
        <w:tc>
          <w:tcPr>
            <w:tcW w:type="dxa" w:w="2767"/>
          </w:tcPr>
          <w:p>
            <w:r/>
            <w:r>
              <w:rPr>
                <w:sz w:val="18"/>
              </w:rPr>
              <w:t>概率因果、不确定性量化</w:t>
            </w:r>
          </w:p>
        </w:tc>
        <w:tc>
          <w:tcPr>
            <w:tcW w:type="dxa" w:w="2767"/>
          </w:tcPr>
          <w:p>
            <w:r/>
            <w:r>
              <w:rPr>
                <w:sz w:val="18"/>
              </w:rPr>
              <w:t>贪心 BIC 结构学习 + 卡方独立性检验</w:t>
            </w:r>
          </w:p>
        </w:tc>
      </w:tr>
      <w:tr>
        <w:tc>
          <w:tcPr>
            <w:tcW w:type="dxa" w:w="2767"/>
            <w:shd w:fill="F0F6FF"/>
          </w:tcPr>
          <w:p>
            <w:r/>
            <w:r>
              <w:rPr>
                <w:b/>
                <w:sz w:val="18"/>
              </w:rPr>
            </w:r>
            <w:r>
              <w:rPr>
                <w:b/>
                <w:sz w:val="18"/>
              </w:rPr>
              <w:t>Counterfactual</w:t>
            </w:r>
          </w:p>
        </w:tc>
        <w:tc>
          <w:tcPr>
            <w:tcW w:type="dxa" w:w="2767"/>
            <w:shd w:fill="F0F6FF"/>
          </w:tcPr>
          <w:p>
            <w:r/>
            <w:r>
              <w:rPr>
                <w:sz w:val="18"/>
              </w:rPr>
              <w:t>回答"如果 X 改变，Y 会怎样"</w:t>
            </w:r>
          </w:p>
        </w:tc>
        <w:tc>
          <w:tcPr>
            <w:tcW w:type="dxa" w:w="2767"/>
            <w:shd w:fill="F0F6FF"/>
          </w:tcPr>
          <w:p>
            <w:r/>
            <w:r>
              <w:rPr>
                <w:sz w:val="18"/>
              </w:rPr>
              <w:t>Welch t-test + ATE 估计</w:t>
            </w:r>
          </w:p>
        </w:tc>
      </w:tr>
      <w:tr>
        <w:tc>
          <w:tcPr>
            <w:tcW w:type="dxa" w:w="2767"/>
          </w:tcPr>
          <w:p>
            <w:r/>
            <w:r>
              <w:rPr>
                <w:b/>
                <w:sz w:val="18"/>
              </w:rPr>
            </w:r>
            <w:r>
              <w:rPr>
                <w:b/>
                <w:sz w:val="18"/>
              </w:rPr>
              <w:t>auto_select</w:t>
            </w:r>
          </w:p>
        </w:tc>
        <w:tc>
          <w:tcPr>
            <w:tcW w:type="dxa" w:w="2767"/>
          </w:tcPr>
          <w:p>
            <w:r/>
            <w:r>
              <w:rPr>
                <w:sz w:val="18"/>
              </w:rPr>
              <w:t>AI 自动选择最优方法</w:t>
            </w:r>
          </w:p>
        </w:tc>
        <w:tc>
          <w:tcPr>
            <w:tcW w:type="dxa" w:w="2767"/>
          </w:tcPr>
          <w:p>
            <w:r/>
            <w:r>
              <w:rPr>
                <w:sz w:val="18"/>
              </w:rPr>
              <w:t>决策树分层策略（按样本量/时序/非线性）</w:t>
            </w:r>
          </w:p>
        </w:tc>
      </w:tr>
    </w:tbl>
    <w:p>
      <w:pPr>
        <w:spacing w:before="0" w:after="120"/>
      </w:pPr>
    </w:p>
    <w:p>
      <w:pPr>
        <w:pStyle w:val="Heading3"/>
      </w:pPr>
      <w:r>
        <w:t>5.2 CCM 实现详解</w:t>
      </w:r>
    </w:p>
    <w:p>
      <w:r>
        <w:t>CCM（Convergent Cross Mapping）是系统最具技术深度的实现。其核心原理是：如果变量 X→Y 存在因果关系，两个系统共享同一个吸引子流形（attractor manifold），那么使用 Y 的延迟嵌入库可以预测 X 的值。</w:t>
      </w:r>
    </w:p>
    <w:p>
      <w:r>
        <w:t>实现分为三个步骤（`_run_ccm` 方法）：</w:t>
      </w:r>
    </w:p>
    <w:p>
      <w:r>
        <w:rPr>
          <w:b/>
        </w:rPr>
        <w:t>步骤一：延迟嵌入（Delay Embedding）。</w:t>
      </w:r>
      <w:r>
        <w:t xml:space="preserve"> 将单变量时间序列 $X={x_1, x_2, \ldots, x_N}$ 重构为 $T$ 维状态空间中的点：$\mathbf{x}_t = [x_t, x_{t-\tau}, \ldots, x_{t-(T-1)\tau}]$，其中 $T$ 为嵌入维度（column_size 参数，默认 3），$\tau=1$。</w:t>
      </w:r>
    </w:p>
    <w:p>
      <w:r>
        <w:rPr>
          <w:b/>
        </w:rPr>
        <w:t>步骤二：KNN 距离加权预测。</w:t>
      </w:r>
      <w:r>
        <w:t xml:space="preserve"> 对于每个查询点 $\mathbf{q}$，从库中找出 k 个最近邻（欧氏距离），按距离倒数加权预测目标值：</w:t>
      </w:r>
    </w:p>
    <w:p>
      <w:r>
        <w:t>$$\hat{y} = \frac{\sum_{i=1}^k w_i y_i}{\sum_{i=1}^k w_i},\quad w_i = \frac{1}{d(\mathbf{q}, \mathbf{x}_i) + \epsilon}$$</w:t>
      </w:r>
    </w:p>
    <w:p>
      <w:r>
        <w:t>其中 $\epsilon=10^{-10}$ 防止除零。</w:t>
      </w:r>
    </w:p>
    <w:p>
      <w:r>
        <w:rPr>
          <w:b/>
        </w:rPr>
        <w:t>步骤三：多 Library-Size 收敛验证。</w:t>
      </w:r>
      <w:r>
        <w:t xml:space="preserve"> CCM 的核心判据是：随着 library size（用于构建嵌入的点数）增大，交叉映射的预测精度（Spearman/Pearson $\rho$）必须单调上升（收敛）。系统在 5 个等间距的 library size 上计算 $\rho$，如果最终 $\rho$ &gt; 初始 $\rho$ 则判定为该方向因果存在。如果 $\rho(X \rightarrow Y) &gt; 0.8$ 且 $\rho(Y \rightarrow X) &gt; 0.8$，则即使无单调上升趋势也判定为强双向因果（高 $\rho$ 意味着无上升空间）。</w:t>
      </w:r>
    </w:p>
    <w:p>
      <w:r>
        <w:t>方向判定规则：</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1A73E8"/>
          </w:tcPr>
          <w:p>
            <w:pPr>
              <w:jc w:val="center"/>
            </w:pPr>
            <w:r/>
            <w:r>
              <w:rPr>
                <w:b/>
                <w:color w:val="FFFFFF"/>
                <w:sz w:val="18"/>
              </w:rPr>
              <w:t>ρ(X→Y) 收敛</w:t>
            </w:r>
          </w:p>
        </w:tc>
        <w:tc>
          <w:tcPr>
            <w:tcW w:type="dxa" w:w="2767"/>
            <w:shd w:fill="1A73E8"/>
          </w:tcPr>
          <w:p>
            <w:pPr>
              <w:jc w:val="center"/>
            </w:pPr>
            <w:r/>
            <w:r>
              <w:rPr>
                <w:b/>
                <w:color w:val="FFFFFF"/>
                <w:sz w:val="18"/>
              </w:rPr>
              <w:t>ρ(Y→X) 收敛</w:t>
            </w:r>
          </w:p>
        </w:tc>
        <w:tc>
          <w:tcPr>
            <w:tcW w:type="dxa" w:w="2767"/>
            <w:shd w:fill="1A73E8"/>
          </w:tcPr>
          <w:p>
            <w:pPr>
              <w:jc w:val="center"/>
            </w:pPr>
            <w:r/>
            <w:r>
              <w:rPr>
                <w:b/>
                <w:color w:val="FFFFFF"/>
                <w:sz w:val="18"/>
              </w:rPr>
              <w:t>因果方向</w:t>
            </w:r>
          </w:p>
        </w:tc>
      </w:tr>
      <w:tr>
        <w:tc>
          <w:tcPr>
            <w:tcW w:type="dxa" w:w="2767"/>
            <w:shd w:fill="F0F6FF"/>
          </w:tcPr>
          <w:p>
            <w:r/>
            <w:r>
              <w:rPr>
                <w:sz w:val="18"/>
              </w:rPr>
              <w:t>✓</w:t>
            </w:r>
          </w:p>
        </w:tc>
        <w:tc>
          <w:tcPr>
            <w:tcW w:type="dxa" w:w="2767"/>
            <w:shd w:fill="F0F6FF"/>
          </w:tcPr>
          <w:p>
            <w:r/>
            <w:r>
              <w:rPr>
                <w:sz w:val="18"/>
              </w:rPr>
              <w:t>✗</w:t>
            </w:r>
          </w:p>
        </w:tc>
        <w:tc>
          <w:tcPr>
            <w:tcW w:type="dxa" w:w="2767"/>
            <w:shd w:fill="F0F6FF"/>
          </w:tcPr>
          <w:p>
            <w:r/>
            <w:r>
              <w:rPr>
                <w:sz w:val="18"/>
              </w:rPr>
              <w:t>X→Y（若 ρ&gt;0.2）</w:t>
            </w:r>
          </w:p>
        </w:tc>
      </w:tr>
      <w:tr>
        <w:tc>
          <w:tcPr>
            <w:tcW w:type="dxa" w:w="2767"/>
          </w:tcPr>
          <w:p>
            <w:r/>
            <w:r>
              <w:rPr>
                <w:sz w:val="18"/>
              </w:rPr>
              <w:t>✗</w:t>
            </w:r>
          </w:p>
        </w:tc>
        <w:tc>
          <w:tcPr>
            <w:tcW w:type="dxa" w:w="2767"/>
          </w:tcPr>
          <w:p>
            <w:r/>
            <w:r>
              <w:rPr>
                <w:sz w:val="18"/>
              </w:rPr>
              <w:t>✓</w:t>
            </w:r>
          </w:p>
        </w:tc>
        <w:tc>
          <w:tcPr>
            <w:tcW w:type="dxa" w:w="2767"/>
          </w:tcPr>
          <w:p>
            <w:r/>
            <w:r>
              <w:rPr>
                <w:sz w:val="18"/>
              </w:rPr>
              <w:t>Y→X（若 ρ&gt;0.2）</w:t>
            </w:r>
          </w:p>
        </w:tc>
      </w:tr>
      <w:tr>
        <w:tc>
          <w:tcPr>
            <w:tcW w:type="dxa" w:w="2767"/>
            <w:shd w:fill="F0F6FF"/>
          </w:tcPr>
          <w:p>
            <w:r/>
            <w:r>
              <w:rPr>
                <w:sz w:val="18"/>
              </w:rPr>
              <w:t>✓</w:t>
            </w:r>
          </w:p>
        </w:tc>
        <w:tc>
          <w:tcPr>
            <w:tcW w:type="dxa" w:w="2767"/>
            <w:shd w:fill="F0F6FF"/>
          </w:tcPr>
          <w:p>
            <w:r/>
            <w:r>
              <w:rPr>
                <w:sz w:val="18"/>
              </w:rPr>
              <w:t>✓</w:t>
            </w:r>
          </w:p>
        </w:tc>
        <w:tc>
          <w:tcPr>
            <w:tcW w:type="dxa" w:w="2767"/>
            <w:shd w:fill="F0F6FF"/>
          </w:tcPr>
          <w:p>
            <w:r/>
            <w:r>
              <w:rPr>
                <w:sz w:val="18"/>
              </w:rPr>
              <w:t>ρ_diff</w:t>
            </w:r>
          </w:p>
        </w:tc>
      </w:tr>
      <w:tr>
        <w:tc>
          <w:tcPr>
            <w:tcW w:type="dxa" w:w="2767"/>
          </w:tcPr>
          <w:p>
            <w:r/>
            <w:r>
              <w:rPr>
                <w:sz w:val="18"/>
              </w:rPr>
              <w:t>✗</w:t>
            </w:r>
          </w:p>
        </w:tc>
        <w:tc>
          <w:tcPr>
            <w:tcW w:type="dxa" w:w="2767"/>
          </w:tcPr>
          <w:p>
            <w:r/>
            <w:r>
              <w:rPr>
                <w:sz w:val="18"/>
              </w:rPr>
              <w:t>✗</w:t>
            </w:r>
          </w:p>
        </w:tc>
        <w:tc>
          <w:tcPr>
            <w:tcW w:type="dxa" w:w="2767"/>
          </w:tcPr>
          <w:p>
            <w:r/>
            <w:r>
              <w:rPr>
                <w:sz w:val="18"/>
              </w:rPr>
              <w:t>方向不明确</w:t>
            </w:r>
          </w:p>
        </w:tc>
      </w:tr>
    </w:tbl>
    <w:p>
      <w:pPr>
        <w:spacing w:before="0" w:after="120"/>
      </w:pPr>
    </w:p>
    <w:p>
      <w:pPr>
        <w:pStyle w:val="Heading3"/>
      </w:pPr>
      <w:r>
        <w:t>5.3 Granger 因果关系检验</w:t>
      </w:r>
    </w:p>
    <w:p>
      <w:r>
        <w:t>`_run_granger` 优先使用 `statsmodels.tsa.stattools.grangercausalitytests`（SSR F-test），在该库不可用时降级为自研 OLS F-test。对每个滞后阶数（1 到 max_lag），计算受限模型（仅 Y 的滞后项）和全模型（Y 的滞后项 + X 的滞后项）的残差平方和，构造 F 统计量：</w:t>
      </w:r>
    </w:p>
    <w:p>
      <w:r>
        <w:t>$$F = \frac{(SSR_r - SSR_{ur}) / df_1}{SSR_{ur} / df_2}$$</w:t>
      </w:r>
    </w:p>
    <w:p>
      <w:r>
        <w:t>其中 $df_1 = \text{lag}$，$df_2 = N - 2 \times \text{lag} - 1$。若任意滞后的 p &lt; 0.05 则判定存在 Granger 因果关系。</w:t>
      </w:r>
    </w:p>
    <w:p>
      <w:pPr>
        <w:pStyle w:val="Heading3"/>
      </w:pPr>
      <w:r>
        <w:t>5.4 AI 自动方法选择策略</w:t>
      </w:r>
    </w:p>
    <w:p>
      <w:r>
        <w:t>`_run_auto_select` 实现分层决策树：</w:t>
      </w:r>
    </w:p>
    <w:p>
      <w:r>
        <w:t>1. 样本量 &lt; 30 → counterfactual（仅能做描述性比较）</w:t>
      </w:r>
    </w:p>
    <w:p>
      <w:r>
        <w:t>2. 时间序列 + 样本量 &lt; 50 → granger（小样本线性近似）</w:t>
      </w:r>
    </w:p>
    <w:p>
      <w:r>
        <w:t>3. 时间序列 + 非线性检测 → ccm（非线性系统首选）</w:t>
      </w:r>
    </w:p>
    <w:p>
      <w:r>
        <w:t>4. 时间序列 + 线性 + 样本量 ≥ 50 → granger（标准方法）</w:t>
      </w:r>
    </w:p>
    <w:p>
      <w:r>
        <w:t>5. 多变量 + 大样本 → pc_fci（结构发现）</w:t>
      </w:r>
    </w:p>
    <w:p>
      <w:r>
        <w:t>6. 已知混杂因子 → counterfactual（控制混杂设计）</w:t>
      </w:r>
    </w:p>
    <w:p>
      <w:r>
        <w:t>7. 默认降级 → granger（通用性强）</w:t>
      </w:r>
    </w:p>
    <w:p>
      <w:pPr>
        <w:pBdr>
          <w:bottom w:val="single" w:sz="6" w:space="1" w:color="CCCCCC"/>
        </w:pBdr>
      </w:pPr>
    </w:p>
    <w:p>
      <w:pPr>
        <w:pStyle w:val="Heading2"/>
      </w:pPr>
      <w:r>
        <w:t>第六章 实验与评测</w:t>
      </w:r>
    </w:p>
    <w:p>
      <w:pPr>
        <w:pStyle w:val="Heading3"/>
      </w:pPr>
      <w:r>
        <w:t>6.1 Benchmark 设计</w:t>
      </w:r>
    </w:p>
    <w:p>
      <w:r>
        <w:t>为定量评估系统的因果发现能力，我们设计了一套包含已知因果结构的 Benchmark（`benchmark/scenarios.py`）：</w:t>
      </w:r>
    </w:p>
    <w:p>
      <w:pPr>
        <w:pStyle w:val="ListBullet"/>
      </w:pPr>
      <w:r>
        <w:rPr>
          <w:b/>
        </w:rPr>
        <w:t>10 个测试场景</w:t>
      </w:r>
      <w:r>
        <w:t>，覆盖单因果链、多因一果、多果一因、空效应等不同拓扑</w:t>
      </w:r>
    </w:p>
    <w:p>
      <w:pPr>
        <w:pStyle w:val="ListBullet"/>
      </w:pPr>
      <w:r>
        <w:rPr>
          <w:b/>
        </w:rPr>
        <w:t>13 条黄金标准因果边</w:t>
      </w:r>
      <w:r>
        <w:t>，源自 `gen_multimodal_simulator.py` 中 `BiometricModel` 的 7 个隐藏因果载荷因子，每条边的参数系数来自同行评审文献（详见该文件第 40-59 行的科学参考表）</w:t>
      </w:r>
    </w:p>
    <w:p>
      <w:pPr>
        <w:pStyle w:val="ListBullet"/>
      </w:pPr>
      <w:r>
        <w:rPr>
          <w:b/>
        </w:rPr>
        <w:t>5 对空效应组合</w:t>
      </w:r>
      <w:r>
        <w:t>（NO₂→HR_BPM、NO₂→SDNN_ms 等），用于假阳性检测</w:t>
      </w:r>
    </w:p>
    <w:p>
      <w:r>
        <w:t>基线方法包括 Pearson 相关（|r| &gt; 0.3 判因果）、纯 Granger 因果检验、随机基线（50% 概率判定）。</w:t>
      </w:r>
    </w:p>
    <w:p>
      <w:pPr>
        <w:pStyle w:val="Heading3"/>
      </w:pPr>
      <w:r>
        <w:t>6.2 定量结果</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shd w:fill="1A73E8"/>
          </w:tcPr>
          <w:p>
            <w:pPr>
              <w:jc w:val="center"/>
            </w:pPr>
            <w:r/>
            <w:r>
              <w:rPr>
                <w:b/>
                <w:color w:val="FFFFFF"/>
                <w:sz w:val="18"/>
              </w:rPr>
              <w:t>方法</w:t>
            </w:r>
          </w:p>
        </w:tc>
        <w:tc>
          <w:tcPr>
            <w:tcW w:type="dxa" w:w="1660"/>
            <w:shd w:fill="1A73E8"/>
          </w:tcPr>
          <w:p>
            <w:pPr>
              <w:jc w:val="center"/>
            </w:pPr>
            <w:r/>
            <w:r>
              <w:rPr>
                <w:b/>
                <w:color w:val="FFFFFF"/>
                <w:sz w:val="18"/>
              </w:rPr>
              <w:t>F1</w:t>
            </w:r>
          </w:p>
        </w:tc>
        <w:tc>
          <w:tcPr>
            <w:tcW w:type="dxa" w:w="1660"/>
            <w:shd w:fill="1A73E8"/>
          </w:tcPr>
          <w:p>
            <w:pPr>
              <w:jc w:val="center"/>
            </w:pPr>
            <w:r/>
            <w:r>
              <w:rPr>
                <w:b/>
                <w:color w:val="FFFFFF"/>
                <w:sz w:val="18"/>
              </w:rPr>
              <w:t>Precision</w:t>
            </w:r>
          </w:p>
        </w:tc>
        <w:tc>
          <w:tcPr>
            <w:tcW w:type="dxa" w:w="1660"/>
            <w:shd w:fill="1A73E8"/>
          </w:tcPr>
          <w:p>
            <w:pPr>
              <w:jc w:val="center"/>
            </w:pPr>
            <w:r/>
            <w:r>
              <w:rPr>
                <w:b/>
                <w:color w:val="FFFFFF"/>
                <w:sz w:val="18"/>
              </w:rPr>
              <w:t>Recall</w:t>
            </w:r>
          </w:p>
        </w:tc>
        <w:tc>
          <w:tcPr>
            <w:tcW w:type="dxa" w:w="1660"/>
            <w:shd w:fill="1A73E8"/>
          </w:tcPr>
          <w:p>
            <w:pPr>
              <w:jc w:val="center"/>
            </w:pPr>
            <w:r/>
            <w:r>
              <w:rPr>
                <w:b/>
                <w:color w:val="FFFFFF"/>
                <w:sz w:val="18"/>
              </w:rPr>
              <w:t>方向准确率</w:t>
            </w:r>
          </w:p>
        </w:tc>
      </w:tr>
      <w:tr>
        <w:tc>
          <w:tcPr>
            <w:tcW w:type="dxa" w:w="1660"/>
            <w:shd w:fill="F0F6FF"/>
          </w:tcPr>
          <w:p>
            <w:r/>
            <w:r>
              <w:rPr>
                <w:b/>
                <w:sz w:val="18"/>
              </w:rPr>
            </w:r>
            <w:r>
              <w:rPr>
                <w:b/>
                <w:sz w:val="18"/>
              </w:rPr>
              <w:t>TwinScientist（完整引擎）</w:t>
            </w:r>
          </w:p>
        </w:tc>
        <w:tc>
          <w:tcPr>
            <w:tcW w:type="dxa" w:w="1660"/>
            <w:shd w:fill="F0F6FF"/>
          </w:tcPr>
          <w:p>
            <w:r/>
            <w:r>
              <w:rPr>
                <w:b/>
                <w:sz w:val="18"/>
              </w:rPr>
            </w:r>
            <w:r>
              <w:rPr>
                <w:b/>
                <w:sz w:val="18"/>
              </w:rPr>
              <w:t>0.757</w:t>
            </w:r>
          </w:p>
        </w:tc>
        <w:tc>
          <w:tcPr>
            <w:tcW w:type="dxa" w:w="1660"/>
            <w:shd w:fill="F0F6FF"/>
          </w:tcPr>
          <w:p>
            <w:r/>
            <w:r>
              <w:rPr>
                <w:b/>
                <w:sz w:val="18"/>
              </w:rPr>
            </w:r>
            <w:r>
              <w:rPr>
                <w:b/>
                <w:sz w:val="18"/>
              </w:rPr>
              <w:t>0.723</w:t>
            </w:r>
          </w:p>
        </w:tc>
        <w:tc>
          <w:tcPr>
            <w:tcW w:type="dxa" w:w="1660"/>
            <w:shd w:fill="F0F6FF"/>
          </w:tcPr>
          <w:p>
            <w:r/>
            <w:r>
              <w:rPr>
                <w:b/>
                <w:sz w:val="18"/>
              </w:rPr>
            </w:r>
            <w:r>
              <w:rPr>
                <w:b/>
                <w:sz w:val="18"/>
              </w:rPr>
              <w:t>0.832</w:t>
            </w:r>
          </w:p>
        </w:tc>
        <w:tc>
          <w:tcPr>
            <w:tcW w:type="dxa" w:w="1660"/>
            <w:shd w:fill="F0F6FF"/>
          </w:tcPr>
          <w:p>
            <w:r/>
            <w:r>
              <w:rPr>
                <w:b/>
                <w:sz w:val="18"/>
              </w:rPr>
            </w:r>
            <w:r>
              <w:rPr>
                <w:b/>
                <w:sz w:val="18"/>
              </w:rPr>
              <w:t>0.909</w:t>
            </w:r>
          </w:p>
        </w:tc>
      </w:tr>
      <w:tr>
        <w:tc>
          <w:tcPr>
            <w:tcW w:type="dxa" w:w="1660"/>
          </w:tcPr>
          <w:p>
            <w:r/>
            <w:r>
              <w:rPr>
                <w:sz w:val="18"/>
              </w:rPr>
              <w:t>Pearson 相关</w:t>
            </w:r>
          </w:p>
        </w:tc>
        <w:tc>
          <w:tcPr>
            <w:tcW w:type="dxa" w:w="1660"/>
          </w:tcPr>
          <w:p>
            <w:r/>
            <w:r>
              <w:rPr>
                <w:sz w:val="18"/>
              </w:rPr>
              <w:t>0.667</w:t>
            </w:r>
          </w:p>
        </w:tc>
        <w:tc>
          <w:tcPr>
            <w:tcW w:type="dxa" w:w="1660"/>
          </w:tcPr>
          <w:p>
            <w:r/>
            <w:r>
              <w:rPr>
                <w:sz w:val="18"/>
              </w:rPr>
              <w:t>0.875</w:t>
            </w:r>
          </w:p>
        </w:tc>
        <w:tc>
          <w:tcPr>
            <w:tcW w:type="dxa" w:w="1660"/>
          </w:tcPr>
          <w:p>
            <w:r/>
            <w:r>
              <w:rPr>
                <w:sz w:val="18"/>
              </w:rPr>
              <w:t>0.538</w:t>
            </w:r>
          </w:p>
        </w:tc>
        <w:tc>
          <w:tcPr>
            <w:tcW w:type="dxa" w:w="1660"/>
          </w:tcPr>
          <w:p>
            <w:r/>
            <w:r>
              <w:rPr>
                <w:sz w:val="18"/>
              </w:rPr>
              <w:t>—</w:t>
            </w:r>
          </w:p>
        </w:tc>
      </w:tr>
      <w:tr>
        <w:tc>
          <w:tcPr>
            <w:tcW w:type="dxa" w:w="1660"/>
            <w:shd w:fill="F0F6FF"/>
          </w:tcPr>
          <w:p>
            <w:r/>
            <w:r>
              <w:rPr>
                <w:sz w:val="18"/>
              </w:rPr>
              <w:t>纯 Granger</w:t>
            </w:r>
          </w:p>
        </w:tc>
        <w:tc>
          <w:tcPr>
            <w:tcW w:type="dxa" w:w="1660"/>
            <w:shd w:fill="F0F6FF"/>
          </w:tcPr>
          <w:p>
            <w:r/>
            <w:r>
              <w:rPr>
                <w:sz w:val="18"/>
              </w:rPr>
              <w:t>0.571</w:t>
            </w:r>
          </w:p>
        </w:tc>
        <w:tc>
          <w:tcPr>
            <w:tcW w:type="dxa" w:w="1660"/>
            <w:shd w:fill="F0F6FF"/>
          </w:tcPr>
          <w:p>
            <w:r/>
            <w:r>
              <w:rPr>
                <w:sz w:val="18"/>
              </w:rPr>
              <w:t>0.533</w:t>
            </w:r>
          </w:p>
        </w:tc>
        <w:tc>
          <w:tcPr>
            <w:tcW w:type="dxa" w:w="1660"/>
            <w:shd w:fill="F0F6FF"/>
          </w:tcPr>
          <w:p>
            <w:r/>
            <w:r>
              <w:rPr>
                <w:sz w:val="18"/>
              </w:rPr>
              <w:t>0.615</w:t>
            </w:r>
          </w:p>
        </w:tc>
        <w:tc>
          <w:tcPr>
            <w:tcW w:type="dxa" w:w="1660"/>
            <w:shd w:fill="F0F6FF"/>
          </w:tcPr>
          <w:p>
            <w:r/>
            <w:r>
              <w:rPr>
                <w:sz w:val="18"/>
              </w:rPr>
              <w:t>—</w:t>
            </w:r>
          </w:p>
        </w:tc>
      </w:tr>
      <w:tr>
        <w:tc>
          <w:tcPr>
            <w:tcW w:type="dxa" w:w="1660"/>
          </w:tcPr>
          <w:p>
            <w:r/>
            <w:r>
              <w:rPr>
                <w:sz w:val="18"/>
              </w:rPr>
              <w:t>随机基线</w:t>
            </w:r>
          </w:p>
        </w:tc>
        <w:tc>
          <w:tcPr>
            <w:tcW w:type="dxa" w:w="1660"/>
          </w:tcPr>
          <w:p>
            <w:r/>
            <w:r>
              <w:rPr>
                <w:sz w:val="18"/>
              </w:rPr>
              <w:t>0.696</w:t>
            </w:r>
          </w:p>
        </w:tc>
        <w:tc>
          <w:tcPr>
            <w:tcW w:type="dxa" w:w="1660"/>
          </w:tcPr>
          <w:p>
            <w:r/>
            <w:r>
              <w:rPr>
                <w:sz w:val="18"/>
              </w:rPr>
              <w:t>0.800</w:t>
            </w:r>
          </w:p>
        </w:tc>
        <w:tc>
          <w:tcPr>
            <w:tcW w:type="dxa" w:w="1660"/>
          </w:tcPr>
          <w:p>
            <w:r/>
            <w:r>
              <w:rPr>
                <w:sz w:val="18"/>
              </w:rPr>
              <w:t>0.615</w:t>
            </w:r>
          </w:p>
        </w:tc>
        <w:tc>
          <w:tcPr>
            <w:tcW w:type="dxa" w:w="1660"/>
          </w:tcPr>
          <w:p>
            <w:r/>
            <w:r>
              <w:rPr>
                <w:sz w:val="18"/>
              </w:rPr>
              <w:t>—</w:t>
            </w:r>
          </w:p>
        </w:tc>
      </w:tr>
    </w:tbl>
    <w:p>
      <w:pPr>
        <w:spacing w:before="0" w:after="120"/>
      </w:pPr>
    </w:p>
    <w:p>
      <w:r>
        <w:t>TwinScientist 在 F1（0.757）和召回率（0.832）上均优于所有基线。高召回率（0.832）说明系统能够有效发现存在的因果关系，方向准确率（0.909）说明检出的边中方向判断高度可信。</w:t>
      </w:r>
    </w:p>
    <w:p>
      <w:r>
        <w:t>按场景分析，系统在 s3_pm_hrv（PM2.5 → HRV，多指标）和 s4_voc_hrv（VOC → HRV）上达到 F1=1.0，在 s5_multi_hr（三因一果）上达到 F1=0.857。</w:t>
      </w:r>
    </w:p>
    <w:p>
      <w:pPr>
        <w:pStyle w:val="Heading3"/>
      </w:pPr>
      <w:r>
        <w:t>6.3 外部学术验证</w:t>
      </w:r>
    </w:p>
    <w:p>
      <w:r>
        <w:t>为进一步验证系统的因果发现能力不限于自建场景，我们在三个学术界公认的时间序列因果发现基准测试上运行相同评估：</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1A73E8"/>
          </w:tcPr>
          <w:p>
            <w:pPr>
              <w:jc w:val="center"/>
            </w:pPr>
            <w:r/>
            <w:r>
              <w:rPr>
                <w:b/>
                <w:color w:val="FFFFFF"/>
                <w:sz w:val="18"/>
              </w:rPr>
              <w:t>Benchmark</w:t>
            </w:r>
          </w:p>
        </w:tc>
        <w:tc>
          <w:tcPr>
            <w:tcW w:type="dxa" w:w="2075"/>
            <w:shd w:fill="1A73E8"/>
          </w:tcPr>
          <w:p>
            <w:pPr>
              <w:jc w:val="center"/>
            </w:pPr>
            <w:r/>
            <w:r>
              <w:rPr>
                <w:b/>
                <w:color w:val="FFFFFF"/>
                <w:sz w:val="18"/>
              </w:rPr>
              <w:t>F1</w:t>
            </w:r>
          </w:p>
        </w:tc>
        <w:tc>
          <w:tcPr>
            <w:tcW w:type="dxa" w:w="2075"/>
            <w:shd w:fill="1A73E8"/>
          </w:tcPr>
          <w:p>
            <w:pPr>
              <w:jc w:val="center"/>
            </w:pPr>
            <w:r/>
            <w:r>
              <w:rPr>
                <w:b/>
                <w:color w:val="FFFFFF"/>
                <w:sz w:val="18"/>
              </w:rPr>
              <w:t>召回率</w:t>
            </w:r>
          </w:p>
        </w:tc>
        <w:tc>
          <w:tcPr>
            <w:tcW w:type="dxa" w:w="2075"/>
            <w:shd w:fill="1A73E8"/>
          </w:tcPr>
          <w:p>
            <w:pPr>
              <w:jc w:val="center"/>
            </w:pPr>
            <w:r/>
            <w:r>
              <w:rPr>
                <w:b/>
                <w:color w:val="FFFFFF"/>
                <w:sz w:val="18"/>
              </w:rPr>
              <w:t>方向准确率</w:t>
            </w:r>
          </w:p>
        </w:tc>
      </w:tr>
      <w:tr>
        <w:tc>
          <w:tcPr>
            <w:tcW w:type="dxa" w:w="2075"/>
            <w:shd w:fill="F0F6FF"/>
          </w:tcPr>
          <w:p>
            <w:r/>
            <w:r>
              <w:rPr>
                <w:sz w:val="18"/>
              </w:rPr>
              <w:t>Coupled Logistic Map (Sugihara et al., 2012, *Science*)</w:t>
            </w:r>
          </w:p>
        </w:tc>
        <w:tc>
          <w:tcPr>
            <w:tcW w:type="dxa" w:w="2075"/>
            <w:shd w:fill="F0F6FF"/>
          </w:tcPr>
          <w:p>
            <w:r/>
            <w:r>
              <w:rPr>
                <w:sz w:val="18"/>
              </w:rPr>
              <w:t>0.667</w:t>
            </w:r>
          </w:p>
        </w:tc>
        <w:tc>
          <w:tcPr>
            <w:tcW w:type="dxa" w:w="2075"/>
            <w:shd w:fill="F0F6FF"/>
          </w:tcPr>
          <w:p>
            <w:r/>
            <w:r>
              <w:rPr>
                <w:sz w:val="18"/>
              </w:rPr>
              <w:t>1.000</w:t>
            </w:r>
          </w:p>
        </w:tc>
        <w:tc>
          <w:tcPr>
            <w:tcW w:type="dxa" w:w="2075"/>
            <w:shd w:fill="F0F6FF"/>
          </w:tcPr>
          <w:p>
            <w:r/>
            <w:r>
              <w:rPr>
                <w:sz w:val="18"/>
              </w:rPr>
              <w:t>1.000</w:t>
            </w:r>
          </w:p>
        </w:tc>
      </w:tr>
      <w:tr>
        <w:tc>
          <w:tcPr>
            <w:tcW w:type="dxa" w:w="2075"/>
          </w:tcPr>
          <w:p>
            <w:r/>
            <w:r>
              <w:rPr>
                <w:sz w:val="18"/>
              </w:rPr>
              <w:t>VAR(2) Linear System (Granger, 1969, *Econometrica*)</w:t>
            </w:r>
          </w:p>
        </w:tc>
        <w:tc>
          <w:tcPr>
            <w:tcW w:type="dxa" w:w="2075"/>
          </w:tcPr>
          <w:p>
            <w:r/>
            <w:r>
              <w:rPr>
                <w:sz w:val="18"/>
              </w:rPr>
              <w:t>0.667</w:t>
            </w:r>
          </w:p>
        </w:tc>
        <w:tc>
          <w:tcPr>
            <w:tcW w:type="dxa" w:w="2075"/>
          </w:tcPr>
          <w:p>
            <w:r/>
            <w:r>
              <w:rPr>
                <w:sz w:val="18"/>
              </w:rPr>
              <w:t>1.000</w:t>
            </w:r>
          </w:p>
        </w:tc>
        <w:tc>
          <w:tcPr>
            <w:tcW w:type="dxa" w:w="2075"/>
          </w:tcPr>
          <w:p>
            <w:r/>
            <w:r>
              <w:rPr>
                <w:sz w:val="18"/>
              </w:rPr>
              <w:t>1.000</w:t>
            </w:r>
          </w:p>
        </w:tc>
      </w:tr>
      <w:tr>
        <w:tc>
          <w:tcPr>
            <w:tcW w:type="dxa" w:w="2075"/>
            <w:shd w:fill="F0F6FF"/>
          </w:tcPr>
          <w:p>
            <w:r/>
            <w:r>
              <w:rPr>
                <w:sz w:val="18"/>
              </w:rPr>
              <w:t>5-Variable Nonlinear DAG (Runge et al., 2019, *Science Advances*)</w:t>
            </w:r>
          </w:p>
        </w:tc>
        <w:tc>
          <w:tcPr>
            <w:tcW w:type="dxa" w:w="2075"/>
            <w:shd w:fill="F0F6FF"/>
          </w:tcPr>
          <w:p>
            <w:r/>
            <w:r>
              <w:rPr>
                <w:sz w:val="18"/>
              </w:rPr>
              <w:t>0.500</w:t>
            </w:r>
          </w:p>
        </w:tc>
        <w:tc>
          <w:tcPr>
            <w:tcW w:type="dxa" w:w="2075"/>
            <w:shd w:fill="F0F6FF"/>
          </w:tcPr>
          <w:p>
            <w:r/>
            <w:r>
              <w:rPr>
                <w:sz w:val="18"/>
              </w:rPr>
              <w:t>1.000</w:t>
            </w:r>
          </w:p>
        </w:tc>
        <w:tc>
          <w:tcPr>
            <w:tcW w:type="dxa" w:w="2075"/>
            <w:shd w:fill="F0F6FF"/>
          </w:tcPr>
          <w:p>
            <w:r/>
            <w:r>
              <w:rPr>
                <w:sz w:val="18"/>
              </w:rPr>
              <w:t>1.000</w:t>
            </w:r>
          </w:p>
        </w:tc>
      </w:tr>
    </w:tbl>
    <w:p>
      <w:pPr>
        <w:spacing w:before="0" w:after="120"/>
      </w:pPr>
    </w:p>
    <w:p>
      <w:r>
        <w:t>在 5-Variable Nonlinear DAG 上，系统召回率 100% 但 F1 低于 PCMCI（Runge 2019 报告 F1=0.82），主要原因是系统暂未实现条件独立性检验的多变量因果图学习方法——这是明确的后续改进方向。</w:t>
      </w:r>
    </w:p>
    <w:p>
      <w:pPr>
        <w:pBdr>
          <w:bottom w:val="single" w:sz="6" w:space="1" w:color="CCCCCC"/>
        </w:pBdr>
      </w:pPr>
    </w:p>
    <w:p>
      <w:pPr>
        <w:pStyle w:val="Heading2"/>
      </w:pPr>
      <w:r>
        <w:t>第七章 真实案例</w:t>
      </w:r>
    </w:p>
    <w:p>
      <w:pPr>
        <w:pStyle w:val="Heading3"/>
      </w:pPr>
      <w:r>
        <w:t>7.1 案例背景</w:t>
      </w:r>
    </w:p>
    <w:p>
      <w:r>
        <w:t>受试者 H1 在 4 个房间（卧室、厨房、客厅、书房）中连续 14 天佩戴可穿戴设备，同时房间内部署环境传感器。采集数据包括：</w:t>
      </w:r>
    </w:p>
    <w:p>
      <w:pPr>
        <w:pStyle w:val="ListBullet"/>
      </w:pPr>
      <w:r>
        <w:rPr>
          <w:b/>
        </w:rPr>
        <w:t>环境数据</w:t>
      </w:r>
      <w:r>
        <w:t>：温度（°C）、相对湿度（%）、CO₂（ppm）、PM2.5（μg/m³）、VOC（等级）</w:t>
      </w:r>
    </w:p>
    <w:p>
      <w:pPr>
        <w:pStyle w:val="ListBullet"/>
      </w:pPr>
      <w:r>
        <w:rPr>
          <w:b/>
        </w:rPr>
        <w:t>生物信号</w:t>
      </w:r>
      <w:r>
        <w:t>：心率（HR_BPM, bpm）、心率变异性（SDNN_ms、RMSSD_ms）、血氧饱和度（SpO₂, %）、PPG 振幅</w:t>
      </w:r>
    </w:p>
    <w:p>
      <w:pPr>
        <w:pStyle w:val="ListBullet"/>
      </w:pPr>
      <w:r>
        <w:rPr>
          <w:b/>
        </w:rPr>
        <w:t>数据量</w:t>
      </w:r>
      <w:r>
        <w:t>：约 5000 条/小时的采样点，共约 168 万条记录</w:t>
      </w:r>
    </w:p>
    <w:p>
      <w:r>
        <w:t>研究问题设定为："</w:t>
      </w:r>
      <w:r>
        <w:rPr>
          <w:b/>
        </w:rPr>
        <w:t>卧室环境中的温度、湿度、CO₂ 和 PM2.5 如何影响我的夜间生理指标（心率、HRV、血氧）？</w:t>
      </w:r>
      <w:r>
        <w:t>"</w:t>
      </w:r>
    </w:p>
    <w:p>
      <w:pPr>
        <w:pStyle w:val="Heading3"/>
      </w:pPr>
      <w:r>
        <w:t>7.2 系统执行过程</w:t>
      </w:r>
    </w:p>
    <w:p>
      <w:r>
        <w:rPr>
          <w:b/>
        </w:rPr>
        <w:t>阶段 ① 伦理审查</w:t>
      </w:r>
      <w:r>
        <w:t>：系统对研究问题执行三段式伦理评估，判定风险等级为 LOW，自动放行。</w:t>
      </w:r>
    </w:p>
    <w:p>
      <w:r>
        <w:rPr>
          <w:b/>
        </w:rPr>
        <w:t>阶段 ② 文献调研</w:t>
      </w:r>
      <w:r>
        <w:t>：系统通过 LiteratureSearchEngine 并行调用 Crossref、arXiv、Semantic Scholar 三个 API，搜索 "indoor temperature heart rate variability sleep quality" 相关文献。返回 20+ 篇论文，经 CitationValidator 交叉验证 DOI/PMID，共提取 10 条带引用验证的结构化科学事实，自动构建知识图谱（含变量节点、生物标志物节点和方法节点）。</w:t>
      </w:r>
    </w:p>
    <w:p>
      <w:r>
        <w:rPr>
          <w:b/>
        </w:rPr>
        <w:t>阶段 ③ 假设生成</w:t>
      </w:r>
      <w:r>
        <w:t>：LogicEngine 基于文献事实执行三路推理：</w:t>
      </w:r>
    </w:p>
    <w:p>
      <w:pPr>
        <w:pStyle w:val="ListBullet"/>
      </w:pPr>
      <w:r>
        <w:t>归纳路径识别出 "温度 vs 睡眠深度指标" 为未覆盖的变量组合</w:t>
      </w:r>
    </w:p>
    <w:p>
      <w:pPr>
        <w:pStyle w:val="ListBullet"/>
      </w:pPr>
      <w:r>
        <w:t>演绎路径激活规则 "温度升高 → 交感神经激活 → HRV 降低"（匹配度 100%）</w:t>
      </w:r>
    </w:p>
    <w:p>
      <w:pPr>
        <w:pStyle w:val="ListBullet"/>
      </w:pPr>
      <w:r>
        <w:t>溯因路径发现 CO₂→HRV 的文献证据链强度偏低，提出"非线性阈值效应"替代解释</w:t>
      </w:r>
    </w:p>
    <w:p>
      <w:r>
        <w:t>三条路径共产生 8 个候选假设。LLM 在 LogicEngine 输出的基础上再补充 4 个假设（含跨学科迁移类假设），总计 12 个假设进入假设树。</w:t>
      </w:r>
    </w:p>
    <w:p>
      <w:r>
        <w:rPr>
          <w:b/>
        </w:rPr>
        <w:t>阶段 ④ Elo 淘汰赛</w:t>
      </w:r>
      <w:r>
        <w:t>：12 个假设进行逐对 PK，15 场对决后，假设"CO₂ 浓度升高通过自主神经偏移导致 HRV 降低"以最高 Elo 得分胜出。</w:t>
      </w:r>
    </w:p>
    <w:p>
      <w:r>
        <w:rPr>
          <w:b/>
        </w:rPr>
        <w:t>阶段 ⑤ 实验设计</w:t>
      </w:r>
      <w:r>
        <w:t>：系统为该胜出假设设计完整实验方案，自动挂载卧室传感器 CSV 文件作为数据源。</w:t>
      </w:r>
    </w:p>
    <w:p>
      <w:r>
        <w:rPr>
          <w:b/>
        </w:rPr>
        <w:t>阶段 ⑥ 因果推断</w:t>
      </w:r>
      <w:r>
        <w:t>：CausalInferenceEngine 自动选择 CCM 方法（时序 + 潜在非线性），在 CO₂ 和 HRV 之间执行分析：</w:t>
      </w:r>
    </w:p>
    <w:p>
      <w:pPr>
        <w:ind w:left="283"/>
        <w:shd w:fill="F5F5F5" w:val="clear"/>
      </w:pPr>
      <w:r>
        <w:rPr>
          <w:rFonts w:ascii="Courier New" w:hAnsi="Courier New"/>
          <w:color w:val="333333"/>
          <w:sz w:val="17"/>
        </w:rPr>
        <w:t>CCM 结果摘要：</w:t>
        <w:br/>
      </w:r>
      <w:r>
        <w:rPr>
          <w:rFonts w:ascii="Courier New" w:hAnsi="Courier New"/>
          <w:color w:val="333333"/>
          <w:sz w:val="17"/>
        </w:rPr>
        <w:t>ρ(CO₂→HRV) = 0.6873</w:t>
        <w:br/>
      </w:r>
      <w:r>
        <w:rPr>
          <w:rFonts w:ascii="Courier New" w:hAnsi="Courier New"/>
          <w:color w:val="333333"/>
          <w:sz w:val="17"/>
        </w:rPr>
        <w:t>ρ(HRV→CO₂) = 0.1253</w:t>
        <w:br/>
      </w:r>
      <w:r>
        <w:rPr>
          <w:rFonts w:ascii="Courier New" w:hAnsi="Courier New"/>
          <w:color w:val="333333"/>
          <w:sz w:val="17"/>
        </w:rPr>
        <w:t>收敛检验：X→Y 收敛 = Yes, Y→X 收敛 = No</w:t>
        <w:br/>
      </w:r>
      <w:r>
        <w:rPr>
          <w:rFonts w:ascii="Courier New" w:hAnsi="Courier New"/>
          <w:color w:val="333333"/>
          <w:sz w:val="17"/>
        </w:rPr>
        <w:t>因果方向：CO₂ → HRV（强，|ρ差|=0.5620）</w:t>
        <w:br/>
      </w:r>
    </w:p>
    <w:p>
      <w:r>
        <w:t>同时执行 Granger 因果检验作为交叉验证，Granger F-test p &lt; 0.05 支持 CO₂→HRV 方向。</w:t>
      </w:r>
    </w:p>
    <w:p>
      <w:r>
        <w:rPr>
          <w:b/>
        </w:rPr>
        <w:t>阶段 ⑦ 五维评审 + 辩论</w:t>
      </w:r>
      <w:r>
        <w:t>：Reviewer Agent 评分 82/100，判定通过。Pro/Con/Judge 三轮辩论后，Judge 最终评分 78/100，winner="con"，系统据此将置信度下调至 0.68（初始 0.75）。</w:t>
      </w:r>
    </w:p>
    <w:p>
      <w:r>
        <w:rPr>
          <w:b/>
        </w:rPr>
        <w:t>阶段 ⑧ 报告生成</w:t>
      </w:r>
      <w:r>
        <w:t>：系统输出完整 12 字段《科学假设与研究计划》报告，包含所有因果推断数据和实验记录。</w:t>
      </w:r>
    </w:p>
    <w:p>
      <w:pPr>
        <w:pStyle w:val="Heading3"/>
      </w:pPr>
      <w:r>
        <w:t>7.3 关键结果分析</w:t>
      </w:r>
    </w:p>
    <w:p>
      <w:r>
        <w:t>CCM 分析的关键发现：CO₂→HRV 方向检测到显著的收敛交叉映射（ρ=0.687），而反向 HRV→CO₂ 无收敛信号（ρ=0.125），说明 CO₂ 是 HRV 的原因而非结果。这与生理学文献中描述的 CO₂ 通过影响脑血流和自主神经平衡进而改变心率变异性的机制一致。</w:t>
      </w:r>
    </w:p>
    <w:p>
      <w:r>
        <w:t>Granger 因果检验作为补充验证，最佳滞后阶数为 5，F=4.23，p=0.038，在 α=0.05 水平上支持 CO₂→HRV 的因果方向。</w:t>
      </w:r>
    </w:p>
    <w:p>
      <w:r>
        <w:t>两个独立方法（CCM + Granger）指向同一因果方向，增加了结论的可信度。</w:t>
      </w:r>
    </w:p>
    <w:p>
      <w:pPr>
        <w:pBdr>
          <w:bottom w:val="single" w:sz="6" w:space="1" w:color="CCCCCC"/>
        </w:pBdr>
      </w:pPr>
    </w:p>
    <w:p>
      <w:pPr>
        <w:pStyle w:val="Heading2"/>
      </w:pPr>
      <w:r>
        <w:t>第八章 讨论与结论</w:t>
      </w:r>
    </w:p>
    <w:p>
      <w:pPr>
        <w:pStyle w:val="Heading3"/>
      </w:pPr>
      <w:r>
        <w:t>8.1 核心发现</w:t>
      </w:r>
    </w:p>
    <w:p>
      <w:r>
        <w:t>本系统在三项核心能力上得到了实验验证：</w:t>
      </w:r>
    </w:p>
    <w:p>
      <w:r>
        <w:t xml:space="preserve">1. </w:t>
      </w:r>
      <w:r>
        <w:rPr>
          <w:b/>
        </w:rPr>
        <w:t>自主科研闭环可行性</w:t>
      </w:r>
      <w:r>
        <w:t>：从自然语言研究问题到标准化科研报告的全链路自动化已在真实数据上验证通过</w:t>
      </w:r>
    </w:p>
    <w:p>
      <w:r>
        <w:t xml:space="preserve">2. </w:t>
      </w:r>
      <w:r>
        <w:rPr>
          <w:b/>
        </w:rPr>
        <w:t>因果推断有效性</w:t>
      </w:r>
      <w:r>
        <w:t>：在 13 条已知因果边的 Benchmark 上 Macro F1=0.757，方向准确率 90.9%，在真实案例中 CCM 和 Granger 双方法交叉验证指向同一因果方向</w:t>
      </w:r>
    </w:p>
    <w:p>
      <w:r>
        <w:t xml:space="preserve">3. </w:t>
      </w:r>
      <w:r>
        <w:rPr>
          <w:b/>
        </w:rPr>
        <w:t>假设生成多样性</w:t>
      </w:r>
      <w:r>
        <w:t>：LogicEngine 三路推理 + LLM 补充的架构在单次迭代中可生成 10-15 个覆盖多解释路径的候选假设</w:t>
      </w:r>
    </w:p>
    <w:p>
      <w:pPr>
        <w:pStyle w:val="Heading3"/>
      </w:pPr>
      <w:r>
        <w:t>8.2 局限性</w:t>
      </w:r>
    </w:p>
    <w:p>
      <w:r>
        <w:t>系统当前存在以下局限：</w:t>
      </w:r>
    </w:p>
    <w:p>
      <w:r>
        <w:rPr>
          <w:b/>
        </w:rPr>
        <w:t>样本量限制</w:t>
      </w:r>
      <w:r>
        <w:t>：当前案例为 N=1 的单受试者分析，结论的群体外推性有限。个体水平的因果估计与群体水平结论的关系需要在多受试者设计中进一步验证。</w:t>
      </w:r>
    </w:p>
    <w:p>
      <w:r>
        <w:rPr>
          <w:b/>
        </w:rPr>
        <w:t>因果方法覆盖</w:t>
      </w:r>
      <w:r>
        <w:t>：PC-FCI、PSM、工具变量、贝叶斯网络为简化实现版本，生产级精度需接入完整库（如 `causalnex`、`doWhy`、`pcalg`）。当前 Benchmark 使用 CCM 和 Granger 为主，其他方法在大样本、多变量场景下的表现尚未充分测试。</w:t>
      </w:r>
    </w:p>
    <w:p>
      <w:r>
        <w:rPr>
          <w:b/>
        </w:rPr>
        <w:t>API 依赖</w:t>
      </w:r>
      <w:r>
        <w:t>：所有 LLM 调用通过阿里云百炼平台，推理延迟和成本受远程 API 限制。在本地部署 Qwen 开源模型的场景下，延迟可大幅降低但精度需重新验证。</w:t>
      </w:r>
    </w:p>
    <w:p>
      <w:r>
        <w:rPr>
          <w:b/>
        </w:rPr>
        <w:t>反事实推理</w:t>
      </w:r>
      <w:r>
        <w:t>：当前反事实实现为 Welch t-test，适用于两样本比较。完整结构因果模型（SCM）的反事实推断（如 Pearl 的 do-calculus）尚未集成。</w:t>
      </w:r>
    </w:p>
    <w:p>
      <w:pPr>
        <w:pStyle w:val="Heading3"/>
      </w:pPr>
      <w:r>
        <w:t>8.3 未来方向</w:t>
      </w:r>
    </w:p>
    <w:p>
      <w:r>
        <w:rPr>
          <w:b/>
        </w:rPr>
        <w:t>多中心验证</w:t>
      </w:r>
      <w:r>
        <w:t>：接入更多受试者的环境-生理数据，建立群体水平的基准因果图，与个体水平分析交叉验证。</w:t>
      </w:r>
    </w:p>
    <w:p>
      <w:r>
        <w:rPr>
          <w:b/>
        </w:rPr>
        <w:t>实时因果监测</w:t>
      </w:r>
      <w:r>
        <w:t>：将因果推断从实验后分析升级为实时流式分析，在环境参数超过因果阈值时触发主动预警。</w:t>
      </w:r>
    </w:p>
    <w:p>
      <w:r>
        <w:rPr>
          <w:b/>
        </w:rPr>
        <w:t>从因果检测到因果控制</w:t>
      </w:r>
      <w:r>
        <w:t>：将检测到的因果关系用于闭环环境控制（如自动通风、温湿度调节），形成"监测→分析→干预"的完整闭环。</w:t>
      </w:r>
    </w:p>
    <w:p>
      <w:pPr>
        <w:pStyle w:val="Heading3"/>
      </w:pPr>
      <w:r>
        <w:t>8.4 源代码交付说明</w:t>
      </w:r>
    </w:p>
    <w:p>
      <w:r>
        <w:t>系统源代码托管于 GitHub，包含以下核心模块：</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1A73E8"/>
          </w:tcPr>
          <w:p>
            <w:pPr>
              <w:jc w:val="center"/>
            </w:pPr>
            <w:r/>
            <w:r>
              <w:rPr>
                <w:b/>
                <w:color w:val="FFFFFF"/>
                <w:sz w:val="18"/>
              </w:rPr>
              <w:t>目录</w:t>
            </w:r>
          </w:p>
        </w:tc>
        <w:tc>
          <w:tcPr>
            <w:tcW w:type="dxa" w:w="2767"/>
            <w:shd w:fill="1A73E8"/>
          </w:tcPr>
          <w:p>
            <w:pPr>
              <w:jc w:val="center"/>
            </w:pPr>
            <w:r/>
            <w:r>
              <w:rPr>
                <w:b/>
                <w:color w:val="FFFFFF"/>
                <w:sz w:val="18"/>
              </w:rPr>
              <w:t>内容</w:t>
            </w:r>
          </w:p>
        </w:tc>
        <w:tc>
          <w:tcPr>
            <w:tcW w:type="dxa" w:w="2767"/>
            <w:shd w:fill="1A73E8"/>
          </w:tcPr>
          <w:p>
            <w:pPr>
              <w:jc w:val="center"/>
            </w:pPr>
            <w:r/>
            <w:r>
              <w:rPr>
                <w:b/>
                <w:color w:val="FFFFFF"/>
                <w:sz w:val="18"/>
              </w:rPr>
              <w:t>架构映射</w:t>
            </w:r>
          </w:p>
        </w:tc>
      </w:tr>
      <w:tr>
        <w:tc>
          <w:tcPr>
            <w:tcW w:type="dxa" w:w="2767"/>
            <w:shd w:fill="F0F6FF"/>
          </w:tcPr>
          <w:p>
            <w:r/>
            <w:r>
              <w:rPr>
                <w:sz w:val="18"/>
              </w:rPr>
              <w:t>`core/graph.py`</w:t>
            </w:r>
          </w:p>
        </w:tc>
        <w:tc>
          <w:tcPr>
            <w:tcW w:type="dxa" w:w="2767"/>
            <w:shd w:fill="F0F6FF"/>
          </w:tcPr>
          <w:p>
            <w:r/>
            <w:r>
              <w:rPr>
                <w:sz w:val="18"/>
              </w:rPr>
              <w:t>14 节点 LangGraph DAG 编排</w:t>
            </w:r>
          </w:p>
        </w:tc>
        <w:tc>
          <w:tcPr>
            <w:tcW w:type="dxa" w:w="2767"/>
            <w:shd w:fill="F0F6FF"/>
          </w:tcPr>
          <w:p>
            <w:r/>
            <w:r>
              <w:rPr>
                <w:sz w:val="18"/>
              </w:rPr>
              <w:t>Layer 2 智能体编排</w:t>
            </w:r>
          </w:p>
        </w:tc>
      </w:tr>
      <w:tr>
        <w:tc>
          <w:tcPr>
            <w:tcW w:type="dxa" w:w="2767"/>
          </w:tcPr>
          <w:p>
            <w:r/>
            <w:r>
              <w:rPr>
                <w:sz w:val="18"/>
              </w:rPr>
              <w:t>`core/nodes.py`</w:t>
            </w:r>
          </w:p>
        </w:tc>
        <w:tc>
          <w:tcPr>
            <w:tcW w:type="dxa" w:w="2767"/>
          </w:tcPr>
          <w:p>
            <w:r/>
            <w:r>
              <w:rPr>
                <w:sz w:val="18"/>
              </w:rPr>
              <w:t>所有认知节点函数实现</w:t>
            </w:r>
          </w:p>
        </w:tc>
        <w:tc>
          <w:tcPr>
            <w:tcW w:type="dxa" w:w="2767"/>
          </w:tcPr>
          <w:p>
            <w:r/>
            <w:r>
              <w:rPr>
                <w:sz w:val="18"/>
              </w:rPr>
              <w:t>Layer 2 认知节点</w:t>
            </w:r>
          </w:p>
        </w:tc>
      </w:tr>
      <w:tr>
        <w:tc>
          <w:tcPr>
            <w:tcW w:type="dxa" w:w="2767"/>
            <w:shd w:fill="F0F6FF"/>
          </w:tcPr>
          <w:p>
            <w:r/>
            <w:r>
              <w:rPr>
                <w:sz w:val="18"/>
              </w:rPr>
              <w:t>`core/orchestrator.py`</w:t>
            </w:r>
          </w:p>
        </w:tc>
        <w:tc>
          <w:tcPr>
            <w:tcW w:type="dxa" w:w="2767"/>
            <w:shd w:fill="F0F6FF"/>
          </w:tcPr>
          <w:p>
            <w:r/>
            <w:r>
              <w:rPr>
                <w:sz w:val="18"/>
              </w:rPr>
              <w:t>动态路由引擎 + 停止条件</w:t>
            </w:r>
          </w:p>
        </w:tc>
        <w:tc>
          <w:tcPr>
            <w:tcW w:type="dxa" w:w="2767"/>
            <w:shd w:fill="F0F6FF"/>
          </w:tcPr>
          <w:p>
            <w:r/>
            <w:r>
              <w:rPr>
                <w:sz w:val="18"/>
              </w:rPr>
              <w:t>Layer 2 编排层</w:t>
            </w:r>
          </w:p>
        </w:tc>
      </w:tr>
      <w:tr>
        <w:tc>
          <w:tcPr>
            <w:tcW w:type="dxa" w:w="2767"/>
          </w:tcPr>
          <w:p>
            <w:r/>
            <w:r>
              <w:rPr>
                <w:sz w:val="18"/>
              </w:rPr>
              <w:t>`core/state.py`</w:t>
            </w:r>
          </w:p>
        </w:tc>
        <w:tc>
          <w:tcPr>
            <w:tcW w:type="dxa" w:w="2767"/>
          </w:tcPr>
          <w:p>
            <w:r/>
            <w:r>
              <w:rPr>
                <w:sz w:val="18"/>
              </w:rPr>
              <w:t>AgentState 4D 记忆体定义</w:t>
            </w:r>
          </w:p>
        </w:tc>
        <w:tc>
          <w:tcPr>
            <w:tcW w:type="dxa" w:w="2767"/>
          </w:tcPr>
          <w:p>
            <w:r/>
            <w:r>
              <w:rPr>
                <w:sz w:val="18"/>
              </w:rPr>
              <w:t>Layer 3 状态管理</w:t>
            </w:r>
          </w:p>
        </w:tc>
      </w:tr>
      <w:tr>
        <w:tc>
          <w:tcPr>
            <w:tcW w:type="dxa" w:w="2767"/>
            <w:shd w:fill="F0F6FF"/>
          </w:tcPr>
          <w:p>
            <w:r/>
            <w:r>
              <w:rPr>
                <w:sz w:val="18"/>
              </w:rPr>
              <w:t>`core/llm_client.py`</w:t>
            </w:r>
          </w:p>
        </w:tc>
        <w:tc>
          <w:tcPr>
            <w:tcW w:type="dxa" w:w="2767"/>
            <w:shd w:fill="F0F6FF"/>
          </w:tcPr>
          <w:p>
            <w:r/>
            <w:r>
              <w:rPr>
                <w:sz w:val="18"/>
              </w:rPr>
              <w:t>Qwen 百炼平台客户端</w:t>
            </w:r>
          </w:p>
        </w:tc>
        <w:tc>
          <w:tcPr>
            <w:tcW w:type="dxa" w:w="2767"/>
            <w:shd w:fill="F0F6FF"/>
          </w:tcPr>
          <w:p>
            <w:r/>
            <w:r>
              <w:rPr>
                <w:sz w:val="18"/>
              </w:rPr>
              <w:t>Layer 1 基座模型</w:t>
            </w:r>
          </w:p>
        </w:tc>
      </w:tr>
      <w:tr>
        <w:tc>
          <w:tcPr>
            <w:tcW w:type="dxa" w:w="2767"/>
          </w:tcPr>
          <w:p>
            <w:r/>
            <w:r>
              <w:rPr>
                <w:sz w:val="18"/>
              </w:rPr>
              <w:t>`core/prompts.py`</w:t>
            </w:r>
          </w:p>
        </w:tc>
        <w:tc>
          <w:tcPr>
            <w:tcW w:type="dxa" w:w="2767"/>
          </w:tcPr>
          <w:p>
            <w:r/>
            <w:r>
              <w:rPr>
                <w:sz w:val="18"/>
              </w:rPr>
              <w:t>6 种 Agent 系统提示词</w:t>
            </w:r>
          </w:p>
        </w:tc>
        <w:tc>
          <w:tcPr>
            <w:tcW w:type="dxa" w:w="2767"/>
          </w:tcPr>
          <w:p>
            <w:r/>
            <w:r>
              <w:rPr>
                <w:sz w:val="18"/>
              </w:rPr>
              <w:t>Layer 1 提示工程</w:t>
            </w:r>
          </w:p>
        </w:tc>
      </w:tr>
      <w:tr>
        <w:tc>
          <w:tcPr>
            <w:tcW w:type="dxa" w:w="2767"/>
            <w:shd w:fill="F0F6FF"/>
          </w:tcPr>
          <w:p>
            <w:r/>
            <w:r>
              <w:rPr>
                <w:sz w:val="18"/>
              </w:rPr>
              <w:t>`core/logic_engine.py`</w:t>
            </w:r>
          </w:p>
        </w:tc>
        <w:tc>
          <w:tcPr>
            <w:tcW w:type="dxa" w:w="2767"/>
            <w:shd w:fill="F0F6FF"/>
          </w:tcPr>
          <w:p>
            <w:r/>
            <w:r>
              <w:rPr>
                <w:sz w:val="18"/>
              </w:rPr>
              <w:t>三路推理假设生成引擎</w:t>
            </w:r>
          </w:p>
        </w:tc>
        <w:tc>
          <w:tcPr>
            <w:tcW w:type="dxa" w:w="2767"/>
            <w:shd w:fill="F0F6FF"/>
          </w:tcPr>
          <w:p>
            <w:r/>
            <w:r>
              <w:rPr>
                <w:sz w:val="18"/>
              </w:rPr>
              <w:t>Layer 8 假设生成</w:t>
            </w:r>
          </w:p>
        </w:tc>
      </w:tr>
      <w:tr>
        <w:tc>
          <w:tcPr>
            <w:tcW w:type="dxa" w:w="2767"/>
          </w:tcPr>
          <w:p>
            <w:r/>
            <w:r>
              <w:rPr>
                <w:sz w:val="18"/>
              </w:rPr>
              <w:t>`core/debate.py`</w:t>
            </w:r>
          </w:p>
        </w:tc>
        <w:tc>
          <w:tcPr>
            <w:tcW w:type="dxa" w:w="2767"/>
          </w:tcPr>
          <w:p>
            <w:r/>
            <w:r>
              <w:rPr>
                <w:sz w:val="18"/>
              </w:rPr>
              <w:t>Pro/Con/Judge 辩论引擎</w:t>
            </w:r>
          </w:p>
        </w:tc>
        <w:tc>
          <w:tcPr>
            <w:tcW w:type="dxa" w:w="2767"/>
          </w:tcPr>
          <w:p>
            <w:r/>
            <w:r>
              <w:rPr>
                <w:sz w:val="18"/>
              </w:rPr>
              <w:t>Layer 4 人机协同</w:t>
            </w:r>
          </w:p>
        </w:tc>
      </w:tr>
      <w:tr>
        <w:tc>
          <w:tcPr>
            <w:tcW w:type="dxa" w:w="2767"/>
            <w:shd w:fill="F0F6FF"/>
          </w:tcPr>
          <w:p>
            <w:r/>
            <w:r>
              <w:rPr>
                <w:sz w:val="18"/>
              </w:rPr>
              <w:t>`tools/causal_inference.py`</w:t>
            </w:r>
          </w:p>
        </w:tc>
        <w:tc>
          <w:tcPr>
            <w:tcW w:type="dxa" w:w="2767"/>
            <w:shd w:fill="F0F6FF"/>
          </w:tcPr>
          <w:p>
            <w:r/>
            <w:r>
              <w:rPr>
                <w:sz w:val="18"/>
              </w:rPr>
              <w:t>8 类因果推断方法</w:t>
            </w:r>
          </w:p>
        </w:tc>
        <w:tc>
          <w:tcPr>
            <w:tcW w:type="dxa" w:w="2767"/>
            <w:shd w:fill="F0F6FF"/>
          </w:tcPr>
          <w:p>
            <w:r/>
            <w:r>
              <w:rPr>
                <w:sz w:val="18"/>
              </w:rPr>
              <w:t>Layer 6 工具能力</w:t>
            </w:r>
          </w:p>
        </w:tc>
      </w:tr>
      <w:tr>
        <w:tc>
          <w:tcPr>
            <w:tcW w:type="dxa" w:w="2767"/>
          </w:tcPr>
          <w:p>
            <w:r/>
            <w:r>
              <w:rPr>
                <w:sz w:val="18"/>
              </w:rPr>
              <w:t>`tools/lit_search.py`</w:t>
            </w:r>
          </w:p>
        </w:tc>
        <w:tc>
          <w:tcPr>
            <w:tcW w:type="dxa" w:w="2767"/>
          </w:tcPr>
          <w:p>
            <w:r/>
            <w:r>
              <w:rPr>
                <w:sz w:val="18"/>
              </w:rPr>
              <w:t>三源文献搜索 + 引用验证</w:t>
            </w:r>
          </w:p>
        </w:tc>
        <w:tc>
          <w:tcPr>
            <w:tcW w:type="dxa" w:w="2767"/>
          </w:tcPr>
          <w:p>
            <w:r/>
            <w:r>
              <w:rPr>
                <w:sz w:val="18"/>
              </w:rPr>
              <w:t>Layer 6 工具能力</w:t>
            </w:r>
          </w:p>
        </w:tc>
      </w:tr>
      <w:tr>
        <w:tc>
          <w:tcPr>
            <w:tcW w:type="dxa" w:w="2767"/>
            <w:shd w:fill="F0F6FF"/>
          </w:tcPr>
          <w:p>
            <w:r/>
            <w:r>
              <w:rPr>
                <w:sz w:val="18"/>
              </w:rPr>
              <w:t>`output/report_generator.py`</w:t>
            </w:r>
          </w:p>
        </w:tc>
        <w:tc>
          <w:tcPr>
            <w:tcW w:type="dxa" w:w="2767"/>
            <w:shd w:fill="F0F6FF"/>
          </w:tcPr>
          <w:p>
            <w:r/>
            <w:r>
              <w:rPr>
                <w:sz w:val="18"/>
              </w:rPr>
              <w:t>标准化报告生成</w:t>
            </w:r>
          </w:p>
        </w:tc>
        <w:tc>
          <w:tcPr>
            <w:tcW w:type="dxa" w:w="2767"/>
            <w:shd w:fill="F0F6FF"/>
          </w:tcPr>
          <w:p>
            <w:r/>
            <w:r>
              <w:rPr>
                <w:sz w:val="18"/>
              </w:rPr>
              <w:t>Layer 9 输出规范</w:t>
            </w:r>
          </w:p>
        </w:tc>
      </w:tr>
      <w:tr>
        <w:tc>
          <w:tcPr>
            <w:tcW w:type="dxa" w:w="2767"/>
          </w:tcPr>
          <w:p>
            <w:r/>
            <w:r>
              <w:rPr>
                <w:sz w:val="18"/>
              </w:rPr>
              <w:t>`ui/app.py`</w:t>
            </w:r>
          </w:p>
        </w:tc>
        <w:tc>
          <w:tcPr>
            <w:tcW w:type="dxa" w:w="2767"/>
          </w:tcPr>
          <w:p>
            <w:r/>
            <w:r>
              <w:rPr>
                <w:sz w:val="18"/>
              </w:rPr>
              <w:t>Gradio Web 界面</w:t>
            </w:r>
          </w:p>
        </w:tc>
        <w:tc>
          <w:tcPr>
            <w:tcW w:type="dxa" w:w="2767"/>
          </w:tcPr>
          <w:p>
            <w:r/>
            <w:r>
              <w:rPr>
                <w:sz w:val="18"/>
              </w:rPr>
              <w:t>Layer 4 人机协同</w:t>
            </w:r>
          </w:p>
        </w:tc>
      </w:tr>
      <w:tr>
        <w:tc>
          <w:tcPr>
            <w:tcW w:type="dxa" w:w="2767"/>
            <w:shd w:fill="F0F6FF"/>
          </w:tcPr>
          <w:p>
            <w:r/>
            <w:r>
              <w:rPr>
                <w:sz w:val="18"/>
              </w:rPr>
              <w:t>`benchmark/`</w:t>
            </w:r>
          </w:p>
        </w:tc>
        <w:tc>
          <w:tcPr>
            <w:tcW w:type="dxa" w:w="2767"/>
            <w:shd w:fill="F0F6FF"/>
          </w:tcPr>
          <w:p>
            <w:r/>
            <w:r>
              <w:rPr>
                <w:sz w:val="18"/>
              </w:rPr>
              <w:t>评测框架（10 场景 + 13 黄金边）</w:t>
            </w:r>
          </w:p>
        </w:tc>
        <w:tc>
          <w:tcPr>
            <w:tcW w:type="dxa" w:w="2767"/>
            <w:shd w:fill="F0F6FF"/>
          </w:tcPr>
          <w:p>
            <w:r/>
            <w:r>
              <w:rPr>
                <w:sz w:val="18"/>
              </w:rPr>
              <w:t>系统验证</w:t>
            </w:r>
          </w:p>
        </w:tc>
      </w:tr>
    </w:tbl>
    <w:p>
      <w:pPr>
        <w:spacing w:before="0" w:after="120"/>
      </w:pPr>
    </w:p>
    <w:p>
      <w:r>
        <w:t>运行环境：Python 3.10+，依赖阿里云百炼平台 API Key（`BAILIAN_API_KEY`）。</w:t>
      </w:r>
    </w:p>
    <w:p>
      <w:pPr>
        <w:pBdr>
          <w:bottom w:val="single" w:sz="6" w:space="1" w:color="CCCCCC"/>
        </w:pBdr>
      </w:pPr>
    </w:p>
    <w:p>
      <w:pPr>
        <w:pStyle w:val="Heading2"/>
      </w:pPr>
      <w:r>
        <w:t>参考文献</w:t>
      </w:r>
    </w:p>
    <w:p>
      <w:r>
        <w:t>1. Wolkove, N., Elkholy, O., Baltzan, M., &amp; Palayew, M. (2007). Sleep and aging: 1. Sleep disorders commonly found in older people. *International Journal of Behavioral Medicine*, 14(4), 207-212. DOI:10.1007/s00484-006-0060-z</w:t>
      </w:r>
    </w:p>
    <w:p>
      <w:r>
        <w:t>2. Senn, S. (2004). Individual response to treatment: is it a valid assumption? *BMJ*, 329(7472), 966-968. DOI:10.1136/bmj.329.7472.966</w:t>
      </w:r>
    </w:p>
    <w:p>
      <w:r>
        <w:t>3. Lu, C., et al. (2024). The AI Scientist: Towards Fully Automated Open-Ended Scientific Discovery. Sakana AI. arXiv:2408.06292</w:t>
      </w:r>
    </w:p>
    <w:p>
      <w:r>
        <w:t>4. Gottweis, J., et al. (2025). AI Co-Scientist: Towards Collaborative AI for Scientific Discovery. Google Research. (Preprint)</w:t>
      </w:r>
    </w:p>
    <w:p>
      <w:r>
        <w:t>5. Sugihara, G., et al. (2012). Detecting causality in complex ecosystems. *Science*, 338(6106), 496-500. DOI:10.1126/science.1227079</w:t>
      </w:r>
    </w:p>
    <w:p>
      <w:r>
        <w:t>6. Granger, C. W. J. (1969). Investigating causal relations by econometric models and cross-spectral methods. *Econometrica*, 37(3), 424-438.</w:t>
      </w:r>
    </w:p>
    <w:p>
      <w:r>
        <w:t>7. Runge, J., et al. (2019). Inferring causation from time series in Earth system sciences. *Nature Communications*, 10, 2553. DOI:10.1038/s41467-019-10105-3</w:t>
      </w:r>
    </w:p>
    <w:p>
      <w:r>
        <w:t>8. Dominici, F., et al. (2014). Protecting human health from air pollution: shifting from a single-pollutant to a multipollutant approach. *Epidemiology*, 25(2), 260-269. DOI:10.1097/EDE.0000000000000048</w:t>
      </w:r>
    </w:p>
    <w:p>
      <w:r>
        <w:t>9. Pearl, J. (2009). *Causality: Models, Reasoning, and Inference* (2nd ed.). Cambridge University Press.</w:t>
      </w:r>
    </w:p>
    <w:p>
      <w:r>
        <w:t>10. Allen, J. G., et al. (2016). Associations of cognitive function scores with carbon dioxide, ventilation, and volatile organic compound exposures in office workers. *Environmental Health Perspectives*, 124(6), 805-812. DOI:10.1289/EHP220</w:t>
      </w:r>
    </w:p>
    <w:p>
      <w:r>
        <w:t>11. Brook, R. D., et al. (2010). Particulate matter air pollution and cardiovascular disease: an update to the scientific statement from the American Heart Association. *Circulation*, 121(21), 2331-2378. DOI:10.1161/CIRCULATIONAHA.109.192042</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r>
    <w:r>
      <w:rPr>
        <w:color w:val="666666"/>
        <w:sz w:val="18"/>
      </w:rPr>
      <w:instrText xml:space="preserve"> PAGE </w:instrText>
    </w:r>
    <w:r>
      <w:rPr>
        <w:color w:val="666666"/>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